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Yellow highlights mark everything changed or added in this round. Summary of edits:</w:t>
      </w:r>
    </w:p>
    <w:p>
      <w:r>
        <w:rPr>
          <w:i/>
          <w:sz w:val="18"/>
        </w:rPr>
        <w:t>1. Removed the word 'averages' everywhere (three places). The classroom parallel now reads 'teaching aimed at an imagined typical student overlooks real students just as an aggregate category obscures a high-risk community,' and paragraph 4 now reads 'Rather than building a single route and expecting every student to fit it.'</w:t>
      </w:r>
    </w:p>
    <w:p>
      <w:r>
        <w:rPr>
          <w:i/>
          <w:sz w:val="18"/>
        </w:rPr>
        <w:t>2. Removed 'double vision': it is literally a medical symptom (diplopia), an unintended pun in a public health document. Replaced with 'These twin commitments are the foundation of responsible public health education.'</w:t>
      </w:r>
    </w:p>
    <w:p>
      <w:r>
        <w:rPr>
          <w:i/>
          <w:sz w:val="18"/>
        </w:rPr>
        <w:t>3. Restated the two directions crisply before elaborating them: 'seeing my own students clearly, and teaching them to see just as clearly.'</w:t>
      </w:r>
    </w:p>
    <w:p>
      <w:r>
        <w:rPr>
          <w:i/>
          <w:sz w:val="18"/>
        </w:rPr>
        <w:t>4. Rewired every paragraph junction so the statement reads as one argument. Paragraph 2 now opens 'My own path to these commitments was not linear' (picks up 'twin commitments'). Paragraph 3 opens 'Higher education is one of those systems...' (lands paragraph 2's closing thesis about neutral systems on academia itself). Paragraph 4 keeps 'Creating those conditions...' (picks up paragraph 3's ending). Paragraph 5 opens 'Classroom practice, however, is only half the work. Beyond my courses, I work to widen pathways into the profession itself.' Paragraph 6 opens 'However far it multiplies, this work is never finished' (picks up paragraph 5's closing verb 'multiplies').</w:t>
      </w:r>
    </w:p>
    <w:p>
      <w:r>
        <w:rPr>
          <w:i/>
          <w:sz w:val="18"/>
        </w:rPr>
        <w:t>Word count: 1,133 excluding the title.</w:t>
      </w:r>
    </w:p>
    <w:p/>
    <w:p>
      <w:r>
        <w:rPr>
          <w:b/>
          <w:sz w:val="28"/>
        </w:rPr>
        <w:t>Diversity Statement</w:t>
      </w:r>
    </w:p>
    <w:p>
      <w:r>
        <w:t xml:space="preserve">My understanding of diversity, equity, and inclusion begins with a simple observation that has shaped my entire career: the way we count people determines who we see. My own research taught me this. When my disaggregated analyses of cardiovascular outcomes broke apart the single Asian American category common in public health data, they revealed Cambodian American communities facing stroke risks four times higher than their Chinese American peers, a disparity the aggregate label had hidden. My community practice taught me the same lesson. At health screenings alongside Latino families, I have seen how guidelines built on studies that underrepresent them can fail the people in front of me. These are questions of social justice, not merely of method. </w:t>
      </w:r>
      <w:r>
        <w:rPr>
          <w:highlight w:val="yellow"/>
        </w:rPr>
        <w:t>And the same failure of seeing happens in classrooms: teaching aimed at an imagined typical student overlooks real students just as an aggregate category obscures a high-risk community. My commitment therefore runs in two directions: seeing my own students clearly, and teaching them to see just as clearly. I design courses, mentoring, and service so that no student stays hidden inside my assumptions. I also prepare graduates who recognize health disparities and the structures that produce them, who treat inequities in their own communities as questions their training can answer, and who pursue health for all, not health for some. These twin commitments are the foundation of responsible public health education.</w:t>
      </w:r>
    </w:p>
    <w:p>
      <w:r>
        <w:rPr>
          <w:highlight w:val="yellow"/>
        </w:rPr>
        <w:t>My own path to these commitments was not linear.</w:t>
      </w:r>
      <w:r>
        <w:t xml:space="preserve"> I grew up in China and came to the United States for college, where I quickly learned that navigating an unfamiliar academic system requires more than intellectual ability. I did not know how to approach professors during office hours, how to ask for recommendation letters, or how graduate school applications worked, and nobody in my family had experience with American higher education. These early struggles gave me a visceral understanding of the hidden curriculum, the unwritten rules that determine academic success but are never formally taught. Later, while completing my bachelor's degree in economics at Boston University, I studied how markets allocate resources and began questioning who gets left out of those models. While earning my master's in education policy at Stanford University, I investigated how higher education systems in different countries open or close doors for students from disadvantaged backgrounds. During nearly three years developing Medicare cost measures, I saw firsthand how payment policy decisions could widen or narrow health disparities depending on whether social risk factors were incorporated into the models. Each transition taught me how systems that appear neutral can produce deeply unequal outcomes.</w:t>
      </w:r>
    </w:p>
    <w:p>
      <w:r>
        <w:rPr>
          <w:highlight w:val="yellow"/>
        </w:rPr>
        <w:t>Higher education is one of those systems, and my journey through it keeps me attentive to the specific barriers that underrepresented students face.</w:t>
      </w:r>
      <w:r>
        <w:t xml:space="preserve"> First-generation students often lack access to the professional networks and funding opportunities that accelerate academic careers. Students from communities directly affected by health disparities bring invaluable lived expertise, yet they may not see their experiences reflected in course materials built around the populations that dominate the research literature. Students from underrepresented backgrounds frequently carry invisible burdens, serving as cultural translators, supporting family members financially, or managing the psychological weight of studying inequities that touch their own communities. I have mentored students navigating each of these challenges. One mentee, a first-generation Latina student, told me she had never considered graduate school as a possibility until our conversations about her research potential. Another student, whose family had experienced the very food insecurity our research project examined, brought insights that fundamentally improved how we interpreted our data. These relationships have taught me that inclusion is not achieved through policy statements alone. It requires creating conditions in which students experience their full identities as assets rather than obstacles.</w:t>
      </w:r>
    </w:p>
    <w:p>
      <w:r>
        <w:t xml:space="preserve">Creating those conditions is the daily work of my classroom. Teaching at UC Irvine, a diverse public research university that is both a Hispanic-Serving Institution and an Asian American and Native American Pacific Islander-Serving Institution, I have worked with many first-generation students, students from immigrant families, working students, and student caregivers. </w:t>
      </w:r>
      <w:r>
        <w:rPr>
          <w:highlight w:val="yellow"/>
        </w:rPr>
        <w:t>Rather than building a single route and expecting every student to fit it,</w:t>
      </w:r>
      <w:r>
        <w:t xml:space="preserve"> I proactively design multiple pathways to success. I post materials early for students balancing work schedules, communicate with a clarity that supports English learners, and vary assessment formats so students can demonstrate mastery in ways aligned with their strengths. When one student's performance declined under caregiving responsibilities, we worked together on a flexible completion plan that honored both their family and their learning goals. When another lacked reliable technology, I connected them with campus resources and adjusted deadlines. Students notice this support. One observed that I am “very fast in responding and finding solutions, creating an equitable learning environment,” and another reflected that mine was “the only class I have taken that truly considered the mental health of students.” I also intentionally select case studies and datasets reflecting the communities my students come from. This draws on my experience designing and evaluating culturally tailored cardiovascular interventions with Latino and Vietnamese families, work that taught me cultural competency is built through partnership rather than assumption. I treat systemic barriers to learning as the educational counterpart of the structural determinants of health, which makes inclusive teaching inseparable from the content of public health itself.</w:t>
      </w:r>
    </w:p>
    <w:p>
      <w:r>
        <w:rPr>
          <w:highlight w:val="yellow"/>
        </w:rPr>
        <w:t>Classroom practice, however, is only half the work. Beyond my courses, I work to widen pathways into the profession itself.</w:t>
      </w:r>
      <w:r>
        <w:t xml:space="preserve"> Through UC Irvine's Next Gen Pathways Program, I mentor incoming graduate students from underrepresented backgrounds, focusing on making the hidden curriculum explicit: how to write a conference abstract, how to identify funding opportunities, and how to build a professional network when you do not inherit one from your family. I share my own experiences with rejection and failure, because students from marginalized backgrounds often read setbacks as confirmation that they do not belong rather than as a normal part of academic life. In my professional service, I have developed resources for student members of the American Public Health Association who are attending their first professional conference and feel uncertain about navigating that environment. And when I helped train 27 incoming graduate teaching assistants, I made diversity and inclusion a core workshop topic, so that inclusive practice multiplies through every classroom those new instructors will lead.</w:t>
      </w:r>
    </w:p>
    <w:p>
      <w:r>
        <w:rPr>
          <w:highlight w:val="yellow"/>
        </w:rPr>
        <w:t>However far it multiplies, this work is never finished.</w:t>
      </w:r>
      <w:r>
        <w:t xml:space="preserve"> I continue to participate in workshops on inclusive pedagogy, seek honest dialogue with colleagues about supporting marginalized students, and use my role supporting new instructors to help build a teaching community that values equity at its core. I would also welcome curriculum-focused service, because curriculum design decides whose experiences count as core knowledge. A diverse graduate student body enriches learning for everyone, and public health needs professionals who understand the communities they serve from the inside. Through my teaching, mentoring, and service, I am committed to making the pathway from student to public health professional one where diverse backgrounds are cultivated as sources of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