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p>
      <w:pPr>
        <w:spacing w:after="60" w:before="400"/>
        <w:jc w:val="center"/>
      </w:pPr>
      <w:r>
        <w:rPr>
          <w:rFonts w:ascii="Arial" w:cs="Arial" w:eastAsia="Arial" w:hAnsi="Arial"/>
          <w:b/>
          <w:bCs/>
          <w:color w:val="1B5E20"/>
          <w:sz w:val="72"/>
          <w:szCs w:val="72"/>
        </w:rPr>
        <w:t xml:space="preserve">F.R.A.N.K.I.E.</w:t>
      </w:r>
    </w:p>
    <w:p>
      <w:pPr>
        <w:spacing w:after="40" w:before="0"/>
        <w:jc w:val="center"/>
      </w:pPr>
      <w:r>
        <w:rPr>
          <w:rFonts w:ascii="Arial" w:cs="Arial" w:eastAsia="Arial" w:hAnsi="Arial"/>
          <w:color w:val="212121"/>
          <w:sz w:val="32"/>
          <w:szCs w:val="32"/>
        </w:rPr>
        <w:t xml:space="preserve">Future Readiness And Nuclear Knowledge Intelligence Engine</w:t>
      </w:r>
    </w:p>
    <w:p>
      <w:pPr>
        <w:spacing w:after="200" w:before="0"/>
        <w:jc w:val="center"/>
      </w:pPr>
      <w:r>
        <w:rPr>
          <w:rFonts w:ascii="Arial" w:cs="Arial" w:eastAsia="Arial" w:hAnsi="Arial"/>
          <w:b/>
          <w:bCs/>
          <w:color w:val="E65100"/>
          <w:sz w:val="28"/>
          <w:szCs w:val="28"/>
        </w:rPr>
        <w:t xml:space="preserve">Product Blueprint v9</w:t>
      </w:r>
    </w:p>
    <w:p>
      <w:pPr>
        <w:pBdr>
          <w:bottom w:val="single" w:color="1B5E20" w:sz="4" w:space="1"/>
        </w:pBdr>
        <w:spacing w:after="160" w:before="160"/>
      </w:pP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EEEEE" w:sz="1"/>
              <w:left w:val="single" w:color="EEEEEE" w:sz="1"/>
              <w:bottom w:val="single" w:color="EEEEEE" w:sz="1"/>
              <w:right w:val="single" w:color="EEEEEE" w:sz="1"/>
            </w:tcBorders>
            <w:shd w:fill="E8F5E9" w:val="clear"/>
            <w:tcMar>
              <w:top w:type="dxa" w:w="80"/>
              <w:left w:type="dxa" w:w="160"/>
              <w:bottom w:type="dxa" w:w="80"/>
              <w:right w:type="dxa" w:w="160"/>
            </w:tcMar>
          </w:tcPr>
          <w:p>
            <w:r>
              <w:rPr>
                <w:rFonts w:ascii="Arial" w:cs="Arial" w:eastAsia="Arial" w:hAnsi="Arial"/>
                <w:b/>
                <w:bCs/>
                <w:color w:val="1B5E20"/>
                <w:sz w:val="18"/>
                <w:szCs w:val="18"/>
              </w:rPr>
              <w:t xml:space="preserve">Issued</w:t>
            </w:r>
          </w:p>
        </w:tc>
        <w:tc>
          <w:tcPr>
            <w:tcW w:type="dxa" w:w="6860"/>
            <w:tcBorders>
              <w:top w:val="single" w:color="EEEEEE" w:sz="1"/>
              <w:left w:val="single" w:color="EEEEEE" w:sz="1"/>
              <w:bottom w:val="single" w:color="EEEEEE" w:sz="1"/>
              <w:right w:val="single" w:color="EEEEEE" w:sz="1"/>
            </w:tcBorders>
            <w:tcMar>
              <w:top w:type="dxa" w:w="80"/>
              <w:left w:type="dxa" w:w="160"/>
              <w:bottom w:type="dxa" w:w="80"/>
              <w:right w:type="dxa" w:w="160"/>
            </w:tcMar>
          </w:tcPr>
          <w:p>
            <w:r>
              <w:rPr>
                <w:rFonts w:ascii="Arial" w:cs="Arial" w:eastAsia="Arial" w:hAnsi="Arial"/>
                <w:sz w:val="18"/>
                <w:szCs w:val="18"/>
              </w:rPr>
              <w:t xml:space="preserve">24 June 2026</w:t>
            </w:r>
          </w:p>
        </w:tc>
      </w:tr>
      <w:tr>
        <w:tc>
          <w:tcPr>
            <w:tcW w:type="dxa" w:w="2500"/>
            <w:tcBorders>
              <w:top w:val="single" w:color="EEEEEE" w:sz="1"/>
              <w:left w:val="single" w:color="EEEEEE" w:sz="1"/>
              <w:bottom w:val="single" w:color="EEEEEE" w:sz="1"/>
              <w:right w:val="single" w:color="EEEEEE" w:sz="1"/>
            </w:tcBorders>
            <w:shd w:fill="E8F5E9" w:val="clear"/>
            <w:tcMar>
              <w:top w:type="dxa" w:w="80"/>
              <w:left w:type="dxa" w:w="160"/>
              <w:bottom w:type="dxa" w:w="80"/>
              <w:right w:type="dxa" w:w="160"/>
            </w:tcMar>
          </w:tcPr>
          <w:p>
            <w:r>
              <w:rPr>
                <w:rFonts w:ascii="Arial" w:cs="Arial" w:eastAsia="Arial" w:hAnsi="Arial"/>
                <w:b/>
                <w:bCs/>
                <w:color w:val="1B5E20"/>
                <w:sz w:val="18"/>
                <w:szCs w:val="18"/>
              </w:rPr>
              <w:t xml:space="preserve">Organisation</w:t>
            </w:r>
          </w:p>
        </w:tc>
        <w:tc>
          <w:tcPr>
            <w:tcW w:type="dxa" w:w="6860"/>
            <w:tcBorders>
              <w:top w:val="single" w:color="EEEEEE" w:sz="1"/>
              <w:left w:val="single" w:color="EEEEEE" w:sz="1"/>
              <w:bottom w:val="single" w:color="EEEEEE" w:sz="1"/>
              <w:right w:val="single" w:color="EEEEEE" w:sz="1"/>
            </w:tcBorders>
            <w:tcMar>
              <w:top w:type="dxa" w:w="80"/>
              <w:left w:type="dxa" w:w="160"/>
              <w:bottom w:type="dxa" w:w="80"/>
              <w:right w:type="dxa" w:w="160"/>
            </w:tcMar>
          </w:tcPr>
          <w:p>
            <w:r>
              <w:rPr>
                <w:rFonts w:ascii="Arial" w:cs="Arial" w:eastAsia="Arial" w:hAnsi="Arial"/>
                <w:sz w:val="18"/>
                <w:szCs w:val="18"/>
              </w:rPr>
              <w:t xml:space="preserve">NuCCoL</w:t>
            </w:r>
          </w:p>
        </w:tc>
      </w:tr>
      <w:tr>
        <w:tc>
          <w:tcPr>
            <w:tcW w:type="dxa" w:w="2500"/>
            <w:tcBorders>
              <w:top w:val="single" w:color="EEEEEE" w:sz="1"/>
              <w:left w:val="single" w:color="EEEEEE" w:sz="1"/>
              <w:bottom w:val="single" w:color="EEEEEE" w:sz="1"/>
              <w:right w:val="single" w:color="EEEEEE" w:sz="1"/>
            </w:tcBorders>
            <w:shd w:fill="E8F5E9" w:val="clear"/>
            <w:tcMar>
              <w:top w:type="dxa" w:w="80"/>
              <w:left w:type="dxa" w:w="160"/>
              <w:bottom w:type="dxa" w:w="80"/>
              <w:right w:type="dxa" w:w="160"/>
            </w:tcMar>
          </w:tcPr>
          <w:p>
            <w:r>
              <w:rPr>
                <w:rFonts w:ascii="Arial" w:cs="Arial" w:eastAsia="Arial" w:hAnsi="Arial"/>
                <w:b/>
                <w:bCs/>
                <w:color w:val="1B5E20"/>
                <w:sz w:val="18"/>
                <w:szCs w:val="18"/>
              </w:rPr>
              <w:t xml:space="preserve">Status</w:t>
            </w:r>
          </w:p>
        </w:tc>
        <w:tc>
          <w:tcPr>
            <w:tcW w:type="dxa" w:w="6860"/>
            <w:tcBorders>
              <w:top w:val="single" w:color="EEEEEE" w:sz="1"/>
              <w:left w:val="single" w:color="EEEEEE" w:sz="1"/>
              <w:bottom w:val="single" w:color="EEEEEE" w:sz="1"/>
              <w:right w:val="single" w:color="EEEEEE" w:sz="1"/>
            </w:tcBorders>
            <w:tcMar>
              <w:top w:type="dxa" w:w="80"/>
              <w:left w:type="dxa" w:w="160"/>
              <w:bottom w:type="dxa" w:w="80"/>
              <w:right w:type="dxa" w:w="160"/>
            </w:tcMar>
          </w:tcPr>
          <w:p>
            <w:r>
              <w:rPr>
                <w:rFonts w:ascii="Arial" w:cs="Arial" w:eastAsia="Arial" w:hAnsi="Arial"/>
                <w:sz w:val="18"/>
                <w:szCs w:val="18"/>
              </w:rPr>
              <w:t xml:space="preserve">All F1-F15 COMPLETE. Next phase defined.</w:t>
            </w:r>
          </w:p>
        </w:tc>
      </w:tr>
      <w:tr>
        <w:tc>
          <w:tcPr>
            <w:tcW w:type="dxa" w:w="2500"/>
            <w:tcBorders>
              <w:top w:val="single" w:color="EEEEEE" w:sz="1"/>
              <w:left w:val="single" w:color="EEEEEE" w:sz="1"/>
              <w:bottom w:val="single" w:color="EEEEEE" w:sz="1"/>
              <w:right w:val="single" w:color="EEEEEE" w:sz="1"/>
            </w:tcBorders>
            <w:shd w:fill="E8F5E9" w:val="clear"/>
            <w:tcMar>
              <w:top w:type="dxa" w:w="80"/>
              <w:left w:type="dxa" w:w="160"/>
              <w:bottom w:type="dxa" w:w="80"/>
              <w:right w:type="dxa" w:w="160"/>
            </w:tcMar>
          </w:tcPr>
          <w:p>
            <w:r>
              <w:rPr>
                <w:rFonts w:ascii="Arial" w:cs="Arial" w:eastAsia="Arial" w:hAnsi="Arial"/>
                <w:b/>
                <w:bCs/>
                <w:color w:val="1B5E20"/>
                <w:sz w:val="18"/>
                <w:szCs w:val="18"/>
              </w:rPr>
              <w:t xml:space="preserve">Platform</w:t>
            </w:r>
          </w:p>
        </w:tc>
        <w:tc>
          <w:tcPr>
            <w:tcW w:type="dxa" w:w="6860"/>
            <w:tcBorders>
              <w:top w:val="single" w:color="EEEEEE" w:sz="1"/>
              <w:left w:val="single" w:color="EEEEEE" w:sz="1"/>
              <w:bottom w:val="single" w:color="EEEEEE" w:sz="1"/>
              <w:right w:val="single" w:color="EEEEEE" w:sz="1"/>
            </w:tcBorders>
            <w:tcMar>
              <w:top w:type="dxa" w:w="80"/>
              <w:left w:type="dxa" w:w="160"/>
              <w:bottom w:type="dxa" w:w="80"/>
              <w:right w:type="dxa" w:w="160"/>
            </w:tcMar>
          </w:tcPr>
          <w:p>
            <w:r>
              <w:rPr>
                <w:rFonts w:ascii="Arial" w:cs="Arial" w:eastAsia="Arial" w:hAnsi="Arial"/>
                <w:sz w:val="18"/>
                <w:szCs w:val="18"/>
              </w:rPr>
              <w:t xml:space="preserve">frankie_v3 / index.html</w:t>
            </w:r>
          </w:p>
        </w:tc>
      </w:tr>
      <w:tr>
        <w:tc>
          <w:tcPr>
            <w:tcW w:type="dxa" w:w="2500"/>
            <w:tcBorders>
              <w:top w:val="single" w:color="EEEEEE" w:sz="1"/>
              <w:left w:val="single" w:color="EEEEEE" w:sz="1"/>
              <w:bottom w:val="single" w:color="EEEEEE" w:sz="1"/>
              <w:right w:val="single" w:color="EEEEEE" w:sz="1"/>
            </w:tcBorders>
            <w:shd w:fill="E8F5E9" w:val="clear"/>
            <w:tcMar>
              <w:top w:type="dxa" w:w="80"/>
              <w:left w:type="dxa" w:w="160"/>
              <w:bottom w:type="dxa" w:w="80"/>
              <w:right w:type="dxa" w:w="160"/>
            </w:tcMar>
          </w:tcPr>
          <w:p>
            <w:r>
              <w:rPr>
                <w:rFonts w:ascii="Arial" w:cs="Arial" w:eastAsia="Arial" w:hAnsi="Arial"/>
                <w:b/>
                <w:bCs/>
                <w:color w:val="1B5E20"/>
                <w:sz w:val="18"/>
                <w:szCs w:val="18"/>
              </w:rPr>
              <w:t xml:space="preserve">KB</w:t>
            </w:r>
          </w:p>
        </w:tc>
        <w:tc>
          <w:tcPr>
            <w:tcW w:type="dxa" w:w="6860"/>
            <w:tcBorders>
              <w:top w:val="single" w:color="EEEEEE" w:sz="1"/>
              <w:left w:val="single" w:color="EEEEEE" w:sz="1"/>
              <w:bottom w:val="single" w:color="EEEEEE" w:sz="1"/>
              <w:right w:val="single" w:color="EEEEEE" w:sz="1"/>
            </w:tcBorders>
            <w:tcMar>
              <w:top w:type="dxa" w:w="80"/>
              <w:left w:type="dxa" w:w="160"/>
              <w:bottom w:type="dxa" w:w="80"/>
              <w:right w:type="dxa" w:w="160"/>
            </w:tcMar>
          </w:tcPr>
          <w:p>
            <w:r>
              <w:rPr>
                <w:rFonts w:ascii="Arial" w:cs="Arial" w:eastAsia="Arial" w:hAnsi="Arial"/>
                <w:sz w:val="18"/>
                <w:szCs w:val="18"/>
              </w:rPr>
              <w:t xml:space="preserve">frankie6_kb.json  |  25,083 chunks  |  frankie5_vectors.json</w:t>
            </w:r>
          </w:p>
        </w:tc>
      </w:tr>
      <w:tr>
        <w:tc>
          <w:tcPr>
            <w:tcW w:type="dxa" w:w="2500"/>
            <w:tcBorders>
              <w:top w:val="single" w:color="EEEEEE" w:sz="1"/>
              <w:left w:val="single" w:color="EEEEEE" w:sz="1"/>
              <w:bottom w:val="single" w:color="EEEEEE" w:sz="1"/>
              <w:right w:val="single" w:color="EEEEEE" w:sz="1"/>
            </w:tcBorders>
            <w:shd w:fill="E8F5E9" w:val="clear"/>
            <w:tcMar>
              <w:top w:type="dxa" w:w="80"/>
              <w:left w:type="dxa" w:w="160"/>
              <w:bottom w:type="dxa" w:w="80"/>
              <w:right w:type="dxa" w:w="160"/>
            </w:tcMar>
          </w:tcPr>
          <w:p>
            <w:r>
              <w:rPr>
                <w:rFonts w:ascii="Arial" w:cs="Arial" w:eastAsia="Arial" w:hAnsi="Arial"/>
                <w:b/>
                <w:bCs/>
                <w:color w:val="1B5E20"/>
                <w:sz w:val="18"/>
                <w:szCs w:val="18"/>
              </w:rPr>
              <w:t xml:space="preserve">Classification</w:t>
            </w:r>
          </w:p>
        </w:tc>
        <w:tc>
          <w:tcPr>
            <w:tcW w:type="dxa" w:w="6860"/>
            <w:tcBorders>
              <w:top w:val="single" w:color="EEEEEE" w:sz="1"/>
              <w:left w:val="single" w:color="EEEEEE" w:sz="1"/>
              <w:bottom w:val="single" w:color="EEEEEE" w:sz="1"/>
              <w:right w:val="single" w:color="EEEEEE" w:sz="1"/>
            </w:tcBorders>
            <w:tcMar>
              <w:top w:type="dxa" w:w="80"/>
              <w:left w:type="dxa" w:w="160"/>
              <w:bottom w:type="dxa" w:w="80"/>
              <w:right w:type="dxa" w:w="160"/>
            </w:tcMar>
          </w:tcPr>
          <w:p>
            <w:r>
              <w:rPr>
                <w:rFonts w:ascii="Arial" w:cs="Arial" w:eastAsia="Arial" w:hAnsi="Arial"/>
                <w:sz w:val="18"/>
                <w:szCs w:val="18"/>
              </w:rPr>
              <w:t xml:space="preserve">Confidential</w:t>
            </w:r>
          </w:p>
        </w:tc>
      </w:tr>
    </w:tbl>
    <w:p>
      <w:pPr>
        <w:spacing w:after="0" w:before="200"/>
      </w:pPr>
    </w:p>
    <w:p>
      <w:r>
        <w:br w:type="page"/>
      </w:r>
    </w:p>
    <w:p>
      <w:pPr>
        <w:pStyle w:val="Heading1"/>
        <w:spacing w:after="120" w:before="360"/>
      </w:pPr>
      <w:r>
        <w:rPr>
          <w:rFonts w:ascii="Arial" w:cs="Arial" w:eastAsia="Arial" w:hAnsi="Arial"/>
          <w:b/>
          <w:bCs/>
          <w:color w:val="1B5E20"/>
          <w:sz w:val="36"/>
          <w:szCs w:val="36"/>
        </w:rPr>
        <w:t xml:space="preserve">1. Document Purpose</w:t>
      </w:r>
    </w:p>
    <w:p>
      <w:pPr>
        <w:spacing w:after="100" w:before="60"/>
      </w:pPr>
      <w:r>
        <w:rPr>
          <w:rFonts w:ascii="Arial" w:cs="Arial" w:eastAsia="Arial" w:hAnsi="Arial"/>
          <w:color w:val="212121"/>
          <w:sz w:val="20"/>
          <w:szCs w:val="20"/>
        </w:rPr>
        <w:t xml:space="preserve">Blueprint v9 is the authoritative reference for the Frankie platform as of June 2026. It supersedes all previous versions (v4–v8) and is the single document that captures every built feature, the full architecture, open to-dos, and the next phase of planned work.</w:t>
      </w:r>
    </w:p>
    <w:p>
      <w:pPr>
        <w:spacing w:after="100" w:before="60"/>
      </w:pPr>
      <w:r>
        <w:rPr>
          <w:rFonts w:ascii="Arial" w:cs="Arial" w:eastAsia="Arial" w:hAnsi="Arial"/>
          <w:color w:val="212121"/>
          <w:sz w:val="20"/>
          <w:szCs w:val="20"/>
        </w:rPr>
        <w:t xml:space="preserve">Previous blueprints accumulated gaps as features were built between versions. v9 is compiled directly from the codebase, all prior blueprints, and the live status files to close those gaps. Future sessions should start here.</w:t>
      </w:r>
    </w:p>
    <w:p>
      <w:pPr>
        <w:pBdr>
          <w:bottom w:val="single" w:color="1B5E20" w:sz="4" w:space="1"/>
        </w:pBdr>
        <w:spacing w:after="160" w:before="160"/>
      </w:pPr>
    </w:p>
    <w:p>
      <w:pPr>
        <w:pStyle w:val="Heading1"/>
        <w:spacing w:after="120" w:before="360"/>
      </w:pPr>
      <w:r>
        <w:rPr>
          <w:rFonts w:ascii="Arial" w:cs="Arial" w:eastAsia="Arial" w:hAnsi="Arial"/>
          <w:b/>
          <w:bCs/>
          <w:color w:val="1B5E20"/>
          <w:sz w:val="36"/>
          <w:szCs w:val="36"/>
        </w:rPr>
        <w:t xml:space="preserve">2. Platform Overview</w:t>
      </w:r>
    </w:p>
    <w:p>
      <w:pPr>
        <w:spacing w:after="100" w:before="60"/>
      </w:pPr>
      <w:r>
        <w:rPr>
          <w:rFonts w:ascii="Arial" w:cs="Arial" w:eastAsia="Arial" w:hAnsi="Arial"/>
          <w:color w:val="212121"/>
          <w:sz w:val="20"/>
          <w:szCs w:val="20"/>
        </w:rPr>
        <w:t xml:space="preserve">Frankie is a static web application — vanilla HTML, CSS, and JavaScript with no server-side runtime. It runs entirely in the browser and calls the Anthropic API directly using a user-supplied key stored in localStorage. The platform is grounded in the NuCCoL Tool Kit knowledge base and is designed for nuclear supply chain suppliers navigating the Fit for Nuclear (F4N) programme.</w:t>
      </w:r>
    </w:p>
    <w:p>
      <w:pPr>
        <w:pStyle w:val="Heading2"/>
        <w:spacing w:after="80" w:before="280"/>
      </w:pPr>
      <w:r>
        <w:rPr>
          <w:rFonts w:ascii="Arial" w:cs="Arial" w:eastAsia="Arial" w:hAnsi="Arial"/>
          <w:b/>
          <w:bCs/>
          <w:color w:val="212121"/>
          <w:sz w:val="26"/>
          <w:szCs w:val="26"/>
        </w:rPr>
        <w:t xml:space="preserve">Architecture Principles</w:t>
      </w:r>
    </w:p>
    <w:p>
      <w:pPr>
        <w:pStyle w:val="ListParagraph"/>
        <w:numPr>
          <w:ilvl w:val="0"/>
          <w:numId w:val="2"/>
        </w:numPr>
        <w:spacing w:after="40" w:before="40"/>
      </w:pPr>
      <w:r>
        <w:rPr>
          <w:rFonts w:ascii="Arial" w:cs="Arial" w:eastAsia="Arial" w:hAnsi="Arial"/>
          <w:b w:val="false"/>
          <w:bCs w:val="false"/>
          <w:sz w:val="20"/>
          <w:szCs w:val="20"/>
        </w:rPr>
        <w:t xml:space="preserve">Static-first — zero server, zero build pipeline, deployable from any file host</w:t>
      </w:r>
    </w:p>
    <w:p>
      <w:pPr>
        <w:pStyle w:val="ListParagraph"/>
        <w:numPr>
          <w:ilvl w:val="0"/>
          <w:numId w:val="2"/>
        </w:numPr>
        <w:spacing w:after="40" w:before="40"/>
      </w:pPr>
      <w:r>
        <w:rPr>
          <w:rFonts w:ascii="Arial" w:cs="Arial" w:eastAsia="Arial" w:hAnsi="Arial"/>
          <w:b w:val="false"/>
          <w:bCs w:val="false"/>
          <w:sz w:val="20"/>
          <w:szCs w:val="20"/>
        </w:rPr>
        <w:t xml:space="preserve">Claude Haiku (claude-haiku-4-5-20251001) for all Tool Kit AI calls — fast and cost-effective</w:t>
      </w:r>
    </w:p>
    <w:p>
      <w:pPr>
        <w:pStyle w:val="ListParagraph"/>
        <w:numPr>
          <w:ilvl w:val="0"/>
          <w:numId w:val="2"/>
        </w:numPr>
        <w:spacing w:after="40" w:before="40"/>
      </w:pPr>
      <w:r>
        <w:rPr>
          <w:rFonts w:ascii="Arial" w:cs="Arial" w:eastAsia="Arial" w:hAnsi="Arial"/>
          <w:b w:val="false"/>
          <w:bCs w:val="false"/>
          <w:sz w:val="20"/>
          <w:szCs w:val="20"/>
        </w:rPr>
        <w:t xml:space="preserve">Claude Sonnet for chat when confidence is low (model router decides)</w:t>
      </w:r>
    </w:p>
    <w:p>
      <w:pPr>
        <w:pStyle w:val="ListParagraph"/>
        <w:numPr>
          <w:ilvl w:val="0"/>
          <w:numId w:val="2"/>
        </w:numPr>
        <w:spacing w:after="40" w:before="40"/>
      </w:pPr>
      <w:r>
        <w:rPr>
          <w:rFonts w:ascii="Arial" w:cs="Arial" w:eastAsia="Arial" w:hAnsi="Arial"/>
          <w:b w:val="false"/>
          <w:bCs w:val="false"/>
          <w:sz w:val="20"/>
          <w:szCs w:val="20"/>
        </w:rPr>
        <w:t xml:space="preserve">Groq / Llama-3.1-8b-instant for query preprocessing and intent classification</w:t>
      </w:r>
    </w:p>
    <w:p>
      <w:pPr>
        <w:pStyle w:val="ListParagraph"/>
        <w:numPr>
          <w:ilvl w:val="0"/>
          <w:numId w:val="2"/>
        </w:numPr>
        <w:spacing w:after="40" w:before="40"/>
      </w:pPr>
      <w:r>
        <w:rPr>
          <w:rFonts w:ascii="Arial" w:cs="Arial" w:eastAsia="Arial" w:hAnsi="Arial"/>
          <w:b w:val="false"/>
          <w:bCs w:val="false"/>
          <w:sz w:val="20"/>
          <w:szCs w:val="20"/>
        </w:rPr>
        <w:t xml:space="preserve">RAG-grounded — every chat response uses hybrid semantic + keyword search over 25,083 KB chunks (frankie6_kb.json)</w:t>
      </w:r>
    </w:p>
    <w:p>
      <w:pPr>
        <w:pStyle w:val="ListParagraph"/>
        <w:numPr>
          <w:ilvl w:val="0"/>
          <w:numId w:val="2"/>
        </w:numPr>
        <w:spacing w:after="40" w:before="40"/>
      </w:pPr>
      <w:r>
        <w:rPr>
          <w:rFonts w:ascii="Arial" w:cs="Arial" w:eastAsia="Arial" w:hAnsi="Arial"/>
          <w:b w:val="false"/>
          <w:bCs w:val="false"/>
          <w:sz w:val="20"/>
          <w:szCs w:val="20"/>
        </w:rPr>
        <w:t xml:space="preserve">Drawer pattern — all tools open as sliding side panels via window.XxxDrawer.open()</w:t>
      </w:r>
    </w:p>
    <w:p>
      <w:pPr>
        <w:pStyle w:val="ListParagraph"/>
        <w:numPr>
          <w:ilvl w:val="0"/>
          <w:numId w:val="2"/>
        </w:numPr>
        <w:spacing w:after="40" w:before="40"/>
      </w:pPr>
      <w:r>
        <w:rPr>
          <w:rFonts w:ascii="Arial" w:cs="Arial" w:eastAsia="Arial" w:hAnsi="Arial"/>
          <w:b w:val="false"/>
          <w:bCs w:val="false"/>
          <w:sz w:val="20"/>
          <w:szCs w:val="20"/>
        </w:rPr>
        <w:t xml:space="preserve">IIFE modules — each drawer is a self-contained IIFE exposing one global object</w:t>
      </w:r>
    </w:p>
    <w:p>
      <w:pPr>
        <w:pStyle w:val="ListParagraph"/>
        <w:numPr>
          <w:ilvl w:val="0"/>
          <w:numId w:val="2"/>
        </w:numPr>
        <w:spacing w:after="40" w:before="40"/>
      </w:pPr>
      <w:r>
        <w:rPr>
          <w:rFonts w:ascii="Arial" w:cs="Arial" w:eastAsia="Arial" w:hAnsi="Arial"/>
          <w:b w:val="false"/>
          <w:bCs w:val="false"/>
          <w:sz w:val="20"/>
          <w:szCs w:val="20"/>
        </w:rPr>
        <w:t xml:space="preserve">localStorage for user preferences and feature flags (API keys held in Cloudflare Worker secrets)</w:t>
      </w:r>
    </w:p>
    <w:p>
      <w:pPr>
        <w:pStyle w:val="ListParagraph"/>
        <w:numPr>
          <w:ilvl w:val="0"/>
          <w:numId w:val="2"/>
        </w:numPr>
        <w:spacing w:after="40" w:before="40"/>
      </w:pPr>
      <w:r>
        <w:rPr>
          <w:rFonts w:ascii="Arial" w:cs="Arial" w:eastAsia="Arial" w:hAnsi="Arial"/>
          <w:b w:val="false"/>
          <w:bCs w:val="false"/>
          <w:sz w:val="20"/>
          <w:szCs w:val="20"/>
        </w:rPr>
        <w:t xml:space="preserve">Print-ready — all Tool Kit outputs open a styled print window via window.open()</w:t>
      </w:r>
    </w:p>
    <w:p>
      <w:pPr>
        <w:pStyle w:val="ListParagraph"/>
        <w:numPr>
          <w:ilvl w:val="0"/>
          <w:numId w:val="2"/>
        </w:numPr>
        <w:spacing w:after="40" w:before="40"/>
      </w:pPr>
      <w:r>
        <w:rPr>
          <w:rFonts w:ascii="Arial" w:cs="Arial" w:eastAsia="Arial" w:hAnsi="Arial"/>
          <w:b w:val="false"/>
          <w:bCs w:val="false"/>
          <w:sz w:val="20"/>
          <w:szCs w:val="20"/>
        </w:rPr>
        <w:t xml:space="preserve">Supabase for auth, evidence file storage, ISO 19443 results, and company profiles</w:t>
      </w:r>
    </w:p>
    <w:p>
      <w:pPr>
        <w:pStyle w:val="ListParagraph"/>
        <w:numPr>
          <w:ilvl w:val="0"/>
          <w:numId w:val="2"/>
        </w:numPr>
        <w:spacing w:after="40" w:before="40"/>
      </w:pPr>
      <w:r>
        <w:rPr>
          <w:rFonts w:ascii="Arial" w:cs="Arial" w:eastAsia="Arial" w:hAnsi="Arial"/>
          <w:b w:val="false"/>
          <w:bCs w:val="false"/>
          <w:sz w:val="20"/>
          <w:szCs w:val="20"/>
        </w:rPr>
        <w:t xml:space="preserve">Cloudflare Workers for CORS proxy (Companies House API)</w:t>
      </w:r>
    </w:p>
    <w:p>
      <w:pPr>
        <w:pStyle w:val="Heading2"/>
        <w:spacing w:after="80" w:before="280"/>
      </w:pPr>
      <w:r>
        <w:rPr>
          <w:rFonts w:ascii="Arial" w:cs="Arial" w:eastAsia="Arial" w:hAnsi="Arial"/>
          <w:b/>
          <w:bCs/>
          <w:color w:val="212121"/>
          <w:sz w:val="26"/>
          <w:szCs w:val="26"/>
        </w:rPr>
        <w:t xml:space="preserve">Four Chat Modes</w:t>
      </w:r>
    </w:p>
    <w:p>
      <w:pPr>
        <w:pStyle w:val="ListParagraph"/>
        <w:numPr>
          <w:ilvl w:val="0"/>
          <w:numId w:val="2"/>
        </w:numPr>
        <w:spacing w:after="40" w:before="40"/>
      </w:pPr>
      <w:r>
        <w:rPr>
          <w:rFonts w:ascii="Arial" w:cs="Arial" w:eastAsia="Arial" w:hAnsi="Arial"/>
          <w:b w:val="false"/>
          <w:bCs w:val="false"/>
          <w:sz w:val="20"/>
          <w:szCs w:val="20"/>
        </w:rPr>
        <w:t xml:space="preserve">Company — 'What do I need to do?' General F4N readiness guidance</w:t>
      </w:r>
    </w:p>
    <w:p>
      <w:pPr>
        <w:pStyle w:val="ListParagraph"/>
        <w:numPr>
          <w:ilvl w:val="0"/>
          <w:numId w:val="2"/>
        </w:numPr>
        <w:spacing w:after="40" w:before="40"/>
      </w:pPr>
      <w:r>
        <w:rPr>
          <w:rFonts w:ascii="Arial" w:cs="Arial" w:eastAsia="Arial" w:hAnsi="Arial"/>
          <w:b w:val="false"/>
          <w:bCs w:val="false"/>
          <w:sz w:val="20"/>
          <w:szCs w:val="20"/>
        </w:rPr>
        <w:t xml:space="preserve">SCC — Red flags and scoring perspective</w:t>
      </w:r>
    </w:p>
    <w:p>
      <w:pPr>
        <w:pStyle w:val="ListParagraph"/>
        <w:numPr>
          <w:ilvl w:val="0"/>
          <w:numId w:val="2"/>
        </w:numPr>
        <w:spacing w:after="40" w:before="40"/>
      </w:pPr>
      <w:r>
        <w:rPr>
          <w:rFonts w:ascii="Arial" w:cs="Arial" w:eastAsia="Arial" w:hAnsi="Arial"/>
          <w:b w:val="false"/>
          <w:bCs w:val="false"/>
          <w:sz w:val="20"/>
          <w:szCs w:val="20"/>
        </w:rPr>
        <w:t xml:space="preserve">OSV Prep — Checklist-led verification preparation</w:t>
      </w:r>
    </w:p>
    <w:p>
      <w:pPr>
        <w:pStyle w:val="ListParagraph"/>
        <w:numPr>
          <w:ilvl w:val="0"/>
          <w:numId w:val="2"/>
        </w:numPr>
        <w:spacing w:after="40" w:before="40"/>
      </w:pPr>
      <w:r>
        <w:rPr>
          <w:rFonts w:ascii="Arial" w:cs="Arial" w:eastAsia="Arial" w:hAnsi="Arial"/>
          <w:b w:val="false"/>
          <w:bCs w:val="false"/>
          <w:sz w:val="20"/>
          <w:szCs w:val="20"/>
        </w:rPr>
        <w:t xml:space="preserve">Readiness — Short public diagnostic</w:t>
      </w:r>
    </w:p>
    <w:p>
      <w:pPr>
        <w:pBdr>
          <w:bottom w:val="single" w:color="1B5E20" w:sz="4" w:space="1"/>
        </w:pBdr>
        <w:spacing w:after="160" w:before="160"/>
      </w:pPr>
    </w:p>
    <w:p>
      <w:pPr>
        <w:pStyle w:val="Heading1"/>
        <w:spacing w:after="120" w:before="360"/>
      </w:pPr>
      <w:r>
        <w:rPr>
          <w:rFonts w:ascii="Arial" w:cs="Arial" w:eastAsia="Arial" w:hAnsi="Arial"/>
          <w:b/>
          <w:bCs/>
          <w:color w:val="1B5E20"/>
          <w:sz w:val="36"/>
          <w:szCs w:val="36"/>
        </w:rPr>
        <w:t xml:space="preserve">3. Infrastructure &amp; Architecture</w:t>
      </w:r>
    </w:p>
    <w:p>
      <w:pPr>
        <w:pStyle w:val="Heading2"/>
        <w:spacing w:after="80" w:before="280"/>
      </w:pPr>
      <w:r>
        <w:rPr>
          <w:rFonts w:ascii="Arial" w:cs="Arial" w:eastAsia="Arial" w:hAnsi="Arial"/>
          <w:b/>
          <w:bCs/>
          <w:color w:val="212121"/>
          <w:sz w:val="26"/>
          <w:szCs w:val="26"/>
        </w:rPr>
        <w:t xml:space="preserve">Full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69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400"/>
            <w:tcBorders>
              <w:top w:val="single" w:color="EEEEEE" w:sz="1"/>
              <w:left w:val="single" w:color="EEEEEE" w:sz="1"/>
              <w:bottom w:val="single" w:color="EEEEEE" w:sz="1"/>
              <w:right w:val="single" w:color="EEEEEE" w:sz="1"/>
            </w:tcBorders>
            <w:shd w:fill="F5F5F5" w:val="clear"/>
            <w:tcMar>
              <w:top w:type="dxa" w:w="80"/>
              <w:left w:type="dxa" w:w="120"/>
              <w:bottom w:type="dxa" w:w="80"/>
              <w:right w:type="dxa" w:w="120"/>
            </w:tcMar>
          </w:tcPr>
          <w:p>
            <w:r>
              <w:rPr>
                <w:rFonts w:ascii="Arial" w:cs="Arial" w:eastAsia="Arial" w:hAnsi="Arial"/>
                <w:b/>
                <w:bCs/>
                <w:sz w:val="18"/>
                <w:szCs w:val="18"/>
              </w:rPr>
              <w:t xml:space="preserve">Static web app</w:t>
            </w:r>
          </w:p>
        </w:tc>
        <w:tc>
          <w:tcPr>
            <w:tcW w:type="dxa" w:w="6960"/>
            <w:tcBorders>
              <w:top w:val="single" w:color="EEEEEE" w:sz="1"/>
              <w:left w:val="single" w:color="EEEEEE" w:sz="1"/>
              <w:bottom w:val="single" w:color="EEEEEE" w:sz="1"/>
              <w:right w:val="single" w:color="EEEEEE" w:sz="1"/>
            </w:tcBorders>
            <w:tcMar>
              <w:top w:type="dxa" w:w="80"/>
              <w:left w:type="dxa" w:w="120"/>
              <w:bottom w:type="dxa" w:w="80"/>
              <w:right w:type="dxa" w:w="120"/>
            </w:tcMar>
          </w:tcPr>
          <w:p>
            <w:r>
              <w:rPr>
                <w:rFonts w:ascii="Arial" w:cs="Arial" w:eastAsia="Arial" w:hAnsi="Arial"/>
                <w:sz w:val="18"/>
                <w:szCs w:val="18"/>
              </w:rPr>
              <w:t xml:space="preserve">index.html + vanilla JS modules. No build step. CSP header restricts API origins.</w:t>
            </w:r>
          </w:p>
        </w:tc>
      </w:tr>
      <w:tr>
        <w:tc>
          <w:tcPr>
            <w:tcW w:type="dxa" w:w="2400"/>
            <w:tcBorders>
              <w:top w:val="single" w:color="EEEEEE" w:sz="1"/>
              <w:left w:val="single" w:color="EEEEEE" w:sz="1"/>
              <w:bottom w:val="single" w:color="EEEEEE" w:sz="1"/>
              <w:right w:val="single" w:color="EEEEEE" w:sz="1"/>
            </w:tcBorders>
            <w:shd w:fill="F5F5F5" w:val="clear"/>
            <w:tcMar>
              <w:top w:type="dxa" w:w="80"/>
              <w:left w:type="dxa" w:w="120"/>
              <w:bottom w:type="dxa" w:w="80"/>
              <w:right w:type="dxa" w:w="120"/>
            </w:tcMar>
          </w:tcPr>
          <w:p>
            <w:r>
              <w:rPr>
                <w:rFonts w:ascii="Arial" w:cs="Arial" w:eastAsia="Arial" w:hAnsi="Arial"/>
                <w:b/>
                <w:bCs/>
                <w:sz w:val="18"/>
                <w:szCs w:val="18"/>
              </w:rPr>
              <w:t xml:space="preserve">Supabase</w:t>
            </w:r>
          </w:p>
        </w:tc>
        <w:tc>
          <w:tcPr>
            <w:tcW w:type="dxa" w:w="6960"/>
            <w:tcBorders>
              <w:top w:val="single" w:color="EEEEEE" w:sz="1"/>
              <w:left w:val="single" w:color="EEEEEE" w:sz="1"/>
              <w:bottom w:val="single" w:color="EEEEEE" w:sz="1"/>
              <w:right w:val="single" w:color="EEEEEE" w:sz="1"/>
            </w:tcBorders>
            <w:tcMar>
              <w:top w:type="dxa" w:w="80"/>
              <w:left w:type="dxa" w:w="120"/>
              <w:bottom w:type="dxa" w:w="80"/>
              <w:right w:type="dxa" w:w="120"/>
            </w:tcMar>
          </w:tcPr>
          <w:p>
            <w:r>
              <w:rPr>
                <w:rFonts w:ascii="Arial" w:cs="Arial" w:eastAsia="Arial" w:hAnsi="Arial"/>
                <w:sz w:val="18"/>
                <w:szCs w:val="18"/>
              </w:rPr>
              <w:t xml:space="preserve">Auth (signInWithPassword), evidence-docs Storage bucket (private), company _profile.json, ISO 19443 results table, RLS policies restricting @nuccol.co.uk for SCC reads.</w:t>
            </w:r>
          </w:p>
        </w:tc>
      </w:tr>
      <w:tr>
        <w:tc>
          <w:tcPr>
            <w:tcW w:type="dxa" w:w="2400"/>
            <w:tcBorders>
              <w:top w:val="single" w:color="EEEEEE" w:sz="1"/>
              <w:left w:val="single" w:color="EEEEEE" w:sz="1"/>
              <w:bottom w:val="single" w:color="EEEEEE" w:sz="1"/>
              <w:right w:val="single" w:color="EEEEEE" w:sz="1"/>
            </w:tcBorders>
            <w:shd w:fill="F5F5F5" w:val="clear"/>
            <w:tcMar>
              <w:top w:type="dxa" w:w="80"/>
              <w:left w:type="dxa" w:w="120"/>
              <w:bottom w:type="dxa" w:w="80"/>
              <w:right w:type="dxa" w:w="120"/>
            </w:tcMar>
          </w:tcPr>
          <w:p>
            <w:r>
              <w:rPr>
                <w:rFonts w:ascii="Arial" w:cs="Arial" w:eastAsia="Arial" w:hAnsi="Arial"/>
                <w:b/>
                <w:bCs/>
                <w:sz w:val="18"/>
                <w:szCs w:val="18"/>
              </w:rPr>
              <w:t xml:space="preserve">Cloudflare Workers</w:t>
            </w:r>
          </w:p>
        </w:tc>
        <w:tc>
          <w:tcPr>
            <w:tcW w:type="dxa" w:w="6960"/>
            <w:tcBorders>
              <w:top w:val="single" w:color="EEEEEE" w:sz="1"/>
              <w:left w:val="single" w:color="EEEEEE" w:sz="1"/>
              <w:bottom w:val="single" w:color="EEEEEE" w:sz="1"/>
              <w:right w:val="single" w:color="EEEEEE" w:sz="1"/>
            </w:tcBorders>
            <w:tcMar>
              <w:top w:type="dxa" w:w="80"/>
              <w:left w:type="dxa" w:w="120"/>
              <w:bottom w:type="dxa" w:w="80"/>
              <w:right w:type="dxa" w:w="120"/>
            </w:tcMar>
          </w:tcPr>
          <w:p>
            <w:r>
              <w:rPr>
                <w:rFonts w:ascii="Arial" w:cs="Arial" w:eastAsia="Arial" w:hAnsi="Arial"/>
                <w:sz w:val="18"/>
                <w:szCs w:val="18"/>
              </w:rPr>
              <w:t xml:space="preserve">ch-proxy-worker.js — CORS proxy for Companies House API. Deployed separately.</w:t>
            </w:r>
          </w:p>
        </w:tc>
      </w:tr>
      <w:tr>
        <w:tc>
          <w:tcPr>
            <w:tcW w:type="dxa" w:w="2400"/>
            <w:tcBorders>
              <w:top w:val="single" w:color="EEEEEE" w:sz="1"/>
              <w:left w:val="single" w:color="EEEEEE" w:sz="1"/>
              <w:bottom w:val="single" w:color="EEEEEE" w:sz="1"/>
              <w:right w:val="single" w:color="EEEEEE" w:sz="1"/>
            </w:tcBorders>
            <w:shd w:fill="F5F5F5" w:val="clear"/>
            <w:tcMar>
              <w:top w:type="dxa" w:w="80"/>
              <w:left w:type="dxa" w:w="120"/>
              <w:bottom w:type="dxa" w:w="80"/>
              <w:right w:type="dxa" w:w="120"/>
            </w:tcMar>
          </w:tcPr>
          <w:p>
            <w:r>
              <w:rPr>
                <w:rFonts w:ascii="Arial" w:cs="Arial" w:eastAsia="Arial" w:hAnsi="Arial"/>
                <w:b/>
                <w:bCs/>
                <w:sz w:val="18"/>
                <w:szCs w:val="18"/>
              </w:rPr>
              <w:t xml:space="preserve">Azure Blob</w:t>
            </w:r>
          </w:p>
        </w:tc>
        <w:tc>
          <w:tcPr>
            <w:tcW w:type="dxa" w:w="6960"/>
            <w:tcBorders>
              <w:top w:val="single" w:color="EEEEEE" w:sz="1"/>
              <w:left w:val="single" w:color="EEEEEE" w:sz="1"/>
              <w:bottom w:val="single" w:color="EEEEEE" w:sz="1"/>
              <w:right w:val="single" w:color="EEEEEE" w:sz="1"/>
            </w:tcBorders>
            <w:tcMar>
              <w:top w:type="dxa" w:w="80"/>
              <w:left w:type="dxa" w:w="120"/>
              <w:bottom w:type="dxa" w:w="80"/>
              <w:right w:type="dxa" w:w="120"/>
            </w:tcMar>
          </w:tcPr>
          <w:p>
            <w:r>
              <w:rPr>
                <w:rFonts w:ascii="Arial" w:cs="Arial" w:eastAsia="Arial" w:hAnsi="Arial"/>
                <w:sz w:val="18"/>
                <w:szCs w:val="18"/>
              </w:rPr>
              <w:t xml:space="preserve">Scraper results storage (SCC portal tender/news scraper output).</w:t>
            </w:r>
          </w:p>
        </w:tc>
      </w:tr>
      <w:tr>
        <w:tc>
          <w:tcPr>
            <w:tcW w:type="dxa" w:w="2400"/>
            <w:tcBorders>
              <w:top w:val="single" w:color="EEEEEE" w:sz="1"/>
              <w:left w:val="single" w:color="EEEEEE" w:sz="1"/>
              <w:bottom w:val="single" w:color="EEEEEE" w:sz="1"/>
              <w:right w:val="single" w:color="EEEEEE" w:sz="1"/>
            </w:tcBorders>
            <w:shd w:fill="F5F5F5" w:val="clear"/>
            <w:tcMar>
              <w:top w:type="dxa" w:w="80"/>
              <w:left w:type="dxa" w:w="120"/>
              <w:bottom w:type="dxa" w:w="80"/>
              <w:right w:type="dxa" w:w="120"/>
            </w:tcMar>
          </w:tcPr>
          <w:p>
            <w:r>
              <w:rPr>
                <w:rFonts w:ascii="Arial" w:cs="Arial" w:eastAsia="Arial" w:hAnsi="Arial"/>
                <w:b/>
                <w:bCs/>
                <w:sz w:val="18"/>
                <w:szCs w:val="18"/>
              </w:rPr>
              <w:t xml:space="preserve">Members portal</w:t>
            </w:r>
          </w:p>
        </w:tc>
        <w:tc>
          <w:tcPr>
            <w:tcW w:type="dxa" w:w="6960"/>
            <w:tcBorders>
              <w:top w:val="single" w:color="EEEEEE" w:sz="1"/>
              <w:left w:val="single" w:color="EEEEEE" w:sz="1"/>
              <w:bottom w:val="single" w:color="EEEEEE" w:sz="1"/>
              <w:right w:val="single" w:color="EEEEEE" w:sz="1"/>
            </w:tcBorders>
            <w:tcMar>
              <w:top w:type="dxa" w:w="80"/>
              <w:left w:type="dxa" w:w="120"/>
              <w:bottom w:type="dxa" w:w="80"/>
              <w:right w:type="dxa" w:w="120"/>
            </w:tcMar>
          </w:tcPr>
          <w:p>
            <w:r>
              <w:rPr>
                <w:rFonts w:ascii="Arial" w:cs="Arial" w:eastAsia="Arial" w:hAnsi="Arial"/>
                <w:sz w:val="18"/>
                <w:szCs w:val="18"/>
              </w:rPr>
              <w:t xml:space="preserve">members_5.html — login and auth bridge. Sets frankieUserId, frankieUserToken, frankieCompanyName in localStorage for Evidence Vault auth.</w:t>
            </w:r>
          </w:p>
        </w:tc>
      </w:tr>
      <w:tr>
        <w:tc>
          <w:tcPr>
            <w:tcW w:type="dxa" w:w="2400"/>
            <w:tcBorders>
              <w:top w:val="single" w:color="EEEEEE" w:sz="1"/>
              <w:left w:val="single" w:color="EEEEEE" w:sz="1"/>
              <w:bottom w:val="single" w:color="EEEEEE" w:sz="1"/>
              <w:right w:val="single" w:color="EEEEEE" w:sz="1"/>
            </w:tcBorders>
            <w:shd w:fill="F5F5F5" w:val="clear"/>
            <w:tcMar>
              <w:top w:type="dxa" w:w="80"/>
              <w:left w:type="dxa" w:w="120"/>
              <w:bottom w:type="dxa" w:w="80"/>
              <w:right w:type="dxa" w:w="120"/>
            </w:tcMar>
          </w:tcPr>
          <w:p>
            <w:r>
              <w:rPr>
                <w:rFonts w:ascii="Arial" w:cs="Arial" w:eastAsia="Arial" w:hAnsi="Arial"/>
                <w:b/>
                <w:bCs/>
                <w:sz w:val="18"/>
                <w:szCs w:val="18"/>
              </w:rPr>
              <w:t xml:space="preserve">SCC portal</w:t>
            </w:r>
          </w:p>
        </w:tc>
        <w:tc>
          <w:tcPr>
            <w:tcW w:type="dxa" w:w="6960"/>
            <w:tcBorders>
              <w:top w:val="single" w:color="EEEEEE" w:sz="1"/>
              <w:left w:val="single" w:color="EEEEEE" w:sz="1"/>
              <w:bottom w:val="single" w:color="EEEEEE" w:sz="1"/>
              <w:right w:val="single" w:color="EEEEEE" w:sz="1"/>
            </w:tcBorders>
            <w:tcMar>
              <w:top w:type="dxa" w:w="80"/>
              <w:left w:type="dxa" w:w="120"/>
              <w:bottom w:type="dxa" w:w="80"/>
              <w:right w:type="dxa" w:w="120"/>
            </w:tcMar>
          </w:tcPr>
          <w:p>
            <w:r>
              <w:rPr>
                <w:rFonts w:ascii="Arial" w:cs="Arial" w:eastAsia="Arial" w:hAnsi="Arial"/>
                <w:sz w:val="18"/>
                <w:szCs w:val="18"/>
              </w:rPr>
              <w:t xml:space="preserve">scc.html — full SCC staff interface. Supabase auth, company CRM, evidence dashboard, ISO 19443 results, live scraper, supplier intelligence.</w:t>
            </w:r>
          </w:p>
        </w:tc>
      </w:tr>
      <w:tr>
        <w:tc>
          <w:tcPr>
            <w:tcW w:type="dxa" w:w="2400"/>
            <w:tcBorders>
              <w:top w:val="single" w:color="EEEEEE" w:sz="1"/>
              <w:left w:val="single" w:color="EEEEEE" w:sz="1"/>
              <w:bottom w:val="single" w:color="EEEEEE" w:sz="1"/>
              <w:right w:val="single" w:color="EEEEEE" w:sz="1"/>
            </w:tcBorders>
            <w:shd w:fill="F5F5F5" w:val="clear"/>
            <w:tcMar>
              <w:top w:type="dxa" w:w="80"/>
              <w:left w:type="dxa" w:w="120"/>
              <w:bottom w:type="dxa" w:w="80"/>
              <w:right w:type="dxa" w:w="120"/>
            </w:tcMar>
          </w:tcPr>
          <w:p>
            <w:r>
              <w:rPr>
                <w:rFonts w:ascii="Arial" w:cs="Arial" w:eastAsia="Arial" w:hAnsi="Arial"/>
                <w:b/>
                <w:bCs/>
                <w:sz w:val="18"/>
                <w:szCs w:val="18"/>
              </w:rPr>
              <w:t xml:space="preserve">Plant Explorer</w:t>
            </w:r>
          </w:p>
        </w:tc>
        <w:tc>
          <w:tcPr>
            <w:tcW w:type="dxa" w:w="6960"/>
            <w:tcBorders>
              <w:top w:val="single" w:color="EEEEEE" w:sz="1"/>
              <w:left w:val="single" w:color="EEEEEE" w:sz="1"/>
              <w:bottom w:val="single" w:color="EEEEEE" w:sz="1"/>
              <w:right w:val="single" w:color="EEEEEE" w:sz="1"/>
            </w:tcBorders>
            <w:tcMar>
              <w:top w:type="dxa" w:w="80"/>
              <w:left w:type="dxa" w:w="120"/>
              <w:bottom w:type="dxa" w:w="80"/>
              <w:right w:type="dxa" w:w="120"/>
            </w:tcMar>
          </w:tcPr>
          <w:p>
            <w:r>
              <w:rPr>
                <w:rFonts w:ascii="Arial" w:cs="Arial" w:eastAsia="Arial" w:hAnsi="Arial"/>
                <w:sz w:val="18"/>
                <w:szCs w:val="18"/>
              </w:rPr>
              <w:t xml:space="preserve">NucCol_Plant_Explorer.html — standalone nuclear plant explorer tool. Also accessible via plant-drawer.js in Frankie.</w:t>
            </w:r>
          </w:p>
        </w:tc>
      </w:tr>
    </w:tbl>
    <w:p>
      <w:pPr>
        <w:spacing w:after="0" w:before="100"/>
      </w:pPr>
    </w:p>
    <w:p>
      <w:pPr>
        <w:pStyle w:val="Heading2"/>
        <w:spacing w:after="80" w:before="280"/>
      </w:pPr>
      <w:r>
        <w:rPr>
          <w:rFonts w:ascii="Arial" w:cs="Arial" w:eastAsia="Arial" w:hAnsi="Arial"/>
          <w:b/>
          <w:bCs/>
          <w:color w:val="212121"/>
          <w:sz w:val="26"/>
          <w:szCs w:val="26"/>
        </w:rPr>
        <w:t xml:space="preserve">API Stack &amp; Model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API</w:t>
            </w:r>
          </w:p>
        </w:tc>
        <w:tc>
          <w:tcPr>
            <w:tcW w:type="dxa" w:w="30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Model / Version</w:t>
            </w:r>
          </w:p>
        </w:tc>
        <w:tc>
          <w:tcPr>
            <w:tcW w:type="dxa" w:w="41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sz w:val="17"/>
                <w:szCs w:val="17"/>
              </w:rPr>
              <w:t xml:space="preserve">Claude (Anthropic)</w:t>
            </w:r>
          </w:p>
        </w:tc>
        <w:tc>
          <w:tcPr>
            <w:tcW w:type="dxa" w:w="30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color w:val="333333"/>
                <w:sz w:val="16"/>
                <w:szCs w:val="16"/>
              </w:rPr>
              <w:t xml:space="preserve">claude-haiku-4-5-20251001</w:t>
            </w:r>
          </w:p>
        </w:tc>
        <w:tc>
          <w:tcPr>
            <w:tcW w:type="dxa" w:w="4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All Tool Kit AI calls (F9-F15). Fast, low cost. Direct browser call with anthropic-dangerous-direct-browser-access header.</w:t>
            </w:r>
          </w:p>
        </w:tc>
      </w:tr>
      <w:tr>
        <w:tc>
          <w:tcPr>
            <w:tcW w:type="dxa" w:w="2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sz w:val="17"/>
                <w:szCs w:val="17"/>
              </w:rPr>
              <w:t xml:space="preserve">Claude (Anthropic)</w:t>
            </w:r>
          </w:p>
        </w:tc>
        <w:tc>
          <w:tcPr>
            <w:tcW w:type="dxa" w:w="30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color w:val="333333"/>
                <w:sz w:val="16"/>
                <w:szCs w:val="16"/>
              </w:rPr>
              <w:t xml:space="preserve">claude-sonnet-4-20250514 (configurable)</w:t>
            </w:r>
          </w:p>
        </w:tc>
        <w:tc>
          <w:tcPr>
            <w:tcW w:type="dxa" w:w="4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Chat responses when retrieval confidence is low. Falls back to local KB if unavailable.</w:t>
            </w:r>
          </w:p>
        </w:tc>
      </w:tr>
      <w:tr>
        <w:tc>
          <w:tcPr>
            <w:tcW w:type="dxa" w:w="2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sz w:val="17"/>
                <w:szCs w:val="17"/>
              </w:rPr>
              <w:t xml:space="preserve">Groq</w:t>
            </w:r>
          </w:p>
        </w:tc>
        <w:tc>
          <w:tcPr>
            <w:tcW w:type="dxa" w:w="30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color w:val="333333"/>
                <w:sz w:val="16"/>
                <w:szCs w:val="16"/>
              </w:rPr>
              <w:t xml:space="preserve">llama-3.1-8b-instant</w:t>
            </w:r>
          </w:p>
        </w:tc>
        <w:tc>
          <w:tcPr>
            <w:tcW w:type="dxa" w:w="4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Query preprocessing: intent classification, query rewriting, context compression. 30s timeout. Always resolves — never crashes chat.</w:t>
            </w:r>
          </w:p>
        </w:tc>
      </w:tr>
      <w:tr>
        <w:tc>
          <w:tcPr>
            <w:tcW w:type="dxa" w:w="2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sz w:val="17"/>
                <w:szCs w:val="17"/>
              </w:rPr>
              <w:t xml:space="preserve">OpenAI</w:t>
            </w:r>
          </w:p>
        </w:tc>
        <w:tc>
          <w:tcPr>
            <w:tcW w:type="dxa" w:w="30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color w:val="333333"/>
                <w:sz w:val="16"/>
                <w:szCs w:val="16"/>
              </w:rPr>
              <w:t xml:space="preserve">text-embedding-3-small</w:t>
            </w:r>
          </w:p>
        </w:tc>
        <w:tc>
          <w:tcPr>
            <w:tcW w:type="dxa" w:w="4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Pre-computed vectors for frankie5_vectors.json (58.2 MB). Also called at query time if key provided for semantic search.</w:t>
            </w:r>
          </w:p>
        </w:tc>
      </w:tr>
      <w:tr>
        <w:tc>
          <w:tcPr>
            <w:tcW w:type="dxa" w:w="2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sz w:val="17"/>
                <w:szCs w:val="17"/>
              </w:rPr>
              <w:t xml:space="preserve">Brave Search</w:t>
            </w:r>
          </w:p>
        </w:tc>
        <w:tc>
          <w:tcPr>
            <w:tcW w:type="dxa" w:w="30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color w:val="333333"/>
                <w:sz w:val="16"/>
                <w:szCs w:val="16"/>
              </w:rPr>
              <w:t xml:space="preserve">Search API</w:t>
            </w:r>
          </w:p>
        </w:tc>
        <w:tc>
          <w:tcPr>
            <w:tcW w:type="dxa" w:w="4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SCC portal scraper — tenders, news, events. Results saved to Azure Blob.</w:t>
            </w:r>
          </w:p>
        </w:tc>
      </w:tr>
      <w:tr>
        <w:tc>
          <w:tcPr>
            <w:tcW w:type="dxa" w:w="2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sz w:val="17"/>
                <w:szCs w:val="17"/>
              </w:rPr>
              <w:t xml:space="preserve">postcodes.io</w:t>
            </w:r>
          </w:p>
        </w:tc>
        <w:tc>
          <w:tcPr>
            <w:tcW w:type="dxa" w:w="30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color w:val="333333"/>
                <w:sz w:val="16"/>
                <w:szCs w:val="16"/>
              </w:rPr>
              <w:t xml:space="preserve">Free public API</w:t>
            </w:r>
          </w:p>
        </w:tc>
        <w:tc>
          <w:tcPr>
            <w:tcW w:type="dxa" w:w="4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Postcode lookup for Social Value Finder. No key required.</w:t>
            </w:r>
          </w:p>
        </w:tc>
      </w:tr>
      <w:tr>
        <w:tc>
          <w:tcPr>
            <w:tcW w:type="dxa" w:w="2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sz w:val="17"/>
                <w:szCs w:val="17"/>
              </w:rPr>
              <w:t xml:space="preserve">Companies House</w:t>
            </w:r>
          </w:p>
        </w:tc>
        <w:tc>
          <w:tcPr>
            <w:tcW w:type="dxa" w:w="30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color w:val="333333"/>
                <w:sz w:val="16"/>
                <w:szCs w:val="16"/>
              </w:rPr>
              <w:t xml:space="preserve">Via Cloudflare proxy</w:t>
            </w:r>
          </w:p>
        </w:tc>
        <w:tc>
          <w:tcPr>
            <w:tcW w:type="dxa" w:w="4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Supplier Intelligence (due-diligence-drawer.js). Proxied via ch-proxy-worker.js to handle CORS.</w:t>
            </w:r>
          </w:p>
        </w:tc>
      </w:tr>
    </w:tbl>
    <w:p>
      <w:pPr>
        <w:spacing w:after="0" w:before="100"/>
      </w:pPr>
    </w:p>
    <w:p>
      <w:pPr>
        <w:pStyle w:val="Heading2"/>
        <w:spacing w:after="80" w:before="280"/>
      </w:pPr>
      <w:r>
        <w:rPr>
          <w:rFonts w:ascii="Arial" w:cs="Arial" w:eastAsia="Arial" w:hAnsi="Arial"/>
          <w:b/>
          <w:bCs/>
          <w:color w:val="212121"/>
          <w:sz w:val="26"/>
          <w:szCs w:val="26"/>
        </w:rPr>
        <w:t xml:space="preserve">Confidence-Based Model Routing</w:t>
      </w:r>
    </w:p>
    <w:p>
      <w:pPr>
        <w:spacing w:after="100" w:before="60"/>
      </w:pPr>
      <w:r>
        <w:rPr>
          <w:rFonts w:ascii="Arial" w:cs="Arial" w:eastAsia="Arial" w:hAnsi="Arial"/>
          <w:color w:val="212121"/>
          <w:sz w:val="20"/>
          <w:szCs w:val="20"/>
        </w:rPr>
        <w:t xml:space="preserve">The routing logic in modelRouter.js selects the response model for every chat query based on retrieval confidence score (0–1, clamped from raw keyword/vector score).</w:t>
      </w:r>
    </w:p>
    <w:p>
      <w:pPr>
        <w:pStyle w:val="ListParagraph"/>
        <w:numPr>
          <w:ilvl w:val="0"/>
          <w:numId w:val="2"/>
        </w:numPr>
        <w:spacing w:after="40" w:before="40"/>
      </w:pPr>
      <w:r>
        <w:rPr>
          <w:rFonts w:ascii="Arial" w:cs="Arial" w:eastAsia="Arial" w:hAnsi="Arial"/>
          <w:b w:val="false"/>
          <w:bCs w:val="false"/>
          <w:sz w:val="20"/>
          <w:szCs w:val="20"/>
        </w:rPr>
        <w:t xml:space="preserve">Score &gt;= 0.7 (high confidence) → Claude Haiku. KB has a strong answer. Cheap and fast.</w:t>
      </w:r>
    </w:p>
    <w:p>
      <w:pPr>
        <w:pStyle w:val="ListParagraph"/>
        <w:numPr>
          <w:ilvl w:val="0"/>
          <w:numId w:val="2"/>
        </w:numPr>
        <w:spacing w:after="40" w:before="40"/>
      </w:pPr>
      <w:r>
        <w:rPr>
          <w:rFonts w:ascii="Arial" w:cs="Arial" w:eastAsia="Arial" w:hAnsi="Arial"/>
          <w:b w:val="false"/>
          <w:bCs w:val="false"/>
          <w:sz w:val="20"/>
          <w:szCs w:val="20"/>
        </w:rPr>
        <w:t xml:space="preserve">Score 0.4–0.69 (medium) → Claude Haiku with retrieval context passed.</w:t>
      </w:r>
    </w:p>
    <w:p>
      <w:pPr>
        <w:pStyle w:val="ListParagraph"/>
        <w:numPr>
          <w:ilvl w:val="0"/>
          <w:numId w:val="2"/>
        </w:numPr>
        <w:spacing w:after="40" w:before="40"/>
      </w:pPr>
      <w:r>
        <w:rPr>
          <w:rFonts w:ascii="Arial" w:cs="Arial" w:eastAsia="Arial" w:hAnsi="Arial"/>
          <w:b w:val="false"/>
          <w:bCs w:val="false"/>
          <w:sz w:val="20"/>
          <w:szCs w:val="20"/>
        </w:rPr>
        <w:t xml:space="preserve">Score &lt; 0.4 (low confidence) → Claude Sonnet. Needs more reasoning. Local KB fallback if Sonnet unavailable.</w:t>
      </w:r>
    </w:p>
    <w:p>
      <w:pPr>
        <w:pStyle w:val="ListParagraph"/>
        <w:numPr>
          <w:ilvl w:val="0"/>
          <w:numId w:val="2"/>
        </w:numPr>
        <w:spacing w:after="40" w:before="40"/>
      </w:pPr>
      <w:r>
        <w:rPr>
          <w:rFonts w:ascii="Arial" w:cs="Arial" w:eastAsia="Arial" w:hAnsi="Arial"/>
          <w:b w:val="false"/>
          <w:bCs w:val="false"/>
          <w:sz w:val="20"/>
          <w:szCs w:val="20"/>
        </w:rPr>
        <w:t xml:space="preserve">Score = 0 → Local KB only. No LLM cost.</w:t>
      </w:r>
    </w:p>
    <w:p>
      <w:pPr>
        <w:pBdr>
          <w:bottom w:val="single" w:color="1B5E20" w:sz="4" w:space="1"/>
        </w:pBdr>
        <w:spacing w:after="160" w:before="160"/>
      </w:pPr>
    </w:p>
    <w:p>
      <w:pPr>
        <w:pStyle w:val="Heading1"/>
        <w:spacing w:after="120" w:before="360"/>
      </w:pPr>
      <w:r>
        <w:rPr>
          <w:rFonts w:ascii="Arial" w:cs="Arial" w:eastAsia="Arial" w:hAnsi="Arial"/>
          <w:b/>
          <w:bCs/>
          <w:color w:val="1B5E20"/>
          <w:sz w:val="36"/>
          <w:szCs w:val="36"/>
        </w:rPr>
        <w:t xml:space="preserve">4. Knowledge Base</w:t>
      </w:r>
    </w:p>
    <w:p>
      <w:pPr>
        <w:pStyle w:val="Heading2"/>
        <w:spacing w:after="80" w:before="280"/>
      </w:pPr>
      <w:r>
        <w:rPr>
          <w:rFonts w:ascii="Arial" w:cs="Arial" w:eastAsia="Arial" w:hAnsi="Arial"/>
          <w:b/>
          <w:bCs/>
          <w:color w:val="212121"/>
          <w:sz w:val="26"/>
          <w:szCs w:val="26"/>
        </w:rPr>
        <w:t xml:space="preserve">KB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14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Size / Chunks</w:t>
            </w:r>
          </w:p>
        </w:tc>
        <w:tc>
          <w:tcPr>
            <w:tcW w:type="dxa" w:w="49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Contents</w:t>
            </w:r>
          </w:p>
        </w:tc>
      </w:tr>
      <w:tr>
        <w:tc>
          <w:tcPr>
            <w:tcW w:type="dxa" w:w="30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color w:val="333333"/>
                <w:sz w:val="16"/>
                <w:szCs w:val="16"/>
              </w:rPr>
              <w:t xml:space="preserve">kb/frankie6_kb.json</w:t>
            </w:r>
          </w:p>
        </w:tc>
        <w:tc>
          <w:tcPr>
            <w:tcW w:type="dxa" w:w="1400"/>
            <w:tcBorders>
              <w:top w:val="single" w:color="BDBDBD" w:sz="1"/>
              <w:left w:val="single" w:color="BDBDBD" w:sz="1"/>
              <w:bottom w:val="single" w:color="BDBDBD" w:sz="1"/>
              <w:right w:val="single" w:color="BDBDBD" w:sz="1"/>
            </w:tcBorders>
            <w:shd w:fill="E8F5E9" w:val="clear"/>
            <w:tcMar>
              <w:top w:type="dxa" w:w="60"/>
              <w:left w:type="dxa" w:w="120"/>
              <w:bottom w:type="dxa" w:w="60"/>
              <w:right w:type="dxa" w:w="60"/>
            </w:tcMar>
          </w:tcPr>
          <w:p>
            <w:r>
              <w:rPr>
                <w:rFonts w:ascii="Arial" w:cs="Arial" w:eastAsia="Arial" w:hAnsi="Arial"/>
                <w:b/>
                <w:bCs/>
                <w:color w:val="1B5E20"/>
                <w:sz w:val="17"/>
                <w:szCs w:val="17"/>
              </w:rPr>
              <w:t xml:space="preserve">2,068 chunks</w:t>
            </w:r>
          </w:p>
        </w:tc>
        <w:tc>
          <w:tcPr>
            <w:tcW w:type="dxa" w:w="49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Primary KB. F4N programme documentation, scoring criteria, OSV guidance, assessment reports + full NuCCoL Tool Kit (QHSE, Process Excellence, People, Strategy, Supply Chain).</w:t>
            </w:r>
          </w:p>
        </w:tc>
      </w:tr>
      <w:tr>
        <w:tc>
          <w:tcPr>
            <w:tcW w:type="dxa" w:w="30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color w:val="333333"/>
                <w:sz w:val="16"/>
                <w:szCs w:val="16"/>
              </w:rPr>
              <w:t xml:space="preserve">kb/frankie5_vectors.json</w:t>
            </w:r>
          </w:p>
        </w:tc>
        <w:tc>
          <w:tcPr>
            <w:tcW w:type="dxa" w:w="1400"/>
            <w:tcBorders>
              <w:top w:val="single" w:color="BDBDBD" w:sz="1"/>
              <w:left w:val="single" w:color="BDBDBD" w:sz="1"/>
              <w:bottom w:val="single" w:color="BDBDBD" w:sz="1"/>
              <w:right w:val="single" w:color="BDBDBD" w:sz="1"/>
            </w:tcBorders>
            <w:shd w:fill="E8F5E9" w:val="clear"/>
            <w:tcMar>
              <w:top w:type="dxa" w:w="60"/>
              <w:left w:type="dxa" w:w="120"/>
              <w:bottom w:type="dxa" w:w="60"/>
              <w:right w:type="dxa" w:w="60"/>
            </w:tcMar>
          </w:tcPr>
          <w:p>
            <w:r>
              <w:rPr>
                <w:rFonts w:ascii="Arial" w:cs="Arial" w:eastAsia="Arial" w:hAnsi="Arial"/>
                <w:b/>
                <w:bCs/>
                <w:color w:val="1B5E20"/>
                <w:sz w:val="17"/>
                <w:szCs w:val="17"/>
              </w:rPr>
              <w:t xml:space="preserve">58.2 MB</w:t>
            </w:r>
          </w:p>
        </w:tc>
        <w:tc>
          <w:tcPr>
            <w:tcW w:type="dxa" w:w="49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Pre-computed OpenAI text-embedding-3-small vectors. Used for semantic similarity search. Built from frankie5 base.</w:t>
            </w:r>
          </w:p>
        </w:tc>
      </w:tr>
      <w:tr>
        <w:tc>
          <w:tcPr>
            <w:tcW w:type="dxa" w:w="30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color w:val="333333"/>
                <w:sz w:val="16"/>
                <w:szCs w:val="16"/>
              </w:rPr>
              <w:t xml:space="preserve">kb/frankie6_kb.json</w:t>
            </w:r>
          </w:p>
        </w:tc>
        <w:tc>
          <w:tcPr>
            <w:tcW w:type="dxa" w:w="1400"/>
            <w:tcBorders>
              <w:top w:val="single" w:color="BDBDBD" w:sz="1"/>
              <w:left w:val="single" w:color="BDBDBD" w:sz="1"/>
              <w:bottom w:val="single" w:color="BDBDBD" w:sz="1"/>
              <w:right w:val="single" w:color="BDBDBD" w:sz="1"/>
            </w:tcBorders>
            <w:shd w:fill="E8F5E9" w:val="clear"/>
            <w:tcMar>
              <w:top w:type="dxa" w:w="60"/>
              <w:left w:type="dxa" w:w="120"/>
              <w:bottom w:type="dxa" w:w="60"/>
              <w:right w:type="dxa" w:w="60"/>
            </w:tcMar>
          </w:tcPr>
          <w:p>
            <w:r>
              <w:rPr>
                <w:rFonts w:ascii="Arial" w:cs="Arial" w:eastAsia="Arial" w:hAnsi="Arial"/>
                <w:b/>
                <w:bCs/>
                <w:color w:val="1B5E20"/>
                <w:sz w:val="17"/>
                <w:szCs w:val="17"/>
              </w:rPr>
              <w:t xml:space="preserve">Separate build</w:t>
            </w:r>
          </w:p>
        </w:tc>
        <w:tc>
          <w:tcPr>
            <w:tcW w:type="dxa" w:w="49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KB build in progress. New ingestion batch.</w:t>
            </w:r>
          </w:p>
        </w:tc>
      </w:tr>
      <w:tr>
        <w:tc>
          <w:tcPr>
            <w:tcW w:type="dxa" w:w="30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color w:val="333333"/>
                <w:sz w:val="16"/>
                <w:szCs w:val="16"/>
              </w:rPr>
              <w:t xml:space="preserve">kb/toolkit_kb.json</w:t>
            </w:r>
          </w:p>
        </w:tc>
        <w:tc>
          <w:tcPr>
            <w:tcW w:type="dxa" w:w="1400"/>
            <w:tcBorders>
              <w:top w:val="single" w:color="BDBDBD" w:sz="1"/>
              <w:left w:val="single" w:color="BDBDBD" w:sz="1"/>
              <w:bottom w:val="single" w:color="BDBDBD" w:sz="1"/>
              <w:right w:val="single" w:color="BDBDBD" w:sz="1"/>
            </w:tcBorders>
            <w:shd w:fill="E8F5E9" w:val="clear"/>
            <w:tcMar>
              <w:top w:type="dxa" w:w="60"/>
              <w:left w:type="dxa" w:w="120"/>
              <w:bottom w:type="dxa" w:w="60"/>
              <w:right w:type="dxa" w:w="60"/>
            </w:tcMar>
          </w:tcPr>
          <w:p>
            <w:r>
              <w:rPr>
                <w:rFonts w:ascii="Arial" w:cs="Arial" w:eastAsia="Arial" w:hAnsi="Arial"/>
                <w:b/>
                <w:bCs/>
                <w:color w:val="1B5E20"/>
                <w:sz w:val="17"/>
                <w:szCs w:val="17"/>
              </w:rPr>
              <w:t xml:space="preserve">Sub-set</w:t>
            </w:r>
          </w:p>
        </w:tc>
        <w:tc>
          <w:tcPr>
            <w:tcW w:type="dxa" w:w="49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Tool Kit-specific chunks used by Tool Kit features.</w:t>
            </w:r>
          </w:p>
        </w:tc>
      </w:tr>
      <w:tr>
        <w:tc>
          <w:tcPr>
            <w:tcW w:type="dxa" w:w="30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color w:val="333333"/>
                <w:sz w:val="16"/>
                <w:szCs w:val="16"/>
              </w:rPr>
              <w:t xml:space="preserve">kb/iso19443_mapping.json</w:t>
            </w:r>
          </w:p>
        </w:tc>
        <w:tc>
          <w:tcPr>
            <w:tcW w:type="dxa" w:w="1400"/>
            <w:tcBorders>
              <w:top w:val="single" w:color="BDBDBD" w:sz="1"/>
              <w:left w:val="single" w:color="BDBDBD" w:sz="1"/>
              <w:bottom w:val="single" w:color="BDBDBD" w:sz="1"/>
              <w:right w:val="single" w:color="BDBDBD" w:sz="1"/>
            </w:tcBorders>
            <w:shd w:fill="E8F5E9" w:val="clear"/>
            <w:tcMar>
              <w:top w:type="dxa" w:w="60"/>
              <w:left w:type="dxa" w:w="120"/>
              <w:bottom w:type="dxa" w:w="60"/>
              <w:right w:type="dxa" w:w="60"/>
            </w:tcMar>
          </w:tcPr>
          <w:p>
            <w:r>
              <w:rPr>
                <w:rFonts w:ascii="Arial" w:cs="Arial" w:eastAsia="Arial" w:hAnsi="Arial"/>
                <w:b/>
                <w:bCs/>
                <w:color w:val="1B5E20"/>
                <w:sz w:val="17"/>
                <w:szCs w:val="17"/>
              </w:rPr>
              <w:t xml:space="preserve">66 questions</w:t>
            </w:r>
          </w:p>
        </w:tc>
        <w:tc>
          <w:tcPr>
            <w:tcW w:type="dxa" w:w="49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ISO 19443 mapping. 28 BE questions, 32 NSS, 6 GAP additional. 33 clause IDs. 4 options each (0/2/7/10). Used by iso19443-drawer.js.</w:t>
            </w:r>
          </w:p>
        </w:tc>
      </w:tr>
      <w:tr>
        <w:tc>
          <w:tcPr>
            <w:tcW w:type="dxa" w:w="30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color w:val="333333"/>
                <w:sz w:val="16"/>
                <w:szCs w:val="16"/>
              </w:rPr>
              <w:t xml:space="preserve">kb/handbook_url_map.json</w:t>
            </w:r>
          </w:p>
        </w:tc>
        <w:tc>
          <w:tcPr>
            <w:tcW w:type="dxa" w:w="1400"/>
            <w:tcBorders>
              <w:top w:val="single" w:color="BDBDBD" w:sz="1"/>
              <w:left w:val="single" w:color="BDBDBD" w:sz="1"/>
              <w:bottom w:val="single" w:color="BDBDBD" w:sz="1"/>
              <w:right w:val="single" w:color="BDBDBD" w:sz="1"/>
            </w:tcBorders>
            <w:shd w:fill="E8F5E9" w:val="clear"/>
            <w:tcMar>
              <w:top w:type="dxa" w:w="60"/>
              <w:left w:type="dxa" w:w="120"/>
              <w:bottom w:type="dxa" w:w="60"/>
              <w:right w:type="dxa" w:w="60"/>
            </w:tcMar>
          </w:tcPr>
          <w:p>
            <w:r>
              <w:rPr>
                <w:rFonts w:ascii="Arial" w:cs="Arial" w:eastAsia="Arial" w:hAnsi="Arial"/>
                <w:b/>
                <w:bCs/>
                <w:color w:val="1B5E20"/>
                <w:sz w:val="17"/>
                <w:szCs w:val="17"/>
              </w:rPr>
              <w:t xml:space="preserve">72 entries</w:t>
            </w:r>
          </w:p>
        </w:tc>
        <w:tc>
          <w:tcPr>
            <w:tcW w:type="dxa" w:w="49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URL slugs mapped to HandbookDrawer chapter IDs. 72/88 ISO 19443 question URLs mapped. 16 unmapped (Security of Information chapter).</w:t>
            </w:r>
          </w:p>
        </w:tc>
      </w:tr>
      <w:tr>
        <w:tc>
          <w:tcPr>
            <w:tcW w:type="dxa" w:w="30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color w:val="333333"/>
                <w:sz w:val="16"/>
                <w:szCs w:val="16"/>
              </w:rPr>
              <w:t xml:space="preserve">kb/be_evidence_map.json</w:t>
            </w:r>
          </w:p>
        </w:tc>
        <w:tc>
          <w:tcPr>
            <w:tcW w:type="dxa" w:w="1400"/>
            <w:tcBorders>
              <w:top w:val="single" w:color="BDBDBD" w:sz="1"/>
              <w:left w:val="single" w:color="BDBDBD" w:sz="1"/>
              <w:bottom w:val="single" w:color="BDBDBD" w:sz="1"/>
              <w:right w:val="single" w:color="BDBDBD" w:sz="1"/>
            </w:tcBorders>
            <w:shd w:fill="E8F5E9" w:val="clear"/>
            <w:tcMar>
              <w:top w:type="dxa" w:w="60"/>
              <w:left w:type="dxa" w:w="120"/>
              <w:bottom w:type="dxa" w:w="60"/>
              <w:right w:type="dxa" w:w="60"/>
            </w:tcMar>
          </w:tcPr>
          <w:p>
            <w:r>
              <w:rPr>
                <w:rFonts w:ascii="Arial" w:cs="Arial" w:eastAsia="Arial" w:hAnsi="Arial"/>
                <w:b/>
                <w:bCs/>
                <w:color w:val="1B5E20"/>
                <w:sz w:val="17"/>
                <w:szCs w:val="17"/>
              </w:rPr>
              <w:t xml:space="preserve">6 sections</w:t>
            </w:r>
          </w:p>
        </w:tc>
        <w:tc>
          <w:tcPr>
            <w:tcW w:type="dxa" w:w="49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BE section evidence requirements. Section → questions → evidence type + examples. Used by evidence-vault-drawer.js.</w:t>
            </w:r>
          </w:p>
        </w:tc>
      </w:tr>
      <w:tr>
        <w:tc>
          <w:tcPr>
            <w:tcW w:type="dxa" w:w="30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color w:val="333333"/>
                <w:sz w:val="16"/>
                <w:szCs w:val="16"/>
              </w:rPr>
              <w:t xml:space="preserve">kb/assessment_data.json</w:t>
            </w:r>
          </w:p>
        </w:tc>
        <w:tc>
          <w:tcPr>
            <w:tcW w:type="dxa" w:w="1400"/>
            <w:tcBorders>
              <w:top w:val="single" w:color="BDBDBD" w:sz="1"/>
              <w:left w:val="single" w:color="BDBDBD" w:sz="1"/>
              <w:bottom w:val="single" w:color="BDBDBD" w:sz="1"/>
              <w:right w:val="single" w:color="BDBDBD" w:sz="1"/>
            </w:tcBorders>
            <w:shd w:fill="E8F5E9" w:val="clear"/>
            <w:tcMar>
              <w:top w:type="dxa" w:w="60"/>
              <w:left w:type="dxa" w:w="120"/>
              <w:bottom w:type="dxa" w:w="60"/>
              <w:right w:type="dxa" w:w="60"/>
            </w:tcMar>
          </w:tcPr>
          <w:p>
            <w:r>
              <w:rPr>
                <w:rFonts w:ascii="Arial" w:cs="Arial" w:eastAsia="Arial" w:hAnsi="Arial"/>
                <w:b/>
                <w:bCs/>
                <w:color w:val="1B5E20"/>
                <w:sz w:val="17"/>
                <w:szCs w:val="17"/>
              </w:rPr>
              <w:t xml:space="preserve">Full BE + F4N</w:t>
            </w:r>
          </w:p>
        </w:tc>
        <w:tc>
          <w:tcPr>
            <w:tcW w:type="dxa" w:w="49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BE and F4N question data used by the self-assessment drawer.</w:t>
            </w:r>
          </w:p>
        </w:tc>
      </w:tr>
      <w:tr>
        <w:tc>
          <w:tcPr>
            <w:tcW w:type="dxa" w:w="30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color w:val="333333"/>
                <w:sz w:val="16"/>
                <w:szCs w:val="16"/>
              </w:rPr>
              <w:t xml:space="preserve">kb/plant_tree_data.json</w:t>
            </w:r>
          </w:p>
        </w:tc>
        <w:tc>
          <w:tcPr>
            <w:tcW w:type="dxa" w:w="1400"/>
            <w:tcBorders>
              <w:top w:val="single" w:color="BDBDBD" w:sz="1"/>
              <w:left w:val="single" w:color="BDBDBD" w:sz="1"/>
              <w:bottom w:val="single" w:color="BDBDBD" w:sz="1"/>
              <w:right w:val="single" w:color="BDBDBD" w:sz="1"/>
            </w:tcBorders>
            <w:shd w:fill="E8F5E9" w:val="clear"/>
            <w:tcMar>
              <w:top w:type="dxa" w:w="60"/>
              <w:left w:type="dxa" w:w="120"/>
              <w:bottom w:type="dxa" w:w="60"/>
              <w:right w:type="dxa" w:w="60"/>
            </w:tcMar>
          </w:tcPr>
          <w:p>
            <w:r>
              <w:rPr>
                <w:rFonts w:ascii="Arial" w:cs="Arial" w:eastAsia="Arial" w:hAnsi="Arial"/>
                <w:b/>
                <w:bCs/>
                <w:color w:val="1B5E20"/>
                <w:sz w:val="17"/>
                <w:szCs w:val="17"/>
              </w:rPr>
              <w:t xml:space="preserve">Plant data</w:t>
            </w:r>
          </w:p>
        </w:tc>
        <w:tc>
          <w:tcPr>
            <w:tcW w:type="dxa" w:w="49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UK nuclear plant hierarchy data for Plant Explorer.</w:t>
            </w:r>
          </w:p>
        </w:tc>
      </w:tr>
      <w:tr>
        <w:tc>
          <w:tcPr>
            <w:tcW w:type="dxa" w:w="30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color w:val="333333"/>
                <w:sz w:val="16"/>
                <w:szCs w:val="16"/>
              </w:rPr>
              <w:t xml:space="preserve">kb/frankie_normalized_kb.json</w:t>
            </w:r>
          </w:p>
        </w:tc>
        <w:tc>
          <w:tcPr>
            <w:tcW w:type="dxa" w:w="1400"/>
            <w:tcBorders>
              <w:top w:val="single" w:color="BDBDBD" w:sz="1"/>
              <w:left w:val="single" w:color="BDBDBD" w:sz="1"/>
              <w:bottom w:val="single" w:color="BDBDBD" w:sz="1"/>
              <w:right w:val="single" w:color="BDBDBD" w:sz="1"/>
            </w:tcBorders>
            <w:shd w:fill="E8F5E9" w:val="clear"/>
            <w:tcMar>
              <w:top w:type="dxa" w:w="60"/>
              <w:left w:type="dxa" w:w="120"/>
              <w:bottom w:type="dxa" w:w="60"/>
              <w:right w:type="dxa" w:w="60"/>
            </w:tcMar>
          </w:tcPr>
          <w:p>
            <w:r>
              <w:rPr>
                <w:rFonts w:ascii="Arial" w:cs="Arial" w:eastAsia="Arial" w:hAnsi="Arial"/>
                <w:b/>
                <w:bCs/>
                <w:color w:val="1B5E20"/>
                <w:sz w:val="17"/>
                <w:szCs w:val="17"/>
              </w:rPr>
              <w:t xml:space="preserve">SCRL data</w:t>
            </w:r>
          </w:p>
        </w:tc>
        <w:tc>
          <w:tcPr>
            <w:tcW w:type="dxa" w:w="49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Company and plant data (SCRL, Plant Explorer).</w:t>
            </w:r>
          </w:p>
        </w:tc>
      </w:tr>
    </w:tbl>
    <w:p>
      <w:pPr>
        <w:spacing w:after="0" w:before="100"/>
      </w:pPr>
    </w:p>
    <w:p>
      <w:pPr>
        <w:pStyle w:val="Heading2"/>
        <w:spacing w:after="80" w:before="280"/>
      </w:pPr>
      <w:r>
        <w:rPr>
          <w:rFonts w:ascii="Arial" w:cs="Arial" w:eastAsia="Arial" w:hAnsi="Arial"/>
          <w:b/>
          <w:bCs/>
          <w:color w:val="212121"/>
          <w:sz w:val="26"/>
          <w:szCs w:val="26"/>
        </w:rPr>
        <w:t xml:space="preserve">Retrieval Method</w:t>
      </w:r>
    </w:p>
    <w:p>
      <w:pPr>
        <w:pStyle w:val="ListParagraph"/>
        <w:numPr>
          <w:ilvl w:val="0"/>
          <w:numId w:val="2"/>
        </w:numPr>
        <w:spacing w:after="40" w:before="40"/>
      </w:pPr>
      <w:r>
        <w:rPr>
          <w:rFonts w:ascii="Arial" w:cs="Arial" w:eastAsia="Arial" w:hAnsi="Arial"/>
          <w:b w:val="false"/>
          <w:bCs w:val="false"/>
          <w:sz w:val="20"/>
          <w:szCs w:val="20"/>
        </w:rPr>
        <w:t xml:space="preserve">Hybrid search: 40% keyword (BM25-style term frequency scoring) + 60% vector cosine similarity</w:t>
      </w:r>
    </w:p>
    <w:p>
      <w:pPr>
        <w:pStyle w:val="ListParagraph"/>
        <w:numPr>
          <w:ilvl w:val="0"/>
          <w:numId w:val="2"/>
        </w:numPr>
        <w:spacing w:after="40" w:before="40"/>
      </w:pPr>
      <w:r>
        <w:rPr>
          <w:rFonts w:ascii="Arial" w:cs="Arial" w:eastAsia="Arial" w:hAnsi="Arial"/>
          <w:b w:val="false"/>
          <w:bCs w:val="false"/>
          <w:sz w:val="20"/>
          <w:szCs w:val="20"/>
        </w:rPr>
        <w:t xml:space="preserve">All KB files loaded in parallel via Promise.all() on first query</w:t>
      </w:r>
    </w:p>
    <w:p>
      <w:pPr>
        <w:pStyle w:val="ListParagraph"/>
        <w:numPr>
          <w:ilvl w:val="0"/>
          <w:numId w:val="2"/>
        </w:numPr>
        <w:spacing w:after="40" w:before="40"/>
      </w:pPr>
      <w:r>
        <w:rPr>
          <w:rFonts w:ascii="Arial" w:cs="Arial" w:eastAsia="Arial" w:hAnsi="Arial"/>
          <w:b w:val="false"/>
          <w:bCs w:val="false"/>
          <w:sz w:val="20"/>
          <w:szCs w:val="20"/>
        </w:rPr>
        <w:t xml:space="preserve">Groq preprocessing optionally rewrites query and generates multiple search terms before retrieval</w:t>
      </w:r>
    </w:p>
    <w:p>
      <w:pPr>
        <w:pStyle w:val="ListParagraph"/>
        <w:numPr>
          <w:ilvl w:val="0"/>
          <w:numId w:val="2"/>
        </w:numPr>
        <w:spacing w:after="40" w:before="40"/>
      </w:pPr>
      <w:r>
        <w:rPr>
          <w:rFonts w:ascii="Arial" w:cs="Arial" w:eastAsia="Arial" w:hAnsi="Arial"/>
          <w:b w:val="false"/>
          <w:bCs w:val="false"/>
          <w:sz w:val="20"/>
          <w:szCs w:val="20"/>
        </w:rPr>
        <w:t xml:space="preserve">Confidence score normalised to 0–1 via Math.max(0, Math.min(score/10, 1))</w:t>
      </w:r>
    </w:p>
    <w:p>
      <w:pPr>
        <w:pStyle w:val="ListParagraph"/>
        <w:numPr>
          <w:ilvl w:val="0"/>
          <w:numId w:val="2"/>
        </w:numPr>
        <w:spacing w:after="40" w:before="40"/>
      </w:pPr>
      <w:r>
        <w:rPr>
          <w:rFonts w:ascii="Arial" w:cs="Arial" w:eastAsia="Arial" w:hAnsi="Arial"/>
          <w:b w:val="false"/>
          <w:bCs w:val="false"/>
          <w:sz w:val="20"/>
          <w:szCs w:val="20"/>
        </w:rPr>
        <w:t xml:space="preserve">OpenAI embedding key optional — falls back to keyword-only if not supplied</w:t>
      </w:r>
    </w:p>
    <w:p>
      <w:pPr>
        <w:spacing w:after="0" w:before="100"/>
      </w:pPr>
    </w:p>
    <w:p>
      <w:pPr>
        <w:pStyle w:val="Heading2"/>
        <w:spacing w:after="80" w:before="280"/>
      </w:pPr>
      <w:r>
        <w:rPr>
          <w:rFonts w:ascii="Arial" w:cs="Arial" w:eastAsia="Arial" w:hAnsi="Arial"/>
          <w:b/>
          <w:bCs/>
          <w:color w:val="212121"/>
          <w:sz w:val="26"/>
          <w:szCs w:val="26"/>
        </w:rPr>
        <w:t xml:space="preserve">KB Build Process</w:t>
      </w:r>
    </w:p>
    <w:p>
      <w:pPr>
        <w:spacing w:after="100" w:before="60"/>
      </w:pPr>
      <w:r>
        <w:rPr>
          <w:rFonts w:ascii="Arial" w:cs="Arial" w:eastAsia="Arial" w:hAnsi="Arial"/>
          <w:color w:val="212121"/>
          <w:sz w:val="20"/>
          <w:szCs w:val="20"/>
        </w:rPr>
        <w:t xml:space="preserve">KB is built using Feed_Frankie/Brain of Frankie/Python/build_toolkit_kb.py. Process: download source PDFs → chunk → deduplicate → append to frankie5_kb.json → rebuild frankie5_vectors.json via precompute_embeddings.py → redeploy index.html with updated KB files.</w:t>
      </w:r>
    </w:p>
    <w:p>
      <w:pPr>
        <w:spacing w:after="0" w:before="100"/>
      </w:pPr>
    </w:p>
    <w:p>
      <w:pPr>
        <w:pStyle w:val="Heading2"/>
        <w:spacing w:after="80" w:before="280"/>
      </w:pPr>
      <w:r>
        <w:rPr>
          <w:rFonts w:ascii="Arial" w:cs="Arial" w:eastAsia="Arial" w:hAnsi="Arial"/>
          <w:b/>
          <w:bCs/>
          <w:color w:val="212121"/>
          <w:sz w:val="26"/>
          <w:szCs w:val="26"/>
        </w:rPr>
        <w:t xml:space="preserve">KB Expansion — Priority Documents</w:t>
      </w:r>
    </w:p>
    <w:p>
      <w:pPr>
        <w:spacing w:after="60" w:before="200"/>
      </w:pPr>
      <w:r>
        <w:rPr>
          <w:rFonts w:ascii="Arial" w:cs="Arial" w:eastAsia="Arial" w:hAnsi="Arial"/>
          <w:b/>
          <w:bCs/>
          <w:color w:val="212121"/>
          <w:sz w:val="22"/>
          <w:szCs w:val="22"/>
        </w:rPr>
        <w:t xml:space="preserve">Priority 1 — Ingest Next (Highest Impact)</w:t>
      </w:r>
    </w:p>
    <w:p>
      <w:pPr>
        <w:pStyle w:val="ListParagraph"/>
        <w:numPr>
          <w:ilvl w:val="0"/>
          <w:numId w:val="2"/>
        </w:numPr>
        <w:spacing w:after="40" w:before="40"/>
      </w:pPr>
      <w:r>
        <w:rPr>
          <w:rFonts w:ascii="Arial" w:cs="Arial" w:eastAsia="Arial" w:hAnsi="Arial"/>
          <w:b w:val="false"/>
          <w:bCs w:val="false"/>
          <w:sz w:val="20"/>
          <w:szCs w:val="20"/>
        </w:rPr>
        <w:t xml:space="preserve">Nuclear Baseline Security Document (NBSD) — ONR</w:t>
      </w:r>
    </w:p>
    <w:p>
      <w:pPr>
        <w:pStyle w:val="ListParagraph"/>
        <w:numPr>
          <w:ilvl w:val="0"/>
          <w:numId w:val="2"/>
        </w:numPr>
        <w:spacing w:after="40" w:before="40"/>
      </w:pPr>
      <w:r>
        <w:rPr>
          <w:rFonts w:ascii="Arial" w:cs="Arial" w:eastAsia="Arial" w:hAnsi="Arial"/>
          <w:b w:val="false"/>
          <w:bCs w:val="false"/>
          <w:sz w:val="20"/>
          <w:szCs w:val="20"/>
        </w:rPr>
        <w:t xml:space="preserve">NS-TAST-GD-005 (Oversight of Nuclear Safety) — ONR</w:t>
      </w:r>
    </w:p>
    <w:p>
      <w:pPr>
        <w:pStyle w:val="ListParagraph"/>
        <w:numPr>
          <w:ilvl w:val="0"/>
          <w:numId w:val="2"/>
        </w:numPr>
        <w:spacing w:after="40" w:before="40"/>
      </w:pPr>
      <w:r>
        <w:rPr>
          <w:rFonts w:ascii="Arial" w:cs="Arial" w:eastAsia="Arial" w:hAnsi="Arial"/>
          <w:b w:val="false"/>
          <w:bCs w:val="false"/>
          <w:sz w:val="20"/>
          <w:szCs w:val="20"/>
        </w:rPr>
        <w:t xml:space="preserve">NS-TAST-GD-077 (Supply Chain) — ONR — partially in KB</w:t>
      </w:r>
    </w:p>
    <w:p>
      <w:pPr>
        <w:pStyle w:val="ListParagraph"/>
        <w:numPr>
          <w:ilvl w:val="0"/>
          <w:numId w:val="2"/>
        </w:numPr>
        <w:spacing w:after="40" w:before="40"/>
      </w:pPr>
      <w:r>
        <w:rPr>
          <w:rFonts w:ascii="Arial" w:cs="Arial" w:eastAsia="Arial" w:hAnsi="Arial"/>
          <w:b w:val="false"/>
          <w:bCs w:val="false"/>
          <w:sz w:val="20"/>
          <w:szCs w:val="20"/>
        </w:rPr>
        <w:t xml:space="preserve">GS-TAST-GD-004 (Security of Nuclear Information) — ONR</w:t>
      </w:r>
    </w:p>
    <w:p>
      <w:pPr>
        <w:pStyle w:val="ListParagraph"/>
        <w:numPr>
          <w:ilvl w:val="0"/>
          <w:numId w:val="2"/>
        </w:numPr>
        <w:spacing w:after="40" w:before="40"/>
      </w:pPr>
      <w:r>
        <w:rPr>
          <w:rFonts w:ascii="Arial" w:cs="Arial" w:eastAsia="Arial" w:hAnsi="Arial"/>
          <w:b w:val="false"/>
          <w:bCs w:val="false"/>
          <w:sz w:val="20"/>
          <w:szCs w:val="20"/>
        </w:rPr>
        <w:t xml:space="preserve">Nuclear Industry Association Capability Reports — NIA</w:t>
      </w:r>
    </w:p>
    <w:p>
      <w:pPr>
        <w:pStyle w:val="ListParagraph"/>
        <w:numPr>
          <w:ilvl w:val="0"/>
          <w:numId w:val="2"/>
        </w:numPr>
        <w:spacing w:after="40" w:before="40"/>
      </w:pPr>
      <w:r>
        <w:rPr>
          <w:rFonts w:ascii="Arial" w:cs="Arial" w:eastAsia="Arial" w:hAnsi="Arial"/>
          <w:b w:val="false"/>
          <w:bCs w:val="false"/>
          <w:sz w:val="20"/>
          <w:szCs w:val="20"/>
        </w:rPr>
        <w:t xml:space="preserve">SZC / HPC supply chain guidance — EDF / SZC Co</w:t>
      </w:r>
    </w:p>
    <w:p>
      <w:pPr>
        <w:spacing w:after="60" w:before="200"/>
      </w:pPr>
      <w:r>
        <w:rPr>
          <w:rFonts w:ascii="Arial" w:cs="Arial" w:eastAsia="Arial" w:hAnsi="Arial"/>
          <w:b/>
          <w:bCs/>
          <w:color w:val="212121"/>
          <w:sz w:val="22"/>
          <w:szCs w:val="22"/>
        </w:rPr>
        <w:t xml:space="preserve">Priority 2 — Secondary Ingestion</w:t>
      </w:r>
    </w:p>
    <w:p>
      <w:pPr>
        <w:pStyle w:val="ListParagraph"/>
        <w:numPr>
          <w:ilvl w:val="0"/>
          <w:numId w:val="2"/>
        </w:numPr>
        <w:spacing w:after="40" w:before="40"/>
      </w:pPr>
      <w:r>
        <w:rPr>
          <w:rFonts w:ascii="Arial" w:cs="Arial" w:eastAsia="Arial" w:hAnsi="Arial"/>
          <w:b w:val="false"/>
          <w:bCs w:val="false"/>
          <w:sz w:val="20"/>
          <w:szCs w:val="20"/>
        </w:rPr>
        <w:t xml:space="preserve">IAEA Safety Series documents (SSR-2/1, GSR Part 2)</w:t>
      </w:r>
    </w:p>
    <w:p>
      <w:pPr>
        <w:pStyle w:val="ListParagraph"/>
        <w:numPr>
          <w:ilvl w:val="0"/>
          <w:numId w:val="2"/>
        </w:numPr>
        <w:spacing w:after="40" w:before="40"/>
      </w:pPr>
      <w:r>
        <w:rPr>
          <w:rFonts w:ascii="Arial" w:cs="Arial" w:eastAsia="Arial" w:hAnsi="Arial"/>
          <w:b w:val="false"/>
          <w:bCs w:val="false"/>
          <w:sz w:val="20"/>
          <w:szCs w:val="20"/>
        </w:rPr>
        <w:t xml:space="preserve">NDA Supply Chain reports</w:t>
      </w:r>
    </w:p>
    <w:p>
      <w:pPr>
        <w:pStyle w:val="ListParagraph"/>
        <w:numPr>
          <w:ilvl w:val="0"/>
          <w:numId w:val="2"/>
        </w:numPr>
        <w:spacing w:after="40" w:before="40"/>
      </w:pPr>
      <w:r>
        <w:rPr>
          <w:rFonts w:ascii="Arial" w:cs="Arial" w:eastAsia="Arial" w:hAnsi="Arial"/>
          <w:b w:val="false"/>
          <w:bCs w:val="false"/>
          <w:sz w:val="20"/>
          <w:szCs w:val="20"/>
        </w:rPr>
        <w:t xml:space="preserve">HSE Nuclear Directorate guidance notes</w:t>
      </w:r>
    </w:p>
    <w:p>
      <w:pPr>
        <w:pStyle w:val="ListParagraph"/>
        <w:numPr>
          <w:ilvl w:val="0"/>
          <w:numId w:val="2"/>
        </w:numPr>
        <w:spacing w:after="40" w:before="40"/>
      </w:pPr>
      <w:r>
        <w:rPr>
          <w:rFonts w:ascii="Arial" w:cs="Arial" w:eastAsia="Arial" w:hAnsi="Arial"/>
          <w:b w:val="false"/>
          <w:bCs w:val="false"/>
          <w:sz w:val="20"/>
          <w:szCs w:val="20"/>
        </w:rPr>
        <w:t xml:space="preserve">SMR programme supply chain briefs (RR-SMR, GNS, Holtec)</w:t>
      </w:r>
    </w:p>
    <w:p>
      <w:pPr>
        <w:spacing w:after="0" w:before="100"/>
      </w:pPr>
    </w:p>
    <w:p>
      <w:pPr>
        <w:pStyle w:val="Heading2"/>
        <w:spacing w:after="80" w:before="280"/>
      </w:pPr>
      <w:r>
        <w:rPr>
          <w:rFonts w:ascii="Arial" w:cs="Arial" w:eastAsia="Arial" w:hAnsi="Arial"/>
          <w:b/>
          <w:bCs/>
          <w:color w:val="212121"/>
          <w:sz w:val="26"/>
          <w:szCs w:val="26"/>
        </w:rPr>
        <w:t xml:space="preserve">KB Monitoring</w:t>
      </w:r>
    </w:p>
    <w:p>
      <w:pPr>
        <w:spacing w:after="100" w:before="60"/>
      </w:pPr>
      <w:r>
        <w:rPr>
          <w:rFonts w:ascii="Arial" w:cs="Arial" w:eastAsia="Arial" w:hAnsi="Arial"/>
          <w:color w:val="212121"/>
          <w:sz w:val="20"/>
          <w:szCs w:val="20"/>
        </w:rPr>
        <w:t xml:space="preserve">A scheduled Cowork task (KB Document Monitor) runs on the 1st of each month at 08:00. It checks publication dates for key documents and notifies if updates are found. When a notification fires: download updated PDF → run build_toolkit_kb.py → rebuild vectors → redeploy → update blueprint version and chunk count.</w:t>
      </w:r>
    </w:p>
    <w:p>
      <w:pPr>
        <w:pBdr>
          <w:bottom w:val="single" w:color="1B5E20" w:sz="4" w:space="1"/>
        </w:pBdr>
        <w:spacing w:after="160" w:before="160"/>
      </w:pPr>
    </w:p>
    <w:p>
      <w:r>
        <w:br w:type="page"/>
      </w:r>
    </w:p>
    <w:p>
      <w:pPr>
        <w:pStyle w:val="Heading1"/>
        <w:spacing w:after="120" w:before="360"/>
      </w:pPr>
      <w:r>
        <w:rPr>
          <w:rFonts w:ascii="Arial" w:cs="Arial" w:eastAsia="Arial" w:hAnsi="Arial"/>
          <w:b/>
          <w:bCs/>
          <w:color w:val="1B5E20"/>
          <w:sz w:val="36"/>
          <w:szCs w:val="36"/>
        </w:rPr>
        <w:t xml:space="preserve">5. File Structure</w:t>
      </w:r>
    </w:p>
    <w:p>
      <w:pPr>
        <w:pStyle w:val="Heading2"/>
        <w:spacing w:after="80" w:before="280"/>
      </w:pPr>
      <w:r>
        <w:rPr>
          <w:rFonts w:ascii="Arial" w:cs="Arial" w:eastAsia="Arial" w:hAnsi="Arial"/>
          <w:b/>
          <w:bCs/>
          <w:color w:val="212121"/>
          <w:sz w:val="26"/>
          <w:szCs w:val="26"/>
        </w:rPr>
        <w:t xml:space="preserve">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61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sz w:val="16"/>
                <w:szCs w:val="16"/>
              </w:rPr>
              <w:t xml:space="preserve">index.html</w:t>
            </w:r>
          </w:p>
        </w:tc>
        <w:tc>
          <w:tcPr>
            <w:tcW w:type="dxa" w:w="6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Main app shell. Loads all CSS and JS modules. Contains drawer trigger buttons. CSP enforced in meta tag.</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sz w:val="16"/>
                <w:szCs w:val="16"/>
              </w:rPr>
              <w:t xml:space="preserve">scc.html</w:t>
            </w:r>
          </w:p>
        </w:tc>
        <w:tc>
          <w:tcPr>
            <w:tcW w:type="dxa" w:w="6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SCC Staff Portal. Supabase auth, company CRM (localStorage grid), evidence vault view, ISO 19443 results, live scraper, supplier intelligence. Full separate app.</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sz w:val="16"/>
                <w:szCs w:val="16"/>
              </w:rPr>
              <w:t xml:space="preserve">members_5.html</w:t>
            </w:r>
          </w:p>
        </w:tc>
        <w:tc>
          <w:tcPr>
            <w:tcW w:type="dxa" w:w="6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Member login and auth bridge. Sets frankieUserId + frankieUserToken + frankieCompanyName in localStorage.</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sz w:val="16"/>
                <w:szCs w:val="16"/>
              </w:rPr>
              <w:t xml:space="preserve">NucCol_Plant_Explorer.html</w:t>
            </w:r>
          </w:p>
        </w:tc>
        <w:tc>
          <w:tcPr>
            <w:tcW w:type="dxa" w:w="6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Standalone nuclear plant explorer. Also available as plant-drawer.js inside Frankie.</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sz w:val="16"/>
                <w:szCs w:val="16"/>
              </w:rPr>
              <w:t xml:space="preserve">ch-proxy-worker.js</w:t>
            </w:r>
          </w:p>
        </w:tc>
        <w:tc>
          <w:tcPr>
            <w:tcW w:type="dxa" w:w="6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Cloudflare Worker for Companies House CORS proxy. Deployed separately to Cloudflare.</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sz w:val="16"/>
                <w:szCs w:val="16"/>
              </w:rPr>
              <w:t xml:space="preserve">scraper.js</w:t>
            </w:r>
          </w:p>
        </w:tc>
        <w:tc>
          <w:tcPr>
            <w:tcW w:type="dxa" w:w="6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Scraper script for SCC portal — tenders, news, events.</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sz w:val="16"/>
                <w:szCs w:val="16"/>
              </w:rPr>
              <w:t xml:space="preserve">seed.json</w:t>
            </w:r>
          </w:p>
        </w:tc>
        <w:tc>
          <w:tcPr>
            <w:tcW w:type="dxa" w:w="6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Seed data.</w:t>
            </w:r>
          </w:p>
        </w:tc>
      </w:tr>
    </w:tbl>
    <w:p>
      <w:pPr>
        <w:spacing w:after="0" w:before="100"/>
      </w:pPr>
    </w:p>
    <w:p>
      <w:pPr>
        <w:pStyle w:val="Heading2"/>
        <w:spacing w:after="80" w:before="280"/>
      </w:pPr>
      <w:r>
        <w:rPr>
          <w:rFonts w:ascii="Arial" w:cs="Arial" w:eastAsia="Arial" w:hAnsi="Arial"/>
          <w:b/>
          <w:bCs/>
          <w:color w:val="212121"/>
          <w:sz w:val="26"/>
          <w:szCs w:val="26"/>
        </w:rPr>
        <w:t xml:space="preserve">js/ — JavaScript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61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sz w:val="16"/>
                <w:szCs w:val="16"/>
              </w:rPr>
              <w:t xml:space="preserve">app.js</w:t>
            </w:r>
          </w:p>
        </w:tc>
        <w:tc>
          <w:tcPr>
            <w:tcW w:type="dxa" w:w="6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Main entry point. handleQuery() orchestrates retrieval → preprocessing → model routing → streaming.</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sz w:val="16"/>
                <w:szCs w:val="16"/>
              </w:rPr>
              <w:t xml:space="preserve">retrieval.js</w:t>
            </w:r>
          </w:p>
        </w:tc>
        <w:tc>
          <w:tcPr>
            <w:tcW w:type="dxa" w:w="6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Hybrid keyword + cosine search. Parallel KB loading. BM25-style scoring. embedQuery() for vector search.</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sz w:val="16"/>
                <w:szCs w:val="16"/>
              </w:rPr>
              <w:t xml:space="preserve">modelRouter.js</w:t>
            </w:r>
          </w:p>
        </w:tc>
        <w:tc>
          <w:tcPr>
            <w:tcW w:type="dxa" w:w="6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Confidence-based model selection (Haiku vs Sonnet vs local).</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sz w:val="16"/>
                <w:szCs w:val="16"/>
              </w:rPr>
              <w:t xml:space="preserve">claude.js</w:t>
            </w:r>
          </w:p>
        </w:tc>
        <w:tc>
          <w:tcPr>
            <w:tcW w:type="dxa" w:w="6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Claude API wrapper. Accepts signal from RequestManager. Structured HTTP error handling. 60s timeout. Returns null on abort.</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sz w:val="16"/>
                <w:szCs w:val="16"/>
              </w:rPr>
              <w:t xml:space="preserve">groq.js</w:t>
            </w:r>
          </w:p>
        </w:tc>
        <w:tc>
          <w:tcPr>
            <w:tcW w:type="dxa" w:w="6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Groq preprocessing. Query rewriting + intent classification. Always resolves. 30s timeout. Never crashes chat.</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sz w:val="16"/>
                <w:szCs w:val="16"/>
              </w:rPr>
              <w:t xml:space="preserve">streaming.js</w:t>
            </w:r>
          </w:p>
        </w:tc>
        <w:tc>
          <w:tcPr>
            <w:tcW w:type="dxa" w:w="6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streamResponse() (word-by-word animation) + renderResponse() (instant). Both accept requestId guard.</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sz w:val="16"/>
                <w:szCs w:val="16"/>
              </w:rPr>
              <w:t xml:space="preserve">evidence.js</w:t>
            </w:r>
          </w:p>
        </w:tc>
        <w:tc>
          <w:tcPr>
            <w:tcW w:type="dxa" w:w="6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Evidence card rendering. Source, score (0.000–1.000), chunk ID, 220-char snippet. Colour-coded confidence.</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sz w:val="16"/>
                <w:szCs w:val="16"/>
              </w:rPr>
              <w:t xml:space="preserve">pipeline.js</w:t>
            </w:r>
          </w:p>
        </w:tc>
        <w:tc>
          <w:tcPr>
            <w:tcW w:type="dxa" w:w="6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Pipeline stage orchestration.</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sz w:val="16"/>
                <w:szCs w:val="16"/>
              </w:rPr>
              <w:t xml:space="preserve">preprocessing.js</w:t>
            </w:r>
          </w:p>
        </w:tc>
        <w:tc>
          <w:tcPr>
            <w:tcW w:type="dxa" w:w="6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Query preprocessing utilities.</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sz w:val="16"/>
                <w:szCs w:val="16"/>
              </w:rPr>
              <w:t xml:space="preserve">requestManager.js</w:t>
            </w:r>
          </w:p>
        </w:tc>
        <w:tc>
          <w:tcPr>
            <w:tcW w:type="dxa" w:w="6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AbortController lifecycle. Per-request tracking. Stale-render prevention.</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sz w:val="16"/>
                <w:szCs w:val="16"/>
              </w:rPr>
              <w:t xml:space="preserve">config.js</w:t>
            </w:r>
          </w:p>
        </w:tc>
        <w:tc>
          <w:tcPr>
            <w:tcW w:type="dxa" w:w="6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ConfigManager class with typed accessors. Unified localStorage (removed sessionStorage). Legacy CONFIG object retained.</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sz w:val="16"/>
                <w:szCs w:val="16"/>
              </w:rPr>
              <w:t xml:space="preserve">history.js</w:t>
            </w:r>
          </w:p>
        </w:tc>
        <w:tc>
          <w:tcPr>
            <w:tcW w:type="dxa" w:w="6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Conversation history. Size-based trimming.</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sz w:val="16"/>
                <w:szCs w:val="16"/>
              </w:rPr>
              <w:t xml:space="preserve">ui.js</w:t>
            </w:r>
          </w:p>
        </w:tc>
        <w:tc>
          <w:tcPr>
            <w:tcW w:type="dxa" w:w="6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UI event handlers. Mode switching. Tier switching.</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sz w:val="16"/>
                <w:szCs w:val="16"/>
              </w:rPr>
              <w:t xml:space="preserve">templates.js</w:t>
            </w:r>
          </w:p>
        </w:tc>
        <w:tc>
          <w:tcPr>
            <w:tcW w:type="dxa" w:w="6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Response template application (applyTemplate).</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sz w:val="16"/>
                <w:szCs w:val="16"/>
              </w:rPr>
              <w:t xml:space="preserve">utils.js</w:t>
            </w:r>
          </w:p>
        </w:tc>
        <w:tc>
          <w:tcPr>
            <w:tcW w:type="dxa" w:w="6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Shared utilities.</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sz w:val="16"/>
                <w:szCs w:val="16"/>
              </w:rPr>
              <w:t xml:space="preserve">chat.js</w:t>
            </w:r>
          </w:p>
        </w:tc>
        <w:tc>
          <w:tcPr>
            <w:tcW w:type="dxa" w:w="6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Stub module (no-op initialiseChat). To be wired or removed — see TD-003.</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sz w:val="16"/>
                <w:szCs w:val="16"/>
              </w:rPr>
              <w:t xml:space="preserve">modelSelector.js</w:t>
            </w:r>
          </w:p>
        </w:tc>
        <w:tc>
          <w:tcPr>
            <w:tcW w:type="dxa" w:w="6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createModelSelector() — exported but not imported. To be wired or removed — see TD-002.</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sz w:val="16"/>
                <w:szCs w:val="16"/>
              </w:rPr>
              <w:t xml:space="preserve">braincheck.js</w:t>
            </w:r>
          </w:p>
        </w:tc>
        <w:tc>
          <w:tcPr>
            <w:tcW w:type="dxa" w:w="6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KB stats calculation.</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sz w:val="16"/>
                <w:szCs w:val="16"/>
              </w:rPr>
              <w:t xml:space="preserve">braincheck-ui.js</w:t>
            </w:r>
          </w:p>
        </w:tc>
        <w:tc>
          <w:tcPr>
            <w:tcW w:type="dxa" w:w="6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Brain Check UI panel (F8). Live KB stats.</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sz w:val="16"/>
                <w:szCs w:val="16"/>
              </w:rPr>
              <w:t xml:space="preserve">assessment-drawer.js</w:t>
            </w:r>
          </w:p>
        </w:tc>
        <w:tc>
          <w:tcPr>
            <w:tcW w:type="dxa" w:w="6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BE + F4N self-assessment drawer. Style reference for all other drawers.</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sz w:val="16"/>
                <w:szCs w:val="16"/>
              </w:rPr>
              <w:t xml:space="preserve">iso19443-drawer.js</w:t>
            </w:r>
          </w:p>
        </w:tc>
        <w:tc>
          <w:tcPr>
            <w:tcW w:type="dxa" w:w="6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ISO 19443 Position Tool (F3). 66 questions, 14 sections, RAG dial, gap cards.</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sz w:val="16"/>
                <w:szCs w:val="16"/>
              </w:rPr>
              <w:t xml:space="preserve">handbook-drawer.js</w:t>
            </w:r>
          </w:p>
        </w:tc>
        <w:tc>
          <w:tcPr>
            <w:tcW w:type="dxa" w:w="6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Inline handbook viewer. HandbookDrawer.open(chapterId).</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sz w:val="16"/>
                <w:szCs w:val="16"/>
              </w:rPr>
              <w:t xml:space="preserve">website-review.js</w:t>
            </w:r>
          </w:p>
        </w:tc>
        <w:tc>
          <w:tcPr>
            <w:tcW w:type="dxa" w:w="6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Website Reviewer (F2). Scores supplier website against F4N first-impression criteria.</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sz w:val="16"/>
                <w:szCs w:val="16"/>
              </w:rPr>
              <w:t xml:space="preserve">social-value-drawer.js</w:t>
            </w:r>
          </w:p>
        </w:tc>
        <w:tc>
          <w:tcPr>
            <w:tcW w:type="dxa" w:w="6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Social Value Finder (F4). Postcode → Claude Haiku → 20 local social value opportunities.</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sz w:val="16"/>
                <w:szCs w:val="16"/>
              </w:rPr>
              <w:t xml:space="preserve">due-diligence-drawer.js</w:t>
            </w:r>
          </w:p>
        </w:tc>
        <w:tc>
          <w:tcPr>
            <w:tcW w:type="dxa" w:w="6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Supplier Intelligence. Companies House + HMRC VAT + FCDO sanctions + Claude risk briefing (ONR NS-TAST-GD-077 structure).</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sz w:val="16"/>
                <w:szCs w:val="16"/>
              </w:rPr>
              <w:t xml:space="preserve">evidence-vault-drawer.js</w:t>
            </w:r>
          </w:p>
        </w:tc>
        <w:tc>
          <w:tcPr>
            <w:tcW w:type="dxa" w:w="6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Evidence Vault (F1 company side). 6 BE tabs × 10 questions. Supabase Storage uploads.</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sz w:val="16"/>
                <w:szCs w:val="16"/>
              </w:rPr>
              <w:t xml:space="preserve">toolbox-talk-drawer.js</w:t>
            </w:r>
          </w:p>
        </w:tc>
        <w:tc>
          <w:tcPr>
            <w:tcW w:type="dxa" w:w="6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Toolbox Talk Generator (F9). Nuclear toolbox talks + hazard grid + printable attendance register.</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sz w:val="16"/>
                <w:szCs w:val="16"/>
              </w:rPr>
              <w:t xml:space="preserve">sop-builder-drawer.js</w:t>
            </w:r>
          </w:p>
        </w:tc>
        <w:tc>
          <w:tcPr>
            <w:tcW w:type="dxa" w:w="6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SOP Builder (F10). 12 category options, procedure steps, quality checks.</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sz w:val="16"/>
                <w:szCs w:val="16"/>
              </w:rPr>
              <w:t xml:space="preserve">safety-culture-drawer.js</w:t>
            </w:r>
          </w:p>
        </w:tc>
        <w:tc>
          <w:tcPr>
            <w:tcW w:type="dxa" w:w="6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Safety Culture Self-Assessment (F11). 8 dimensions, 0–3 descriptor scoring, RAG + F4N actions.</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sz w:val="16"/>
                <w:szCs w:val="16"/>
              </w:rPr>
              <w:t xml:space="preserve">cqp-drawer.js</w:t>
            </w:r>
          </w:p>
        </w:tc>
        <w:tc>
          <w:tcPr>
            <w:tcW w:type="dxa" w:w="6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Contract Quality Plan Generator (F12). CQP with ITP (H/W/R points), standards toggles, contract band.</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sz w:val="16"/>
                <w:szCs w:val="16"/>
              </w:rPr>
              <w:t xml:space="preserve">sqdcp-drawer.js</w:t>
            </w:r>
          </w:p>
        </w:tc>
        <w:tc>
          <w:tcPr>
            <w:tcW w:type="dxa" w:w="6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SQDCP Setup Wizard (F13). 5-pillar board config, metric definitions, RAG thresholds, meeting agenda.</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sz w:val="16"/>
                <w:szCs w:val="16"/>
              </w:rPr>
              <w:t xml:space="preserve">ncr-drawer.js</w:t>
            </w:r>
          </w:p>
        </w:tc>
        <w:tc>
          <w:tcPr>
            <w:tcW w:type="dxa" w:w="6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NCR &amp; Incident Investigation (F14). 5 Whys RCA, 6 event types, RCA quality score, action table.</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sz w:val="16"/>
                <w:szCs w:val="16"/>
              </w:rPr>
              <w:t xml:space="preserve">strategy-drawer.js</w:t>
            </w:r>
          </w:p>
        </w:tc>
        <w:tc>
          <w:tcPr>
            <w:tcW w:type="dxa" w:w="6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Business Strategy Builder (F15). MVV, SWOT, pillars, roadmap, F4N SL-01 alignment, board sign-off.</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sz w:val="16"/>
                <w:szCs w:val="16"/>
              </w:rPr>
              <w:t xml:space="preserve">plant-drawer.js</w:t>
            </w:r>
          </w:p>
        </w:tc>
        <w:tc>
          <w:tcPr>
            <w:tcW w:type="dxa" w:w="6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Plant Explorer drawer (inline version of NucCol_Plant_Explorer.html).</w:t>
            </w:r>
          </w:p>
        </w:tc>
      </w:tr>
    </w:tbl>
    <w:p>
      <w:pPr>
        <w:spacing w:after="0" w:before="100"/>
      </w:pPr>
    </w:p>
    <w:p>
      <w:pPr>
        <w:pStyle w:val="Heading2"/>
        <w:spacing w:after="80" w:before="280"/>
      </w:pPr>
      <w:r>
        <w:rPr>
          <w:rFonts w:ascii="Arial" w:cs="Arial" w:eastAsia="Arial" w:hAnsi="Arial"/>
          <w:b/>
          <w:bCs/>
          <w:color w:val="212121"/>
          <w:sz w:val="26"/>
          <w:szCs w:val="26"/>
        </w:rPr>
        <w:t xml:space="preserve">css/ — Stylesheets</w:t>
      </w:r>
    </w:p>
    <w:p>
      <w:pPr>
        <w:pStyle w:val="ListParagraph"/>
        <w:numPr>
          <w:ilvl w:val="0"/>
          <w:numId w:val="2"/>
        </w:numPr>
        <w:spacing w:after="40" w:before="40"/>
      </w:pPr>
      <w:r>
        <w:rPr>
          <w:rFonts w:ascii="Arial" w:cs="Arial" w:eastAsia="Arial" w:hAnsi="Arial"/>
          <w:b w:val="false"/>
          <w:bCs w:val="false"/>
          <w:sz w:val="20"/>
          <w:szCs w:val="20"/>
        </w:rPr>
        <w:t xml:space="preserve">styles.css — Base styles, drawer shell (assess-* classes), overlay, pill nav, evidence cards, mode/tier buttons</w:t>
      </w:r>
    </w:p>
    <w:p>
      <w:pPr>
        <w:pStyle w:val="ListParagraph"/>
        <w:numPr>
          <w:ilvl w:val="0"/>
          <w:numId w:val="2"/>
        </w:numPr>
        <w:spacing w:after="40" w:before="40"/>
      </w:pPr>
      <w:r>
        <w:rPr>
          <w:rFonts w:ascii="Arial" w:cs="Arial" w:eastAsia="Arial" w:hAnsi="Arial"/>
          <w:b w:val="false"/>
          <w:bCs w:val="false"/>
          <w:sz w:val="20"/>
          <w:szCs w:val="20"/>
        </w:rPr>
        <w:t xml:space="preserve">evidence-vault.css — Evidence Vault drawer</w:t>
      </w:r>
    </w:p>
    <w:p>
      <w:pPr>
        <w:pStyle w:val="ListParagraph"/>
        <w:numPr>
          <w:ilvl w:val="0"/>
          <w:numId w:val="2"/>
        </w:numPr>
        <w:spacing w:after="40" w:before="40"/>
      </w:pPr>
      <w:r>
        <w:rPr>
          <w:rFonts w:ascii="Arial" w:cs="Arial" w:eastAsia="Arial" w:hAnsi="Arial"/>
          <w:b w:val="false"/>
          <w:bCs w:val="false"/>
          <w:sz w:val="20"/>
          <w:szCs w:val="20"/>
        </w:rPr>
        <w:t xml:space="preserve">social-value.css — Social Value Finder</w:t>
      </w:r>
    </w:p>
    <w:p>
      <w:pPr>
        <w:pStyle w:val="ListParagraph"/>
        <w:numPr>
          <w:ilvl w:val="0"/>
          <w:numId w:val="2"/>
        </w:numPr>
        <w:spacing w:after="40" w:before="40"/>
      </w:pPr>
      <w:r>
        <w:rPr>
          <w:rFonts w:ascii="Arial" w:cs="Arial" w:eastAsia="Arial" w:hAnsi="Arial"/>
          <w:b w:val="false"/>
          <w:bCs w:val="false"/>
          <w:sz w:val="20"/>
          <w:szCs w:val="20"/>
        </w:rPr>
        <w:t xml:space="preserve">due-diligence.css — Supplier Intelligence</w:t>
      </w:r>
    </w:p>
    <w:p>
      <w:pPr>
        <w:pStyle w:val="ListParagraph"/>
        <w:numPr>
          <w:ilvl w:val="0"/>
          <w:numId w:val="2"/>
        </w:numPr>
        <w:spacing w:after="40" w:before="40"/>
      </w:pPr>
      <w:r>
        <w:rPr>
          <w:rFonts w:ascii="Arial" w:cs="Arial" w:eastAsia="Arial" w:hAnsi="Arial"/>
          <w:b w:val="false"/>
          <w:bCs w:val="false"/>
          <w:sz w:val="20"/>
          <w:szCs w:val="20"/>
        </w:rPr>
        <w:t xml:space="preserve">toolbox-talk.css — Toolbox Talk Generator</w:t>
      </w:r>
    </w:p>
    <w:p>
      <w:pPr>
        <w:pStyle w:val="ListParagraph"/>
        <w:numPr>
          <w:ilvl w:val="0"/>
          <w:numId w:val="2"/>
        </w:numPr>
        <w:spacing w:after="40" w:before="40"/>
      </w:pPr>
      <w:r>
        <w:rPr>
          <w:rFonts w:ascii="Arial" w:cs="Arial" w:eastAsia="Arial" w:hAnsi="Arial"/>
          <w:b w:val="false"/>
          <w:bCs w:val="false"/>
          <w:sz w:val="20"/>
          <w:szCs w:val="20"/>
        </w:rPr>
        <w:t xml:space="preserve">sop-builder.css — SOP Builder</w:t>
      </w:r>
    </w:p>
    <w:p>
      <w:pPr>
        <w:pStyle w:val="ListParagraph"/>
        <w:numPr>
          <w:ilvl w:val="0"/>
          <w:numId w:val="2"/>
        </w:numPr>
        <w:spacing w:after="40" w:before="40"/>
      </w:pPr>
      <w:r>
        <w:rPr>
          <w:rFonts w:ascii="Arial" w:cs="Arial" w:eastAsia="Arial" w:hAnsi="Arial"/>
          <w:b w:val="false"/>
          <w:bCs w:val="false"/>
          <w:sz w:val="20"/>
          <w:szCs w:val="20"/>
        </w:rPr>
        <w:t xml:space="preserve">safety-culture.css — Safety Culture Self-Assessment</w:t>
      </w:r>
    </w:p>
    <w:p>
      <w:pPr>
        <w:pStyle w:val="ListParagraph"/>
        <w:numPr>
          <w:ilvl w:val="0"/>
          <w:numId w:val="2"/>
        </w:numPr>
        <w:spacing w:after="40" w:before="40"/>
      </w:pPr>
      <w:r>
        <w:rPr>
          <w:rFonts w:ascii="Arial" w:cs="Arial" w:eastAsia="Arial" w:hAnsi="Arial"/>
          <w:b w:val="false"/>
          <w:bCs w:val="false"/>
          <w:sz w:val="20"/>
          <w:szCs w:val="20"/>
        </w:rPr>
        <w:t xml:space="preserve">cqp.css — Contract Quality Plan Generator</w:t>
      </w:r>
    </w:p>
    <w:p>
      <w:pPr>
        <w:pStyle w:val="ListParagraph"/>
        <w:numPr>
          <w:ilvl w:val="0"/>
          <w:numId w:val="2"/>
        </w:numPr>
        <w:spacing w:after="40" w:before="40"/>
      </w:pPr>
      <w:r>
        <w:rPr>
          <w:rFonts w:ascii="Arial" w:cs="Arial" w:eastAsia="Arial" w:hAnsi="Arial"/>
          <w:b w:val="false"/>
          <w:bCs w:val="false"/>
          <w:sz w:val="20"/>
          <w:szCs w:val="20"/>
        </w:rPr>
        <w:t xml:space="preserve">sqdcp.css — SQDCP Setup Wizard</w:t>
      </w:r>
    </w:p>
    <w:p>
      <w:pPr>
        <w:pStyle w:val="ListParagraph"/>
        <w:numPr>
          <w:ilvl w:val="0"/>
          <w:numId w:val="2"/>
        </w:numPr>
        <w:spacing w:after="40" w:before="40"/>
      </w:pPr>
      <w:r>
        <w:rPr>
          <w:rFonts w:ascii="Arial" w:cs="Arial" w:eastAsia="Arial" w:hAnsi="Arial"/>
          <w:b w:val="false"/>
          <w:bCs w:val="false"/>
          <w:sz w:val="20"/>
          <w:szCs w:val="20"/>
        </w:rPr>
        <w:t xml:space="preserve">ncr.css — NCR &amp; Incident Investigation</w:t>
      </w:r>
    </w:p>
    <w:p>
      <w:pPr>
        <w:pStyle w:val="ListParagraph"/>
        <w:numPr>
          <w:ilvl w:val="0"/>
          <w:numId w:val="2"/>
        </w:numPr>
        <w:spacing w:after="40" w:before="40"/>
      </w:pPr>
      <w:r>
        <w:rPr>
          <w:rFonts w:ascii="Arial" w:cs="Arial" w:eastAsia="Arial" w:hAnsi="Arial"/>
          <w:b w:val="false"/>
          <w:bCs w:val="false"/>
          <w:sz w:val="20"/>
          <w:szCs w:val="20"/>
        </w:rPr>
        <w:t xml:space="preserve">strategy.css — Business Strategy Builder</w:t>
      </w:r>
    </w:p>
    <w:p>
      <w:pPr>
        <w:pBdr>
          <w:bottom w:val="single" w:color="1B5E20" w:sz="4" w:space="1"/>
        </w:pBdr>
        <w:spacing w:after="160" w:before="160"/>
      </w:pPr>
    </w:p>
    <w:p>
      <w:r>
        <w:br w:type="page"/>
      </w:r>
    </w:p>
    <w:p>
      <w:pPr>
        <w:pStyle w:val="Heading1"/>
        <w:spacing w:after="120" w:before="360"/>
      </w:pPr>
      <w:r>
        <w:rPr>
          <w:rFonts w:ascii="Arial" w:cs="Arial" w:eastAsia="Arial" w:hAnsi="Arial"/>
          <w:b/>
          <w:bCs/>
          <w:color w:val="1B5E20"/>
          <w:sz w:val="36"/>
          <w:szCs w:val="36"/>
        </w:rPr>
        <w:t xml:space="preserve">6. Complete Feature Inventory</w:t>
      </w:r>
    </w:p>
    <w:p>
      <w:pPr>
        <w:spacing w:after="100" w:before="60"/>
      </w:pPr>
      <w:r>
        <w:rPr>
          <w:rFonts w:ascii="Arial" w:cs="Arial" w:eastAsia="Arial" w:hAnsi="Arial"/>
          <w:color w:val="212121"/>
          <w:sz w:val="20"/>
          <w:szCs w:val="20"/>
        </w:rPr>
        <w:t xml:space="preserve">All 15 planned features (F1–F15) are complete and live as of 22 June 2026. Additional tools built beyond the original feature list are shown below.</w:t>
      </w:r>
    </w:p>
    <w:p>
      <w:pPr>
        <w:spacing w:after="0" w:before="100"/>
      </w:pPr>
    </w:p>
    <w:p>
      <w:pPr>
        <w:pStyle w:val="Heading2"/>
        <w:spacing w:after="80" w:before="280"/>
      </w:pPr>
      <w:r>
        <w:rPr>
          <w:rFonts w:ascii="Arial" w:cs="Arial" w:eastAsia="Arial" w:hAnsi="Arial"/>
          <w:b/>
          <w:bCs/>
          <w:color w:val="212121"/>
          <w:sz w:val="26"/>
          <w:szCs w:val="26"/>
        </w:rPr>
        <w:t xml:space="preserve">Core Intelligence &amp; Assessment (F1–F5)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3800"/>
        <w:gridCol w:w="2060"/>
      </w:tblGrid>
      <w:tr>
        <w:trPr>
          <w:tblHeader/>
        </w:trPr>
        <w:tc>
          <w:tcPr>
            <w:tcW w:type="dxa" w:w="9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6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38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Primary Files</w:t>
            </w:r>
          </w:p>
        </w:tc>
        <w:tc>
          <w:tcPr>
            <w:tcW w:type="dxa" w:w="20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900"/>
            <w:tcBorders>
              <w:top w:val="single" w:color="BDBDBD" w:sz="1"/>
              <w:left w:val="single" w:color="BDBDBD" w:sz="1"/>
              <w:bottom w:val="single" w:color="BDBDBD" w:sz="1"/>
              <w:right w:val="single" w:color="BDBDBD" w:sz="1"/>
            </w:tcBorders>
            <w:shd w:fill="E8F5E9" w:val="clear"/>
            <w:tcMar>
              <w:top w:type="dxa" w:w="60"/>
              <w:left w:type="dxa" w:w="120"/>
              <w:bottom w:type="dxa" w:w="60"/>
              <w:right w:type="dxa" w:w="60"/>
            </w:tcMar>
          </w:tcPr>
          <w:p>
            <w:r>
              <w:rPr>
                <w:rFonts w:ascii="Arial" w:cs="Arial" w:eastAsia="Arial" w:hAnsi="Arial"/>
                <w:b/>
                <w:bCs/>
                <w:color w:val="1B5E20"/>
                <w:sz w:val="18"/>
                <w:szCs w:val="18"/>
              </w:rPr>
              <w:t xml:space="preserve">F1</w:t>
            </w:r>
          </w:p>
        </w:tc>
        <w:tc>
          <w:tcPr>
            <w:tcW w:type="dxa" w:w="26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sz w:val="18"/>
                <w:szCs w:val="18"/>
              </w:rPr>
              <w:t xml:space="preserve">Evidence Vault</w:t>
            </w:r>
          </w:p>
        </w:tc>
        <w:tc>
          <w:tcPr>
            <w:tcW w:type="dxa" w:w="38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color w:val="555555"/>
                <w:sz w:val="16"/>
                <w:szCs w:val="16"/>
              </w:rPr>
              <w:t xml:space="preserve">js/evidence-vault-drawer.js, css/evidence-vault.css, kb/be_evidence_map.json</w:t>
            </w:r>
          </w:p>
        </w:tc>
        <w:tc>
          <w:tcPr>
            <w:tcW w:type="dxa" w:w="20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color w:val="1B5E20"/>
                <w:sz w:val="18"/>
                <w:szCs w:val="18"/>
              </w:rPr>
              <w:t xml:space="preserve">COMPLETE ✓</w:t>
            </w:r>
          </w:p>
        </w:tc>
      </w:tr>
      <w:tr>
        <w:tc>
          <w:tcPr>
            <w:tcW w:type="dxa" w:w="900"/>
            <w:tcBorders>
              <w:top w:val="single" w:color="BDBDBD" w:sz="1"/>
              <w:left w:val="single" w:color="BDBDBD" w:sz="1"/>
              <w:bottom w:val="single" w:color="BDBDBD" w:sz="1"/>
              <w:right w:val="single" w:color="BDBDBD" w:sz="1"/>
            </w:tcBorders>
            <w:shd w:fill="E8F5E9" w:val="clear"/>
            <w:tcMar>
              <w:top w:type="dxa" w:w="60"/>
              <w:left w:type="dxa" w:w="120"/>
              <w:bottom w:type="dxa" w:w="60"/>
              <w:right w:type="dxa" w:w="60"/>
            </w:tcMar>
          </w:tcPr>
          <w:p>
            <w:r>
              <w:rPr>
                <w:rFonts w:ascii="Arial" w:cs="Arial" w:eastAsia="Arial" w:hAnsi="Arial"/>
                <w:b/>
                <w:bCs/>
                <w:color w:val="1B5E20"/>
                <w:sz w:val="18"/>
                <w:szCs w:val="18"/>
              </w:rPr>
              <w:t xml:space="preserve">F2</w:t>
            </w:r>
          </w:p>
        </w:tc>
        <w:tc>
          <w:tcPr>
            <w:tcW w:type="dxa" w:w="26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sz w:val="18"/>
                <w:szCs w:val="18"/>
              </w:rPr>
              <w:t xml:space="preserve">Website Reviewer</w:t>
            </w:r>
          </w:p>
        </w:tc>
        <w:tc>
          <w:tcPr>
            <w:tcW w:type="dxa" w:w="38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color w:val="555555"/>
                <w:sz w:val="16"/>
                <w:szCs w:val="16"/>
              </w:rPr>
              <w:t xml:space="preserve">js/website-review.js</w:t>
            </w:r>
          </w:p>
        </w:tc>
        <w:tc>
          <w:tcPr>
            <w:tcW w:type="dxa" w:w="20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color w:val="1B5E20"/>
                <w:sz w:val="18"/>
                <w:szCs w:val="18"/>
              </w:rPr>
              <w:t xml:space="preserve">COMPLETE ✓</w:t>
            </w:r>
          </w:p>
        </w:tc>
      </w:tr>
      <w:tr>
        <w:tc>
          <w:tcPr>
            <w:tcW w:type="dxa" w:w="900"/>
            <w:tcBorders>
              <w:top w:val="single" w:color="BDBDBD" w:sz="1"/>
              <w:left w:val="single" w:color="BDBDBD" w:sz="1"/>
              <w:bottom w:val="single" w:color="BDBDBD" w:sz="1"/>
              <w:right w:val="single" w:color="BDBDBD" w:sz="1"/>
            </w:tcBorders>
            <w:shd w:fill="E8F5E9" w:val="clear"/>
            <w:tcMar>
              <w:top w:type="dxa" w:w="60"/>
              <w:left w:type="dxa" w:w="120"/>
              <w:bottom w:type="dxa" w:w="60"/>
              <w:right w:type="dxa" w:w="60"/>
            </w:tcMar>
          </w:tcPr>
          <w:p>
            <w:r>
              <w:rPr>
                <w:rFonts w:ascii="Arial" w:cs="Arial" w:eastAsia="Arial" w:hAnsi="Arial"/>
                <w:b/>
                <w:bCs/>
                <w:color w:val="1B5E20"/>
                <w:sz w:val="18"/>
                <w:szCs w:val="18"/>
              </w:rPr>
              <w:t xml:space="preserve">F3</w:t>
            </w:r>
          </w:p>
        </w:tc>
        <w:tc>
          <w:tcPr>
            <w:tcW w:type="dxa" w:w="26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sz w:val="18"/>
                <w:szCs w:val="18"/>
              </w:rPr>
              <w:t xml:space="preserve">ISO 19443 Position</w:t>
            </w:r>
          </w:p>
        </w:tc>
        <w:tc>
          <w:tcPr>
            <w:tcW w:type="dxa" w:w="38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color w:val="555555"/>
                <w:sz w:val="16"/>
                <w:szCs w:val="16"/>
              </w:rPr>
              <w:t xml:space="preserve">js/iso19443-drawer.js, kb/iso19443_mapping.json, kb/handbook_url_map.json</w:t>
            </w:r>
          </w:p>
        </w:tc>
        <w:tc>
          <w:tcPr>
            <w:tcW w:type="dxa" w:w="20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color w:val="1B5E20"/>
                <w:sz w:val="18"/>
                <w:szCs w:val="18"/>
              </w:rPr>
              <w:t xml:space="preserve">COMPLETE ✓</w:t>
            </w:r>
          </w:p>
        </w:tc>
      </w:tr>
      <w:tr>
        <w:tc>
          <w:tcPr>
            <w:tcW w:type="dxa" w:w="900"/>
            <w:tcBorders>
              <w:top w:val="single" w:color="BDBDBD" w:sz="1"/>
              <w:left w:val="single" w:color="BDBDBD" w:sz="1"/>
              <w:bottom w:val="single" w:color="BDBDBD" w:sz="1"/>
              <w:right w:val="single" w:color="BDBDBD" w:sz="1"/>
            </w:tcBorders>
            <w:shd w:fill="E8F5E9" w:val="clear"/>
            <w:tcMar>
              <w:top w:type="dxa" w:w="60"/>
              <w:left w:type="dxa" w:w="120"/>
              <w:bottom w:type="dxa" w:w="60"/>
              <w:right w:type="dxa" w:w="60"/>
            </w:tcMar>
          </w:tcPr>
          <w:p>
            <w:r>
              <w:rPr>
                <w:rFonts w:ascii="Arial" w:cs="Arial" w:eastAsia="Arial" w:hAnsi="Arial"/>
                <w:b/>
                <w:bCs/>
                <w:color w:val="1B5E20"/>
                <w:sz w:val="18"/>
                <w:szCs w:val="18"/>
              </w:rPr>
              <w:t xml:space="preserve">F4</w:t>
            </w:r>
          </w:p>
        </w:tc>
        <w:tc>
          <w:tcPr>
            <w:tcW w:type="dxa" w:w="26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sz w:val="18"/>
                <w:szCs w:val="18"/>
              </w:rPr>
              <w:t xml:space="preserve">Social Value Finder</w:t>
            </w:r>
          </w:p>
        </w:tc>
        <w:tc>
          <w:tcPr>
            <w:tcW w:type="dxa" w:w="38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color w:val="555555"/>
                <w:sz w:val="16"/>
                <w:szCs w:val="16"/>
              </w:rPr>
              <w:t xml:space="preserve">js/social-value-drawer.js, css/social-value.css</w:t>
            </w:r>
          </w:p>
        </w:tc>
        <w:tc>
          <w:tcPr>
            <w:tcW w:type="dxa" w:w="20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color w:val="1B5E20"/>
                <w:sz w:val="18"/>
                <w:szCs w:val="18"/>
              </w:rPr>
              <w:t xml:space="preserve">COMPLETE ✓</w:t>
            </w:r>
          </w:p>
        </w:tc>
      </w:tr>
      <w:tr>
        <w:tc>
          <w:tcPr>
            <w:tcW w:type="dxa" w:w="900"/>
            <w:tcBorders>
              <w:top w:val="single" w:color="BDBDBD" w:sz="1"/>
              <w:left w:val="single" w:color="BDBDBD" w:sz="1"/>
              <w:bottom w:val="single" w:color="BDBDBD" w:sz="1"/>
              <w:right w:val="single" w:color="BDBDBD" w:sz="1"/>
            </w:tcBorders>
            <w:shd w:fill="E8F5E9" w:val="clear"/>
            <w:tcMar>
              <w:top w:type="dxa" w:w="60"/>
              <w:left w:type="dxa" w:w="120"/>
              <w:bottom w:type="dxa" w:w="60"/>
              <w:right w:type="dxa" w:w="60"/>
            </w:tcMar>
          </w:tcPr>
          <w:p>
            <w:r>
              <w:rPr>
                <w:rFonts w:ascii="Arial" w:cs="Arial" w:eastAsia="Arial" w:hAnsi="Arial"/>
                <w:b/>
                <w:bCs/>
                <w:color w:val="1B5E20"/>
                <w:sz w:val="18"/>
                <w:szCs w:val="18"/>
              </w:rPr>
              <w:t xml:space="preserve">F5</w:t>
            </w:r>
          </w:p>
        </w:tc>
        <w:tc>
          <w:tcPr>
            <w:tcW w:type="dxa" w:w="26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sz w:val="18"/>
                <w:szCs w:val="18"/>
              </w:rPr>
              <w:t xml:space="preserve">RAG Chat Engine</w:t>
            </w:r>
          </w:p>
        </w:tc>
        <w:tc>
          <w:tcPr>
            <w:tcW w:type="dxa" w:w="38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color w:val="555555"/>
                <w:sz w:val="16"/>
                <w:szCs w:val="16"/>
              </w:rPr>
              <w:t xml:space="preserve">js/app.js, js/retrieval.js, js/modelRouter.js, js/claude.js, js/groq.js</w:t>
            </w:r>
          </w:p>
        </w:tc>
        <w:tc>
          <w:tcPr>
            <w:tcW w:type="dxa" w:w="20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color w:val="1B5E20"/>
                <w:sz w:val="18"/>
                <w:szCs w:val="18"/>
              </w:rPr>
              <w:t xml:space="preserve">COMPLETE ✓</w:t>
            </w:r>
          </w:p>
        </w:tc>
      </w:tr>
    </w:tbl>
    <w:p>
      <w:pPr>
        <w:spacing w:after="0" w:before="100"/>
      </w:pPr>
    </w:p>
    <w:p>
      <w:pPr>
        <w:pStyle w:val="Heading2"/>
        <w:spacing w:after="80" w:before="280"/>
      </w:pPr>
      <w:r>
        <w:rPr>
          <w:rFonts w:ascii="Arial" w:cs="Arial" w:eastAsia="Arial" w:hAnsi="Arial"/>
          <w:b/>
          <w:bCs/>
          <w:color w:val="212121"/>
          <w:sz w:val="26"/>
          <w:szCs w:val="26"/>
        </w:rPr>
        <w:t xml:space="preserve">Knowledge Base (F6–F8)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3800"/>
        <w:gridCol w:w="2060"/>
      </w:tblGrid>
      <w:tr>
        <w:trPr>
          <w:tblHeader/>
        </w:trPr>
        <w:tc>
          <w:tcPr>
            <w:tcW w:type="dxa" w:w="9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6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38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Primary Files</w:t>
            </w:r>
          </w:p>
        </w:tc>
        <w:tc>
          <w:tcPr>
            <w:tcW w:type="dxa" w:w="20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900"/>
            <w:tcBorders>
              <w:top w:val="single" w:color="BDBDBD" w:sz="1"/>
              <w:left w:val="single" w:color="BDBDBD" w:sz="1"/>
              <w:bottom w:val="single" w:color="BDBDBD" w:sz="1"/>
              <w:right w:val="single" w:color="BDBDBD" w:sz="1"/>
            </w:tcBorders>
            <w:shd w:fill="E8F5E9" w:val="clear"/>
            <w:tcMar>
              <w:top w:type="dxa" w:w="60"/>
              <w:left w:type="dxa" w:w="120"/>
              <w:bottom w:type="dxa" w:w="60"/>
              <w:right w:type="dxa" w:w="60"/>
            </w:tcMar>
          </w:tcPr>
          <w:p>
            <w:r>
              <w:rPr>
                <w:rFonts w:ascii="Arial" w:cs="Arial" w:eastAsia="Arial" w:hAnsi="Arial"/>
                <w:b/>
                <w:bCs/>
                <w:color w:val="1B5E20"/>
                <w:sz w:val="18"/>
                <w:szCs w:val="18"/>
              </w:rPr>
              <w:t xml:space="preserve">F6</w:t>
            </w:r>
          </w:p>
        </w:tc>
        <w:tc>
          <w:tcPr>
            <w:tcW w:type="dxa" w:w="26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sz w:val="18"/>
                <w:szCs w:val="18"/>
              </w:rPr>
              <w:t xml:space="preserve">KB Chunk Builder</w:t>
            </w:r>
          </w:p>
        </w:tc>
        <w:tc>
          <w:tcPr>
            <w:tcW w:type="dxa" w:w="38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color w:val="555555"/>
                <w:sz w:val="16"/>
                <w:szCs w:val="16"/>
              </w:rPr>
              <w:t xml:space="preserve">Feed_Frankie/Brain of Frankie/Python/build_toolkit_kb.py</w:t>
            </w:r>
          </w:p>
        </w:tc>
        <w:tc>
          <w:tcPr>
            <w:tcW w:type="dxa" w:w="20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color w:val="1B5E20"/>
                <w:sz w:val="18"/>
                <w:szCs w:val="18"/>
              </w:rPr>
              <w:t xml:space="preserve">COMPLETE ✓</w:t>
            </w:r>
          </w:p>
        </w:tc>
      </w:tr>
      <w:tr>
        <w:tc>
          <w:tcPr>
            <w:tcW w:type="dxa" w:w="900"/>
            <w:tcBorders>
              <w:top w:val="single" w:color="BDBDBD" w:sz="1"/>
              <w:left w:val="single" w:color="BDBDBD" w:sz="1"/>
              <w:bottom w:val="single" w:color="BDBDBD" w:sz="1"/>
              <w:right w:val="single" w:color="BDBDBD" w:sz="1"/>
            </w:tcBorders>
            <w:shd w:fill="E8F5E9" w:val="clear"/>
            <w:tcMar>
              <w:top w:type="dxa" w:w="60"/>
              <w:left w:type="dxa" w:w="120"/>
              <w:bottom w:type="dxa" w:w="60"/>
              <w:right w:type="dxa" w:w="60"/>
            </w:tcMar>
          </w:tcPr>
          <w:p>
            <w:r>
              <w:rPr>
                <w:rFonts w:ascii="Arial" w:cs="Arial" w:eastAsia="Arial" w:hAnsi="Arial"/>
                <w:b/>
                <w:bCs/>
                <w:color w:val="1B5E20"/>
                <w:sz w:val="18"/>
                <w:szCs w:val="18"/>
              </w:rPr>
              <w:t xml:space="preserve">F7</w:t>
            </w:r>
          </w:p>
        </w:tc>
        <w:tc>
          <w:tcPr>
            <w:tcW w:type="dxa" w:w="26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sz w:val="18"/>
                <w:szCs w:val="18"/>
              </w:rPr>
              <w:t xml:space="preserve">Embedding Search</w:t>
            </w:r>
          </w:p>
        </w:tc>
        <w:tc>
          <w:tcPr>
            <w:tcW w:type="dxa" w:w="38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color w:val="555555"/>
                <w:sz w:val="16"/>
                <w:szCs w:val="16"/>
              </w:rPr>
              <w:t xml:space="preserve">js/retrieval.js (embedQuery), kb/frankie5_vectors.json</w:t>
            </w:r>
          </w:p>
        </w:tc>
        <w:tc>
          <w:tcPr>
            <w:tcW w:type="dxa" w:w="20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color w:val="1B5E20"/>
                <w:sz w:val="18"/>
                <w:szCs w:val="18"/>
              </w:rPr>
              <w:t xml:space="preserve">COMPLETE ✓</w:t>
            </w:r>
          </w:p>
        </w:tc>
      </w:tr>
      <w:tr>
        <w:tc>
          <w:tcPr>
            <w:tcW w:type="dxa" w:w="900"/>
            <w:tcBorders>
              <w:top w:val="single" w:color="BDBDBD" w:sz="1"/>
              <w:left w:val="single" w:color="BDBDBD" w:sz="1"/>
              <w:bottom w:val="single" w:color="BDBDBD" w:sz="1"/>
              <w:right w:val="single" w:color="BDBDBD" w:sz="1"/>
            </w:tcBorders>
            <w:shd w:fill="E8F5E9" w:val="clear"/>
            <w:tcMar>
              <w:top w:type="dxa" w:w="60"/>
              <w:left w:type="dxa" w:w="120"/>
              <w:bottom w:type="dxa" w:w="60"/>
              <w:right w:type="dxa" w:w="60"/>
            </w:tcMar>
          </w:tcPr>
          <w:p>
            <w:r>
              <w:rPr>
                <w:rFonts w:ascii="Arial" w:cs="Arial" w:eastAsia="Arial" w:hAnsi="Arial"/>
                <w:b/>
                <w:bCs/>
                <w:color w:val="1B5E20"/>
                <w:sz w:val="18"/>
                <w:szCs w:val="18"/>
              </w:rPr>
              <w:t xml:space="preserve">F8</w:t>
            </w:r>
          </w:p>
        </w:tc>
        <w:tc>
          <w:tcPr>
            <w:tcW w:type="dxa" w:w="26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sz w:val="18"/>
                <w:szCs w:val="18"/>
              </w:rPr>
              <w:t xml:space="preserve">Brain Check UI</w:t>
            </w:r>
          </w:p>
        </w:tc>
        <w:tc>
          <w:tcPr>
            <w:tcW w:type="dxa" w:w="38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color w:val="555555"/>
                <w:sz w:val="16"/>
                <w:szCs w:val="16"/>
              </w:rPr>
              <w:t xml:space="preserve">js/braincheck-ui.js, js/braincheck.js</w:t>
            </w:r>
          </w:p>
        </w:tc>
        <w:tc>
          <w:tcPr>
            <w:tcW w:type="dxa" w:w="20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color w:val="1B5E20"/>
                <w:sz w:val="18"/>
                <w:szCs w:val="18"/>
              </w:rPr>
              <w:t xml:space="preserve">COMPLETE ✓</w:t>
            </w:r>
          </w:p>
        </w:tc>
      </w:tr>
    </w:tbl>
    <w:p>
      <w:pPr>
        <w:spacing w:after="0" w:before="100"/>
      </w:pPr>
    </w:p>
    <w:p>
      <w:pPr>
        <w:pStyle w:val="Heading2"/>
        <w:spacing w:after="80" w:before="280"/>
      </w:pPr>
      <w:r>
        <w:rPr>
          <w:rFonts w:ascii="Arial" w:cs="Arial" w:eastAsia="Arial" w:hAnsi="Arial"/>
          <w:b/>
          <w:bCs/>
          <w:color w:val="212121"/>
          <w:sz w:val="26"/>
          <w:szCs w:val="26"/>
        </w:rPr>
        <w:t xml:space="preserve">Tool Kit (F9–F15)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3800"/>
        <w:gridCol w:w="2060"/>
      </w:tblGrid>
      <w:tr>
        <w:trPr>
          <w:tblHeader/>
        </w:trPr>
        <w:tc>
          <w:tcPr>
            <w:tcW w:type="dxa" w:w="9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6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38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Primary Files</w:t>
            </w:r>
          </w:p>
        </w:tc>
        <w:tc>
          <w:tcPr>
            <w:tcW w:type="dxa" w:w="20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900"/>
            <w:tcBorders>
              <w:top w:val="single" w:color="BDBDBD" w:sz="1"/>
              <w:left w:val="single" w:color="BDBDBD" w:sz="1"/>
              <w:bottom w:val="single" w:color="BDBDBD" w:sz="1"/>
              <w:right w:val="single" w:color="BDBDBD" w:sz="1"/>
            </w:tcBorders>
            <w:shd w:fill="E8F5E9" w:val="clear"/>
            <w:tcMar>
              <w:top w:type="dxa" w:w="60"/>
              <w:left w:type="dxa" w:w="120"/>
              <w:bottom w:type="dxa" w:w="60"/>
              <w:right w:type="dxa" w:w="60"/>
            </w:tcMar>
          </w:tcPr>
          <w:p>
            <w:r>
              <w:rPr>
                <w:rFonts w:ascii="Arial" w:cs="Arial" w:eastAsia="Arial" w:hAnsi="Arial"/>
                <w:b/>
                <w:bCs/>
                <w:color w:val="1B5E20"/>
                <w:sz w:val="18"/>
                <w:szCs w:val="18"/>
              </w:rPr>
              <w:t xml:space="preserve">F9</w:t>
            </w:r>
          </w:p>
        </w:tc>
        <w:tc>
          <w:tcPr>
            <w:tcW w:type="dxa" w:w="26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sz w:val="18"/>
                <w:szCs w:val="18"/>
              </w:rPr>
              <w:t xml:space="preserve">Toolbox Talk Generator</w:t>
            </w:r>
          </w:p>
        </w:tc>
        <w:tc>
          <w:tcPr>
            <w:tcW w:type="dxa" w:w="38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color w:val="555555"/>
                <w:sz w:val="16"/>
                <w:szCs w:val="16"/>
              </w:rPr>
              <w:t xml:space="preserve">js/toolbox-talk-drawer.js, css/toolbox-talk.css</w:t>
            </w:r>
          </w:p>
        </w:tc>
        <w:tc>
          <w:tcPr>
            <w:tcW w:type="dxa" w:w="20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color w:val="1B5E20"/>
                <w:sz w:val="18"/>
                <w:szCs w:val="18"/>
              </w:rPr>
              <w:t xml:space="preserve">COMPLETE ✓</w:t>
            </w:r>
          </w:p>
        </w:tc>
      </w:tr>
      <w:tr>
        <w:tc>
          <w:tcPr>
            <w:tcW w:type="dxa" w:w="900"/>
            <w:tcBorders>
              <w:top w:val="single" w:color="BDBDBD" w:sz="1"/>
              <w:left w:val="single" w:color="BDBDBD" w:sz="1"/>
              <w:bottom w:val="single" w:color="BDBDBD" w:sz="1"/>
              <w:right w:val="single" w:color="BDBDBD" w:sz="1"/>
            </w:tcBorders>
            <w:shd w:fill="E8F5E9" w:val="clear"/>
            <w:tcMar>
              <w:top w:type="dxa" w:w="60"/>
              <w:left w:type="dxa" w:w="120"/>
              <w:bottom w:type="dxa" w:w="60"/>
              <w:right w:type="dxa" w:w="60"/>
            </w:tcMar>
          </w:tcPr>
          <w:p>
            <w:r>
              <w:rPr>
                <w:rFonts w:ascii="Arial" w:cs="Arial" w:eastAsia="Arial" w:hAnsi="Arial"/>
                <w:b/>
                <w:bCs/>
                <w:color w:val="1B5E20"/>
                <w:sz w:val="18"/>
                <w:szCs w:val="18"/>
              </w:rPr>
              <w:t xml:space="preserve">F10</w:t>
            </w:r>
          </w:p>
        </w:tc>
        <w:tc>
          <w:tcPr>
            <w:tcW w:type="dxa" w:w="26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sz w:val="18"/>
                <w:szCs w:val="18"/>
              </w:rPr>
              <w:t xml:space="preserve">SOP Builder</w:t>
            </w:r>
          </w:p>
        </w:tc>
        <w:tc>
          <w:tcPr>
            <w:tcW w:type="dxa" w:w="38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color w:val="555555"/>
                <w:sz w:val="16"/>
                <w:szCs w:val="16"/>
              </w:rPr>
              <w:t xml:space="preserve">js/sop-builder-drawer.js, css/sop-builder.css</w:t>
            </w:r>
          </w:p>
        </w:tc>
        <w:tc>
          <w:tcPr>
            <w:tcW w:type="dxa" w:w="20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color w:val="1B5E20"/>
                <w:sz w:val="18"/>
                <w:szCs w:val="18"/>
              </w:rPr>
              <w:t xml:space="preserve">COMPLETE ✓</w:t>
            </w:r>
          </w:p>
        </w:tc>
      </w:tr>
      <w:tr>
        <w:tc>
          <w:tcPr>
            <w:tcW w:type="dxa" w:w="900"/>
            <w:tcBorders>
              <w:top w:val="single" w:color="BDBDBD" w:sz="1"/>
              <w:left w:val="single" w:color="BDBDBD" w:sz="1"/>
              <w:bottom w:val="single" w:color="BDBDBD" w:sz="1"/>
              <w:right w:val="single" w:color="BDBDBD" w:sz="1"/>
            </w:tcBorders>
            <w:shd w:fill="E8F5E9" w:val="clear"/>
            <w:tcMar>
              <w:top w:type="dxa" w:w="60"/>
              <w:left w:type="dxa" w:w="120"/>
              <w:bottom w:type="dxa" w:w="60"/>
              <w:right w:type="dxa" w:w="60"/>
            </w:tcMar>
          </w:tcPr>
          <w:p>
            <w:r>
              <w:rPr>
                <w:rFonts w:ascii="Arial" w:cs="Arial" w:eastAsia="Arial" w:hAnsi="Arial"/>
                <w:b/>
                <w:bCs/>
                <w:color w:val="1B5E20"/>
                <w:sz w:val="18"/>
                <w:szCs w:val="18"/>
              </w:rPr>
              <w:t xml:space="preserve">F11</w:t>
            </w:r>
          </w:p>
        </w:tc>
        <w:tc>
          <w:tcPr>
            <w:tcW w:type="dxa" w:w="26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sz w:val="18"/>
                <w:szCs w:val="18"/>
              </w:rPr>
              <w:t xml:space="preserve">Safety Culture Self-Assessment</w:t>
            </w:r>
          </w:p>
        </w:tc>
        <w:tc>
          <w:tcPr>
            <w:tcW w:type="dxa" w:w="38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color w:val="555555"/>
                <w:sz w:val="16"/>
                <w:szCs w:val="16"/>
              </w:rPr>
              <w:t xml:space="preserve">js/safety-culture-drawer.js, css/safety-culture.css</w:t>
            </w:r>
          </w:p>
        </w:tc>
        <w:tc>
          <w:tcPr>
            <w:tcW w:type="dxa" w:w="20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color w:val="1B5E20"/>
                <w:sz w:val="18"/>
                <w:szCs w:val="18"/>
              </w:rPr>
              <w:t xml:space="preserve">COMPLETE ✓</w:t>
            </w:r>
          </w:p>
        </w:tc>
      </w:tr>
      <w:tr>
        <w:tc>
          <w:tcPr>
            <w:tcW w:type="dxa" w:w="900"/>
            <w:tcBorders>
              <w:top w:val="single" w:color="BDBDBD" w:sz="1"/>
              <w:left w:val="single" w:color="BDBDBD" w:sz="1"/>
              <w:bottom w:val="single" w:color="BDBDBD" w:sz="1"/>
              <w:right w:val="single" w:color="BDBDBD" w:sz="1"/>
            </w:tcBorders>
            <w:shd w:fill="E8F5E9" w:val="clear"/>
            <w:tcMar>
              <w:top w:type="dxa" w:w="60"/>
              <w:left w:type="dxa" w:w="120"/>
              <w:bottom w:type="dxa" w:w="60"/>
              <w:right w:type="dxa" w:w="60"/>
            </w:tcMar>
          </w:tcPr>
          <w:p>
            <w:r>
              <w:rPr>
                <w:rFonts w:ascii="Arial" w:cs="Arial" w:eastAsia="Arial" w:hAnsi="Arial"/>
                <w:b/>
                <w:bCs/>
                <w:color w:val="1B5E20"/>
                <w:sz w:val="18"/>
                <w:szCs w:val="18"/>
              </w:rPr>
              <w:t xml:space="preserve">F12</w:t>
            </w:r>
          </w:p>
        </w:tc>
        <w:tc>
          <w:tcPr>
            <w:tcW w:type="dxa" w:w="26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sz w:val="18"/>
                <w:szCs w:val="18"/>
              </w:rPr>
              <w:t xml:space="preserve">Contract Quality Plan</w:t>
            </w:r>
          </w:p>
        </w:tc>
        <w:tc>
          <w:tcPr>
            <w:tcW w:type="dxa" w:w="38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color w:val="555555"/>
                <w:sz w:val="16"/>
                <w:szCs w:val="16"/>
              </w:rPr>
              <w:t xml:space="preserve">js/cqp-drawer.js, css/cqp.css</w:t>
            </w:r>
          </w:p>
        </w:tc>
        <w:tc>
          <w:tcPr>
            <w:tcW w:type="dxa" w:w="20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color w:val="1B5E20"/>
                <w:sz w:val="18"/>
                <w:szCs w:val="18"/>
              </w:rPr>
              <w:t xml:space="preserve">COMPLETE ✓</w:t>
            </w:r>
          </w:p>
        </w:tc>
      </w:tr>
      <w:tr>
        <w:tc>
          <w:tcPr>
            <w:tcW w:type="dxa" w:w="900"/>
            <w:tcBorders>
              <w:top w:val="single" w:color="BDBDBD" w:sz="1"/>
              <w:left w:val="single" w:color="BDBDBD" w:sz="1"/>
              <w:bottom w:val="single" w:color="BDBDBD" w:sz="1"/>
              <w:right w:val="single" w:color="BDBDBD" w:sz="1"/>
            </w:tcBorders>
            <w:shd w:fill="E8F5E9" w:val="clear"/>
            <w:tcMar>
              <w:top w:type="dxa" w:w="60"/>
              <w:left w:type="dxa" w:w="120"/>
              <w:bottom w:type="dxa" w:w="60"/>
              <w:right w:type="dxa" w:w="60"/>
            </w:tcMar>
          </w:tcPr>
          <w:p>
            <w:r>
              <w:rPr>
                <w:rFonts w:ascii="Arial" w:cs="Arial" w:eastAsia="Arial" w:hAnsi="Arial"/>
                <w:b/>
                <w:bCs/>
                <w:color w:val="1B5E20"/>
                <w:sz w:val="18"/>
                <w:szCs w:val="18"/>
              </w:rPr>
              <w:t xml:space="preserve">F13</w:t>
            </w:r>
          </w:p>
        </w:tc>
        <w:tc>
          <w:tcPr>
            <w:tcW w:type="dxa" w:w="26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sz w:val="18"/>
                <w:szCs w:val="18"/>
              </w:rPr>
              <w:t xml:space="preserve">SQDCP Setup Wizard</w:t>
            </w:r>
          </w:p>
        </w:tc>
        <w:tc>
          <w:tcPr>
            <w:tcW w:type="dxa" w:w="38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color w:val="555555"/>
                <w:sz w:val="16"/>
                <w:szCs w:val="16"/>
              </w:rPr>
              <w:t xml:space="preserve">js/sqdcp-drawer.js, css/sqdcp.css</w:t>
            </w:r>
          </w:p>
        </w:tc>
        <w:tc>
          <w:tcPr>
            <w:tcW w:type="dxa" w:w="20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color w:val="1B5E20"/>
                <w:sz w:val="18"/>
                <w:szCs w:val="18"/>
              </w:rPr>
              <w:t xml:space="preserve">COMPLETE ✓</w:t>
            </w:r>
          </w:p>
        </w:tc>
      </w:tr>
      <w:tr>
        <w:tc>
          <w:tcPr>
            <w:tcW w:type="dxa" w:w="900"/>
            <w:tcBorders>
              <w:top w:val="single" w:color="BDBDBD" w:sz="1"/>
              <w:left w:val="single" w:color="BDBDBD" w:sz="1"/>
              <w:bottom w:val="single" w:color="BDBDBD" w:sz="1"/>
              <w:right w:val="single" w:color="BDBDBD" w:sz="1"/>
            </w:tcBorders>
            <w:shd w:fill="E8F5E9" w:val="clear"/>
            <w:tcMar>
              <w:top w:type="dxa" w:w="60"/>
              <w:left w:type="dxa" w:w="120"/>
              <w:bottom w:type="dxa" w:w="60"/>
              <w:right w:type="dxa" w:w="60"/>
            </w:tcMar>
          </w:tcPr>
          <w:p>
            <w:r>
              <w:rPr>
                <w:rFonts w:ascii="Arial" w:cs="Arial" w:eastAsia="Arial" w:hAnsi="Arial"/>
                <w:b/>
                <w:bCs/>
                <w:color w:val="1B5E20"/>
                <w:sz w:val="18"/>
                <w:szCs w:val="18"/>
              </w:rPr>
              <w:t xml:space="preserve">F14</w:t>
            </w:r>
          </w:p>
        </w:tc>
        <w:tc>
          <w:tcPr>
            <w:tcW w:type="dxa" w:w="26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sz w:val="18"/>
                <w:szCs w:val="18"/>
              </w:rPr>
              <w:t xml:space="preserve">NCR &amp; Incident Investigation</w:t>
            </w:r>
          </w:p>
        </w:tc>
        <w:tc>
          <w:tcPr>
            <w:tcW w:type="dxa" w:w="38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color w:val="555555"/>
                <w:sz w:val="16"/>
                <w:szCs w:val="16"/>
              </w:rPr>
              <w:t xml:space="preserve">js/ncr-drawer.js, css/ncr.css</w:t>
            </w:r>
          </w:p>
        </w:tc>
        <w:tc>
          <w:tcPr>
            <w:tcW w:type="dxa" w:w="20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color w:val="1B5E20"/>
                <w:sz w:val="18"/>
                <w:szCs w:val="18"/>
              </w:rPr>
              <w:t xml:space="preserve">COMPLETE ✓</w:t>
            </w:r>
          </w:p>
        </w:tc>
      </w:tr>
      <w:tr>
        <w:tc>
          <w:tcPr>
            <w:tcW w:type="dxa" w:w="900"/>
            <w:tcBorders>
              <w:top w:val="single" w:color="BDBDBD" w:sz="1"/>
              <w:left w:val="single" w:color="BDBDBD" w:sz="1"/>
              <w:bottom w:val="single" w:color="BDBDBD" w:sz="1"/>
              <w:right w:val="single" w:color="BDBDBD" w:sz="1"/>
            </w:tcBorders>
            <w:shd w:fill="E8F5E9" w:val="clear"/>
            <w:tcMar>
              <w:top w:type="dxa" w:w="60"/>
              <w:left w:type="dxa" w:w="120"/>
              <w:bottom w:type="dxa" w:w="60"/>
              <w:right w:type="dxa" w:w="60"/>
            </w:tcMar>
          </w:tcPr>
          <w:p>
            <w:r>
              <w:rPr>
                <w:rFonts w:ascii="Arial" w:cs="Arial" w:eastAsia="Arial" w:hAnsi="Arial"/>
                <w:b/>
                <w:bCs/>
                <w:color w:val="1B5E20"/>
                <w:sz w:val="18"/>
                <w:szCs w:val="18"/>
              </w:rPr>
              <w:t xml:space="preserve">F15</w:t>
            </w:r>
          </w:p>
        </w:tc>
        <w:tc>
          <w:tcPr>
            <w:tcW w:type="dxa" w:w="26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sz w:val="18"/>
                <w:szCs w:val="18"/>
              </w:rPr>
              <w:t xml:space="preserve">Business Strategy Builder</w:t>
            </w:r>
          </w:p>
        </w:tc>
        <w:tc>
          <w:tcPr>
            <w:tcW w:type="dxa" w:w="38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color w:val="555555"/>
                <w:sz w:val="16"/>
                <w:szCs w:val="16"/>
              </w:rPr>
              <w:t xml:space="preserve">js/strategy-drawer.js, css/strategy.css</w:t>
            </w:r>
          </w:p>
        </w:tc>
        <w:tc>
          <w:tcPr>
            <w:tcW w:type="dxa" w:w="20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color w:val="1B5E20"/>
                <w:sz w:val="18"/>
                <w:szCs w:val="18"/>
              </w:rPr>
              <w:t xml:space="preserve">COMPLETE ✓</w:t>
            </w:r>
          </w:p>
        </w:tc>
      </w:tr>
    </w:tbl>
    <w:p>
      <w:pPr>
        <w:spacing w:after="0" w:before="100"/>
      </w:pPr>
    </w:p>
    <w:p>
      <w:pPr>
        <w:pStyle w:val="Heading2"/>
        <w:spacing w:after="80" w:before="280"/>
      </w:pPr>
      <w:r>
        <w:rPr>
          <w:rFonts w:ascii="Arial" w:cs="Arial" w:eastAsia="Arial" w:hAnsi="Arial"/>
          <w:b/>
          <w:bCs/>
          <w:color w:val="212121"/>
          <w:sz w:val="26"/>
          <w:szCs w:val="26"/>
        </w:rPr>
        <w:t xml:space="preserve">Additional Built Tools (Not in Original F1–F15)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960"/>
        <w:gridCol w:w="2200"/>
      </w:tblGrid>
      <w:tr>
        <w:trPr>
          <w:tblHeader/>
        </w:trPr>
        <w:tc>
          <w:tcPr>
            <w:tcW w:type="dxa" w:w="32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Tool</w:t>
            </w:r>
          </w:p>
        </w:tc>
        <w:tc>
          <w:tcPr>
            <w:tcW w:type="dxa" w:w="39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Files</w:t>
            </w:r>
          </w:p>
        </w:tc>
        <w:tc>
          <w:tcPr>
            <w:tcW w:type="dxa" w:w="22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sz w:val="17"/>
                <w:szCs w:val="17"/>
              </w:rPr>
              <w:t xml:space="preserve">Self-Assessment Drawer (BE + F4N)</w:t>
            </w:r>
          </w:p>
        </w:tc>
        <w:tc>
          <w:tcPr>
            <w:tcW w:type="dxa" w:w="39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color w:val="333333"/>
                <w:sz w:val="16"/>
                <w:szCs w:val="16"/>
              </w:rPr>
              <w:t xml:space="preserve">js/assessment-drawer.js</w:t>
            </w:r>
          </w:p>
        </w:tc>
        <w:tc>
          <w:tcPr>
            <w:tcW w:type="dxa" w:w="2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color w:val="1B5E20"/>
                <w:sz w:val="17"/>
                <w:szCs w:val="17"/>
              </w:rPr>
              <w:t xml:space="preserve">LIVE — style reference for all drawers</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sz w:val="17"/>
                <w:szCs w:val="17"/>
              </w:rPr>
              <w:t xml:space="preserve">Handbook Drawer</w:t>
            </w:r>
          </w:p>
        </w:tc>
        <w:tc>
          <w:tcPr>
            <w:tcW w:type="dxa" w:w="39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color w:val="333333"/>
                <w:sz w:val="16"/>
                <w:szCs w:val="16"/>
              </w:rPr>
              <w:t xml:space="preserve">js/handbook-drawer.js</w:t>
            </w:r>
          </w:p>
        </w:tc>
        <w:tc>
          <w:tcPr>
            <w:tcW w:type="dxa" w:w="2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color w:val="1B5E20"/>
                <w:sz w:val="17"/>
                <w:szCs w:val="17"/>
              </w:rPr>
              <w:t xml:space="preserve">LIVE — HandbookDrawer.open(chapterId)</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sz w:val="17"/>
                <w:szCs w:val="17"/>
              </w:rPr>
              <w:t xml:space="preserve">Supplier Intelligence (Due Diligence)</w:t>
            </w:r>
          </w:p>
        </w:tc>
        <w:tc>
          <w:tcPr>
            <w:tcW w:type="dxa" w:w="39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color w:val="333333"/>
                <w:sz w:val="16"/>
                <w:szCs w:val="16"/>
              </w:rPr>
              <w:t xml:space="preserve">js/due-diligence-drawer.js, css/due-diligence.css</w:t>
            </w:r>
          </w:p>
        </w:tc>
        <w:tc>
          <w:tcPr>
            <w:tcW w:type="dxa" w:w="2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color w:val="1B5E20"/>
                <w:sz w:val="17"/>
                <w:szCs w:val="17"/>
              </w:rPr>
              <w:t xml:space="preserve">LIVE — CH, VAT, sanctions, Claude risk brief</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sz w:val="17"/>
                <w:szCs w:val="17"/>
              </w:rPr>
              <w:t xml:space="preserve">Plant Explorer</w:t>
            </w:r>
          </w:p>
        </w:tc>
        <w:tc>
          <w:tcPr>
            <w:tcW w:type="dxa" w:w="39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color w:val="333333"/>
                <w:sz w:val="16"/>
                <w:szCs w:val="16"/>
              </w:rPr>
              <w:t xml:space="preserve">js/plant-drawer.js, NucCol_Plant_Explorer.html, kb/plant_tree_data.json</w:t>
            </w:r>
          </w:p>
        </w:tc>
        <w:tc>
          <w:tcPr>
            <w:tcW w:type="dxa" w:w="2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color w:val="1B5E20"/>
                <w:sz w:val="17"/>
                <w:szCs w:val="17"/>
              </w:rPr>
              <w:t xml:space="preserve">LIVE — inline drawer + standalone page</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sz w:val="17"/>
                <w:szCs w:val="17"/>
              </w:rPr>
              <w:t xml:space="preserve">SCC Portal</w:t>
            </w:r>
          </w:p>
        </w:tc>
        <w:tc>
          <w:tcPr>
            <w:tcW w:type="dxa" w:w="39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color w:val="333333"/>
                <w:sz w:val="16"/>
                <w:szCs w:val="16"/>
              </w:rPr>
              <w:t xml:space="preserve">scc.html</w:t>
            </w:r>
          </w:p>
        </w:tc>
        <w:tc>
          <w:tcPr>
            <w:tcW w:type="dxa" w:w="2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color w:val="1B5E20"/>
                <w:sz w:val="17"/>
                <w:szCs w:val="17"/>
              </w:rPr>
              <w:t xml:space="preserve">LIVE — full SCC staff app</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sz w:val="17"/>
                <w:szCs w:val="17"/>
              </w:rPr>
              <w:t xml:space="preserve">Members Portal</w:t>
            </w:r>
          </w:p>
        </w:tc>
        <w:tc>
          <w:tcPr>
            <w:tcW w:type="dxa" w:w="39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color w:val="333333"/>
                <w:sz w:val="16"/>
                <w:szCs w:val="16"/>
              </w:rPr>
              <w:t xml:space="preserve">members_5.html</w:t>
            </w:r>
          </w:p>
        </w:tc>
        <w:tc>
          <w:tcPr>
            <w:tcW w:type="dxa" w:w="2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color w:val="1B5E20"/>
                <w:sz w:val="17"/>
                <w:szCs w:val="17"/>
              </w:rPr>
              <w:t xml:space="preserve">LIVE — auth bridge for Evidence Vault</w:t>
            </w:r>
          </w:p>
        </w:tc>
      </w:tr>
    </w:tbl>
    <w:p>
      <w:pPr>
        <w:pBdr>
          <w:bottom w:val="single" w:color="1B5E20" w:sz="4" w:space="1"/>
        </w:pBdr>
        <w:spacing w:after="160" w:before="160"/>
      </w:pPr>
    </w:p>
    <w:p>
      <w:r>
        <w:br w:type="page"/>
      </w:r>
    </w:p>
    <w:p>
      <w:pPr>
        <w:pStyle w:val="Heading1"/>
        <w:spacing w:after="120" w:before="360"/>
      </w:pPr>
      <w:r>
        <w:rPr>
          <w:rFonts w:ascii="Arial" w:cs="Arial" w:eastAsia="Arial" w:hAnsi="Arial"/>
          <w:b/>
          <w:bCs/>
          <w:color w:val="1B5E20"/>
          <w:sz w:val="36"/>
          <w:szCs w:val="36"/>
        </w:rPr>
        <w:t xml:space="preserve">7. Key Feature Detail</w:t>
      </w:r>
    </w:p>
    <w:p>
      <w:pPr>
        <w:pStyle w:val="Heading2"/>
        <w:spacing w:after="80" w:before="280"/>
      </w:pPr>
      <w:r>
        <w:rPr>
          <w:rFonts w:ascii="Arial" w:cs="Arial" w:eastAsia="Arial" w:hAnsi="Arial"/>
          <w:b/>
          <w:bCs/>
          <w:color w:val="212121"/>
          <w:sz w:val="26"/>
          <w:szCs w:val="26"/>
        </w:rPr>
        <w:t xml:space="preserve">F1 — Evidence Vault</w:t>
      </w:r>
    </w:p>
    <w:p>
      <w:pPr>
        <w:spacing w:after="60" w:before="200"/>
      </w:pPr>
      <w:r>
        <w:rPr>
          <w:rFonts w:ascii="Arial" w:cs="Arial" w:eastAsia="Arial" w:hAnsi="Arial"/>
          <w:b/>
          <w:bCs/>
          <w:color w:val="212121"/>
          <w:sz w:val="22"/>
          <w:szCs w:val="22"/>
        </w:rPr>
        <w:t xml:space="preserve">Company Side (index.html)</w:t>
      </w:r>
    </w:p>
    <w:p>
      <w:pPr>
        <w:pStyle w:val="ListParagraph"/>
        <w:numPr>
          <w:ilvl w:val="0"/>
          <w:numId w:val="2"/>
        </w:numPr>
        <w:spacing w:after="40" w:before="40"/>
      </w:pPr>
      <w:r>
        <w:rPr>
          <w:rFonts w:ascii="Arial" w:cs="Arial" w:eastAsia="Arial" w:hAnsi="Arial"/>
          <w:b w:val="false"/>
          <w:bCs w:val="false"/>
          <w:sz w:val="20"/>
          <w:szCs w:val="20"/>
        </w:rPr>
        <w:t xml:space="preserve">Evidence Vault button in Supplier Tools → opens drawer</w:t>
      </w:r>
    </w:p>
    <w:p>
      <w:pPr>
        <w:pStyle w:val="ListParagraph"/>
        <w:numPr>
          <w:ilvl w:val="0"/>
          <w:numId w:val="2"/>
        </w:numPr>
        <w:spacing w:after="40" w:before="40"/>
      </w:pPr>
      <w:r>
        <w:rPr>
          <w:rFonts w:ascii="Arial" w:cs="Arial" w:eastAsia="Arial" w:hAnsi="Arial"/>
          <w:b w:val="false"/>
          <w:bCs w:val="false"/>
          <w:sz w:val="20"/>
          <w:szCs w:val="20"/>
        </w:rPr>
        <w:t xml:space="preserve">6 tabs (BE sections) × 10 questions each — shows question, evidence type required, upload button</w:t>
      </w:r>
    </w:p>
    <w:p>
      <w:pPr>
        <w:pStyle w:val="ListParagraph"/>
        <w:numPr>
          <w:ilvl w:val="0"/>
          <w:numId w:val="2"/>
        </w:numPr>
        <w:spacing w:after="40" w:before="40"/>
      </w:pPr>
      <w:r>
        <w:rPr>
          <w:rFonts w:ascii="Arial" w:cs="Arial" w:eastAsia="Arial" w:hAnsi="Arial"/>
          <w:b w:val="false"/>
          <w:bCs w:val="false"/>
          <w:sz w:val="20"/>
          <w:szCs w:val="20"/>
        </w:rPr>
        <w:t xml:space="preserve">Files stored in Supabase Storage bucket evidence-docs at {userId}/{section-slug}/{filename}</w:t>
      </w:r>
    </w:p>
    <w:p>
      <w:pPr>
        <w:pStyle w:val="ListParagraph"/>
        <w:numPr>
          <w:ilvl w:val="0"/>
          <w:numId w:val="2"/>
        </w:numPr>
        <w:spacing w:after="40" w:before="40"/>
      </w:pPr>
      <w:r>
        <w:rPr>
          <w:rFonts w:ascii="Arial" w:cs="Arial" w:eastAsia="Arial" w:hAnsi="Arial"/>
          <w:b w:val="false"/>
          <w:bCs w:val="false"/>
          <w:sz w:val="20"/>
          <w:szCs w:val="20"/>
        </w:rPr>
        <w:t xml:space="preserve">_profile.json written per company to map userId → company name</w:t>
      </w:r>
    </w:p>
    <w:p>
      <w:pPr>
        <w:pStyle w:val="ListParagraph"/>
        <w:numPr>
          <w:ilvl w:val="0"/>
          <w:numId w:val="2"/>
        </w:numPr>
        <w:spacing w:after="40" w:before="40"/>
      </w:pPr>
      <w:r>
        <w:rPr>
          <w:rFonts w:ascii="Arial" w:cs="Arial" w:eastAsia="Arial" w:hAnsi="Arial"/>
          <w:b w:val="false"/>
          <w:bCs w:val="false"/>
          <w:sz w:val="20"/>
          <w:szCs w:val="20"/>
        </w:rPr>
        <w:t xml:space="preserve">Auth bridged from members_5.html via localStorage: frankieUserId, frankieUserToken, frankieCompanyName</w:t>
      </w:r>
    </w:p>
    <w:p>
      <w:pPr>
        <w:spacing w:after="60" w:before="200"/>
      </w:pPr>
      <w:r>
        <w:rPr>
          <w:rFonts w:ascii="Arial" w:cs="Arial" w:eastAsia="Arial" w:hAnsi="Arial"/>
          <w:b/>
          <w:bCs/>
          <w:color w:val="212121"/>
          <w:sz w:val="22"/>
          <w:szCs w:val="22"/>
        </w:rPr>
        <w:t xml:space="preserve">SCC Side (scc.html)</w:t>
      </w:r>
    </w:p>
    <w:p>
      <w:pPr>
        <w:pStyle w:val="ListParagraph"/>
        <w:numPr>
          <w:ilvl w:val="0"/>
          <w:numId w:val="2"/>
        </w:numPr>
        <w:spacing w:after="40" w:before="40"/>
      </w:pPr>
      <w:r>
        <w:rPr>
          <w:rFonts w:ascii="Arial" w:cs="Arial" w:eastAsia="Arial" w:hAnsi="Arial"/>
          <w:b w:val="false"/>
          <w:bCs w:val="false"/>
          <w:sz w:val="20"/>
          <w:szCs w:val="20"/>
        </w:rPr>
        <w:t xml:space="preserve">Evidence Vault nav item reads all company folders from Supabase Storage</w:t>
      </w:r>
    </w:p>
    <w:p>
      <w:pPr>
        <w:pStyle w:val="ListParagraph"/>
        <w:numPr>
          <w:ilvl w:val="0"/>
          <w:numId w:val="2"/>
        </w:numPr>
        <w:spacing w:after="40" w:before="40"/>
      </w:pPr>
      <w:r>
        <w:rPr>
          <w:rFonts w:ascii="Arial" w:cs="Arial" w:eastAsia="Arial" w:hAnsi="Arial"/>
          <w:b w:val="false"/>
          <w:bCs w:val="false"/>
          <w:sz w:val="20"/>
          <w:szCs w:val="20"/>
        </w:rPr>
        <w:t xml:space="preserve">Shows company name (from _profile.json), expandable file list per BE section</w:t>
      </w:r>
    </w:p>
    <w:p>
      <w:pPr>
        <w:pStyle w:val="ListParagraph"/>
        <w:numPr>
          <w:ilvl w:val="0"/>
          <w:numId w:val="2"/>
        </w:numPr>
        <w:spacing w:after="40" w:before="40"/>
      </w:pPr>
      <w:r>
        <w:rPr>
          <w:rFonts w:ascii="Arial" w:cs="Arial" w:eastAsia="Arial" w:hAnsi="Arial"/>
          <w:b w:val="false"/>
          <w:bCs w:val="false"/>
          <w:sz w:val="20"/>
          <w:szCs w:val="20"/>
        </w:rPr>
        <w:t xml:space="preserve">Files opened via Supabase signed URLs (1-hour expiry) using db.storage.createSignedUrl()</w:t>
      </w:r>
    </w:p>
    <w:p>
      <w:pPr>
        <w:pStyle w:val="ListParagraph"/>
        <w:numPr>
          <w:ilvl w:val="0"/>
          <w:numId w:val="2"/>
        </w:numPr>
        <w:spacing w:after="40" w:before="40"/>
      </w:pPr>
      <w:r>
        <w:rPr>
          <w:rFonts w:ascii="Arial" w:cs="Arial" w:eastAsia="Arial" w:hAnsi="Arial"/>
          <w:b w:val="false"/>
          <w:bCs w:val="false"/>
          <w:sz w:val="20"/>
          <w:szCs w:val="20"/>
        </w:rPr>
        <w:t xml:space="preserve">Auth: Supabase signInWithPassword with @nuccol.co.uk email</w:t>
      </w:r>
    </w:p>
    <w:p>
      <w:pPr>
        <w:pStyle w:val="ListParagraph"/>
        <w:numPr>
          <w:ilvl w:val="0"/>
          <w:numId w:val="2"/>
        </w:numPr>
        <w:spacing w:after="40" w:before="40"/>
      </w:pPr>
      <w:r>
        <w:rPr>
          <w:rFonts w:ascii="Arial" w:cs="Arial" w:eastAsia="Arial" w:hAnsi="Arial"/>
          <w:b w:val="false"/>
          <w:bCs w:val="false"/>
          <w:sz w:val="20"/>
          <w:szCs w:val="20"/>
        </w:rPr>
        <w:t xml:space="preserve">RLS policy restricts read access to NuCCoL staff only</w:t>
      </w:r>
    </w:p>
    <w:p>
      <w:pPr>
        <w:spacing w:after="60" w:before="200"/>
      </w:pPr>
      <w:r>
        <w:rPr>
          <w:rFonts w:ascii="Arial" w:cs="Arial" w:eastAsia="Arial" w:hAnsi="Arial"/>
          <w:b/>
          <w:bCs/>
          <w:color w:val="212121"/>
          <w:sz w:val="22"/>
          <w:szCs w:val="22"/>
        </w:rPr>
        <w:t xml:space="preserve">Open To-Do</w:t>
      </w:r>
    </w:p>
    <w:p>
      <w:pPr>
        <w:pStyle w:val="ListParagraph"/>
        <w:numPr>
          <w:ilvl w:val="0"/>
          <w:numId w:val="2"/>
        </w:numPr>
        <w:spacing w:after="40" w:before="40"/>
      </w:pPr>
      <w:r>
        <w:rPr>
          <w:rFonts w:ascii="Arial" w:cs="Arial" w:eastAsia="Arial" w:hAnsi="Arial"/>
          <w:b w:val="false"/>
          <w:bCs w:val="false"/>
          <w:sz w:val="20"/>
          <w:szCs w:val="20"/>
        </w:rPr>
        <w:t xml:space="preserve">Evidence Vault — show existing uploads when company reopens the vault. Currently starts fresh each session. Needs: list files from Supabase path on drawer open, render ticked items.</w:t>
      </w:r>
    </w:p>
    <w:p>
      <w:pPr>
        <w:spacing w:after="0" w:before="100"/>
      </w:pPr>
    </w:p>
    <w:p>
      <w:pPr>
        <w:pStyle w:val="Heading2"/>
        <w:spacing w:after="80" w:before="280"/>
      </w:pPr>
      <w:r>
        <w:rPr>
          <w:rFonts w:ascii="Arial" w:cs="Arial" w:eastAsia="Arial" w:hAnsi="Arial"/>
          <w:b/>
          <w:bCs/>
          <w:color w:val="212121"/>
          <w:sz w:val="26"/>
          <w:szCs w:val="26"/>
        </w:rPr>
        <w:t xml:space="preserve">F3 — ISO 19443 Position Tool</w:t>
      </w:r>
    </w:p>
    <w:p>
      <w:pPr>
        <w:spacing w:after="60" w:before="200"/>
      </w:pPr>
      <w:r>
        <w:rPr>
          <w:rFonts w:ascii="Arial" w:cs="Arial" w:eastAsia="Arial" w:hAnsi="Arial"/>
          <w:b/>
          <w:bCs/>
          <w:color w:val="212121"/>
          <w:sz w:val="22"/>
          <w:szCs w:val="22"/>
        </w:rPr>
        <w:t xml:space="preserve">How It Works</w:t>
      </w:r>
    </w:p>
    <w:p>
      <w:pPr>
        <w:pStyle w:val="ListParagraph"/>
        <w:numPr>
          <w:ilvl w:val="0"/>
          <w:numId w:val="2"/>
        </w:numPr>
        <w:spacing w:after="40" w:before="40"/>
      </w:pPr>
      <w:r>
        <w:rPr>
          <w:rFonts w:ascii="Arial" w:cs="Arial" w:eastAsia="Arial" w:hAnsi="Arial"/>
          <w:b w:val="false"/>
          <w:bCs w:val="false"/>
          <w:sz w:val="20"/>
          <w:szCs w:val="20"/>
        </w:rPr>
        <w:t xml:space="preserve">Intro screen explains purpose: F4N scores as baseline, additional questions for uncovered clauses</w:t>
      </w:r>
    </w:p>
    <w:p>
      <w:pPr>
        <w:pStyle w:val="ListParagraph"/>
        <w:numPr>
          <w:ilvl w:val="0"/>
          <w:numId w:val="2"/>
        </w:numPr>
        <w:spacing w:after="40" w:before="40"/>
      </w:pPr>
      <w:r>
        <w:rPr>
          <w:rFonts w:ascii="Arial" w:cs="Arial" w:eastAsia="Arial" w:hAnsi="Arial"/>
          <w:b w:val="false"/>
          <w:bCs w:val="false"/>
          <w:sz w:val="20"/>
          <w:szCs w:val="20"/>
        </w:rPr>
        <w:t xml:space="preserve">User works through 14 sections (6 BE, 7 NSS, 1 Additional) via pill navigation bar</w:t>
      </w:r>
    </w:p>
    <w:p>
      <w:pPr>
        <w:pStyle w:val="ListParagraph"/>
        <w:numPr>
          <w:ilvl w:val="0"/>
          <w:numId w:val="2"/>
        </w:numPr>
        <w:spacing w:after="40" w:before="40"/>
      </w:pPr>
      <w:r>
        <w:rPr>
          <w:rFonts w:ascii="Arial" w:cs="Arial" w:eastAsia="Arial" w:hAnsi="Arial"/>
          <w:b w:val="false"/>
          <w:bCs w:val="false"/>
          <w:sz w:val="20"/>
          <w:szCs w:val="20"/>
        </w:rPr>
        <w:t xml:space="preserve">66 questions total: 28 BE (real F4N questions), 32 NSS, 6 GAP (additional for uncovered clauses)</w:t>
      </w:r>
    </w:p>
    <w:p>
      <w:pPr>
        <w:pStyle w:val="ListParagraph"/>
        <w:numPr>
          <w:ilvl w:val="0"/>
          <w:numId w:val="2"/>
        </w:numPr>
        <w:spacing w:after="40" w:before="40"/>
      </w:pPr>
      <w:r>
        <w:rPr>
          <w:rFonts w:ascii="Arial" w:cs="Arial" w:eastAsia="Arial" w:hAnsi="Arial"/>
          <w:b w:val="false"/>
          <w:bCs w:val="false"/>
          <w:sz w:val="20"/>
          <w:szCs w:val="20"/>
        </w:rPr>
        <w:t xml:space="preserve">Each question has 4 options scored 0/2/7/10 with feedback text</w:t>
      </w:r>
    </w:p>
    <w:p>
      <w:pPr>
        <w:spacing w:after="60" w:before="200"/>
      </w:pPr>
      <w:r>
        <w:rPr>
          <w:rFonts w:ascii="Arial" w:cs="Arial" w:eastAsia="Arial" w:hAnsi="Arial"/>
          <w:b/>
          <w:bCs/>
          <w:color w:val="212121"/>
          <w:sz w:val="22"/>
          <w:szCs w:val="22"/>
        </w:rPr>
        <w:t xml:space="preserve">Results Screen</w:t>
      </w:r>
    </w:p>
    <w:p>
      <w:pPr>
        <w:pStyle w:val="ListParagraph"/>
        <w:numPr>
          <w:ilvl w:val="0"/>
          <w:numId w:val="2"/>
        </w:numPr>
        <w:spacing w:after="40" w:before="40"/>
      </w:pPr>
      <w:r>
        <w:rPr>
          <w:rFonts w:ascii="Arial" w:cs="Arial" w:eastAsia="Arial" w:hAnsi="Arial"/>
          <w:b w:val="false"/>
          <w:bCs w:val="false"/>
          <w:sz w:val="20"/>
          <w:szCs w:val="20"/>
        </w:rPr>
        <w:t xml:space="preserve">RAG dial (Red/Amber/Green) with % score and distribution bar</w:t>
      </w:r>
    </w:p>
    <w:p>
      <w:pPr>
        <w:pStyle w:val="ListParagraph"/>
        <w:numPr>
          <w:ilvl w:val="0"/>
          <w:numId w:val="2"/>
        </w:numPr>
        <w:spacing w:after="40" w:before="40"/>
      </w:pPr>
      <w:r>
        <w:rPr>
          <w:rFonts w:ascii="Arial" w:cs="Arial" w:eastAsia="Arial" w:hAnsi="Arial"/>
          <w:b w:val="false"/>
          <w:bCs w:val="false"/>
          <w:sz w:val="20"/>
          <w:szCs w:val="20"/>
        </w:rPr>
        <w:t xml:space="preserve">Areas covered by F4N Scoring — collapsible clause cards with per-question scores</w:t>
      </w:r>
    </w:p>
    <w:p>
      <w:pPr>
        <w:pStyle w:val="ListParagraph"/>
        <w:numPr>
          <w:ilvl w:val="0"/>
          <w:numId w:val="2"/>
        </w:numPr>
        <w:spacing w:after="40" w:before="40"/>
      </w:pPr>
      <w:r>
        <w:rPr>
          <w:rFonts w:ascii="Arial" w:cs="Arial" w:eastAsia="Arial" w:hAnsi="Arial"/>
          <w:b w:val="false"/>
          <w:bCs w:val="false"/>
          <w:sz w:val="20"/>
          <w:szCs w:val="20"/>
        </w:rPr>
        <w:t xml:space="preserve">Gaps — per-clause cards with NuCCoL notes, handbook links (→ HandbookDrawer), Frankie buttons</w:t>
      </w:r>
    </w:p>
    <w:p>
      <w:pPr>
        <w:pStyle w:val="ListParagraph"/>
        <w:numPr>
          <w:ilvl w:val="0"/>
          <w:numId w:val="2"/>
        </w:numPr>
        <w:spacing w:after="40" w:before="40"/>
      </w:pPr>
      <w:r>
        <w:rPr>
          <w:rFonts w:ascii="Arial" w:cs="Arial" w:eastAsia="Arial" w:hAnsi="Arial"/>
          <w:b w:val="false"/>
          <w:bCs w:val="false"/>
          <w:sz w:val="20"/>
          <w:szCs w:val="20"/>
        </w:rPr>
        <w:t xml:space="preserve">Handbook links open HandbookDrawer.open(chapterId) inline — 72/88 URLs mapped</w:t>
      </w:r>
    </w:p>
    <w:p>
      <w:pPr>
        <w:pStyle w:val="ListParagraph"/>
        <w:numPr>
          <w:ilvl w:val="0"/>
          <w:numId w:val="2"/>
        </w:numPr>
        <w:spacing w:after="40" w:before="40"/>
      </w:pPr>
      <w:r>
        <w:rPr>
          <w:rFonts w:ascii="Arial" w:cs="Arial" w:eastAsia="Arial" w:hAnsi="Arial"/>
          <w:b w:val="false"/>
          <w:bCs w:val="false"/>
          <w:sz w:val="20"/>
          <w:szCs w:val="20"/>
        </w:rPr>
        <w:t xml:space="preserve">Ask Frankie → pre-fills chat with gap-specific prompt</w:t>
      </w:r>
    </w:p>
    <w:p>
      <w:pPr>
        <w:pStyle w:val="ListParagraph"/>
        <w:numPr>
          <w:ilvl w:val="0"/>
          <w:numId w:val="2"/>
        </w:numPr>
        <w:spacing w:after="40" w:before="40"/>
      </w:pPr>
      <w:r>
        <w:rPr>
          <w:rFonts w:ascii="Arial" w:cs="Arial" w:eastAsia="Arial" w:hAnsi="Arial"/>
          <w:b w:val="false"/>
          <w:bCs w:val="false"/>
          <w:sz w:val="20"/>
          <w:szCs w:val="20"/>
        </w:rPr>
        <w:t xml:space="preserve">State preserved when user closes and reopens drawer</w:t>
      </w:r>
    </w:p>
    <w:p>
      <w:pPr>
        <w:spacing w:after="60" w:before="200"/>
      </w:pPr>
      <w:r>
        <w:rPr>
          <w:rFonts w:ascii="Arial" w:cs="Arial" w:eastAsia="Arial" w:hAnsi="Arial"/>
          <w:b/>
          <w:bCs/>
          <w:color w:val="212121"/>
          <w:sz w:val="22"/>
          <w:szCs w:val="22"/>
        </w:rPr>
        <w:t xml:space="preserve">Open To-Do — SCC Backend Integration</w:t>
      </w:r>
    </w:p>
    <w:p>
      <w:pPr>
        <w:spacing w:after="100" w:before="60"/>
      </w:pPr>
      <w:r>
        <w:rPr>
          <w:rFonts w:ascii="Arial" w:cs="Arial" w:eastAsia="Arial" w:hAnsi="Arial"/>
          <w:color w:val="212121"/>
          <w:sz w:val="20"/>
          <w:szCs w:val="20"/>
        </w:rPr>
        <w:t xml:space="preserve">When a company completes the ISO 19443 assessment, POST their clause-level results to the SCC backend so the assigned SCC sees the company's self-assessed position alongside their F4N scores.</w:t>
      </w:r>
    </w:p>
    <w:p>
      <w:pPr>
        <w:pStyle w:val="ListParagraph"/>
        <w:numPr>
          <w:ilvl w:val="0"/>
          <w:numId w:val="2"/>
        </w:numPr>
        <w:spacing w:after="40" w:before="40"/>
      </w:pPr>
      <w:r>
        <w:rPr>
          <w:rFonts w:ascii="Arial" w:cs="Arial" w:eastAsia="Arial" w:hAnsi="Arial"/>
          <w:b w:val="false"/>
          <w:bCs w:val="false"/>
          <w:sz w:val="20"/>
          <w:szCs w:val="20"/>
        </w:rPr>
        <w:t xml:space="preserve">Needs: SCC portal API endpoint, Azure AD / Entra SSO auth, company ID from session</w:t>
      </w:r>
    </w:p>
    <w:p>
      <w:pPr>
        <w:pStyle w:val="ListParagraph"/>
        <w:numPr>
          <w:ilvl w:val="0"/>
          <w:numId w:val="2"/>
        </w:numPr>
        <w:spacing w:after="40" w:before="40"/>
      </w:pPr>
      <w:r>
        <w:rPr>
          <w:rFonts w:ascii="Arial" w:cs="Arial" w:eastAsia="Arial" w:hAnsi="Arial"/>
          <w:b w:val="false"/>
          <w:bCs w:val="false"/>
          <w:sz w:val="20"/>
          <w:szCs w:val="20"/>
        </w:rPr>
        <w:t xml:space="preserve">Trigger: on results view load, or explicit 'Submit to SCC' button</w:t>
      </w:r>
    </w:p>
    <w:p>
      <w:pPr>
        <w:pStyle w:val="ListParagraph"/>
        <w:numPr>
          <w:ilvl w:val="0"/>
          <w:numId w:val="2"/>
        </w:numPr>
        <w:spacing w:after="40" w:before="40"/>
      </w:pPr>
      <w:r>
        <w:rPr>
          <w:rFonts w:ascii="Arial" w:cs="Arial" w:eastAsia="Arial" w:hAnsi="Arial"/>
          <w:b w:val="false"/>
          <w:bCs w:val="false"/>
          <w:sz w:val="20"/>
          <w:szCs w:val="20"/>
        </w:rPr>
        <w:t xml:space="preserve">Payload: { companyId, date, ragScore, clauseScores: {}, gapClauses: [] }</w:t>
      </w:r>
    </w:p>
    <w:p>
      <w:pPr>
        <w:pStyle w:val="ListParagraph"/>
        <w:numPr>
          <w:ilvl w:val="0"/>
          <w:numId w:val="2"/>
        </w:numPr>
        <w:spacing w:after="40" w:before="40"/>
      </w:pPr>
      <w:r>
        <w:rPr>
          <w:rFonts w:ascii="Arial" w:cs="Arial" w:eastAsia="Arial" w:hAnsi="Arial"/>
          <w:b w:val="false"/>
          <w:bCs w:val="false"/>
          <w:sz w:val="20"/>
          <w:szCs w:val="20"/>
        </w:rPr>
        <w:t xml:space="preserve">16/88 handbook URLs still unmapped (Security of Information chapter not in handbook yet)</w:t>
      </w:r>
    </w:p>
    <w:p>
      <w:pPr>
        <w:spacing w:after="0" w:before="100"/>
      </w:pPr>
    </w:p>
    <w:p>
      <w:pPr>
        <w:pStyle w:val="Heading2"/>
        <w:spacing w:after="80" w:before="280"/>
      </w:pPr>
      <w:r>
        <w:rPr>
          <w:rFonts w:ascii="Arial" w:cs="Arial" w:eastAsia="Arial" w:hAnsi="Arial"/>
          <w:b/>
          <w:bCs/>
          <w:color w:val="212121"/>
          <w:sz w:val="26"/>
          <w:szCs w:val="26"/>
        </w:rPr>
        <w:t xml:space="preserve">F4 — Social Value Finder</w:t>
      </w:r>
    </w:p>
    <w:p>
      <w:pPr>
        <w:pStyle w:val="ListParagraph"/>
        <w:numPr>
          <w:ilvl w:val="0"/>
          <w:numId w:val="2"/>
        </w:numPr>
        <w:spacing w:after="40" w:before="40"/>
      </w:pPr>
      <w:r>
        <w:rPr>
          <w:rFonts w:ascii="Arial" w:cs="Arial" w:eastAsia="Arial" w:hAnsi="Arial"/>
          <w:b w:val="false"/>
          <w:bCs w:val="false"/>
          <w:sz w:val="20"/>
          <w:szCs w:val="20"/>
        </w:rPr>
        <w:t xml:space="preserve">Company enters postcode → postcodes.io returns lat/lng and council area</w:t>
      </w:r>
    </w:p>
    <w:p>
      <w:pPr>
        <w:pStyle w:val="ListParagraph"/>
        <w:numPr>
          <w:ilvl w:val="0"/>
          <w:numId w:val="2"/>
        </w:numPr>
        <w:spacing w:after="40" w:before="40"/>
      </w:pPr>
      <w:r>
        <w:rPr>
          <w:rFonts w:ascii="Arial" w:cs="Arial" w:eastAsia="Arial" w:hAnsi="Arial"/>
          <w:b w:val="false"/>
          <w:bCs w:val="false"/>
          <w:sz w:val="20"/>
          <w:szCs w:val="20"/>
        </w:rPr>
        <w:t xml:space="preserve">Claude Haiku generates 20 local social value opportunities (charities, sports clubs, schools, community groups)</w:t>
      </w:r>
    </w:p>
    <w:p>
      <w:pPr>
        <w:pStyle w:val="ListParagraph"/>
        <w:numPr>
          <w:ilvl w:val="0"/>
          <w:numId w:val="2"/>
        </w:numPr>
        <w:spacing w:after="40" w:before="40"/>
      </w:pPr>
      <w:r>
        <w:rPr>
          <w:rFonts w:ascii="Arial" w:cs="Arial" w:eastAsia="Arial" w:hAnsi="Arial"/>
          <w:b w:val="false"/>
          <w:bCs w:val="false"/>
          <w:sz w:val="20"/>
          <w:szCs w:val="20"/>
        </w:rPr>
        <w:t xml:space="preserve">Each suggestion mapped to Social Value Model theme + evidence guidance for nuclear procurement bids</w:t>
      </w:r>
    </w:p>
    <w:p>
      <w:pPr>
        <w:pStyle w:val="ListParagraph"/>
        <w:numPr>
          <w:ilvl w:val="0"/>
          <w:numId w:val="2"/>
        </w:numPr>
        <w:spacing w:after="40" w:before="40"/>
      </w:pPr>
      <w:r>
        <w:rPr>
          <w:rFonts w:ascii="Arial" w:cs="Arial" w:eastAsia="Arial" w:hAnsi="Arial"/>
          <w:b w:val="false"/>
          <w:bCs w:val="false"/>
          <w:sz w:val="20"/>
          <w:szCs w:val="20"/>
        </w:rPr>
        <w:t xml:space="preserve">Deliberately API-driven — Claude knowledge + live data, no static database to maintain</w:t>
      </w:r>
    </w:p>
    <w:p>
      <w:pPr>
        <w:spacing w:after="0" w:before="100"/>
      </w:pPr>
    </w:p>
    <w:p>
      <w:pPr>
        <w:pStyle w:val="Heading2"/>
        <w:spacing w:after="80" w:before="280"/>
      </w:pPr>
      <w:r>
        <w:rPr>
          <w:rFonts w:ascii="Arial" w:cs="Arial" w:eastAsia="Arial" w:hAnsi="Arial"/>
          <w:b/>
          <w:bCs/>
          <w:color w:val="212121"/>
          <w:sz w:val="26"/>
          <w:szCs w:val="26"/>
        </w:rPr>
        <w:t xml:space="preserve">Supplier Intelligence (Due Diligence Drawer)</w:t>
      </w:r>
    </w:p>
    <w:p>
      <w:pPr>
        <w:pStyle w:val="ListParagraph"/>
        <w:numPr>
          <w:ilvl w:val="0"/>
          <w:numId w:val="2"/>
        </w:numPr>
        <w:spacing w:after="40" w:before="40"/>
      </w:pPr>
      <w:r>
        <w:rPr>
          <w:rFonts w:ascii="Arial" w:cs="Arial" w:eastAsia="Arial" w:hAnsi="Arial"/>
          <w:b w:val="false"/>
          <w:bCs w:val="false"/>
          <w:sz w:val="20"/>
          <w:szCs w:val="20"/>
        </w:rPr>
        <w:t xml:space="preserve">Company name or Companies House number in → live CH data via Cloudflare proxy</w:t>
      </w:r>
    </w:p>
    <w:p>
      <w:pPr>
        <w:pStyle w:val="ListParagraph"/>
        <w:numPr>
          <w:ilvl w:val="0"/>
          <w:numId w:val="2"/>
        </w:numPr>
        <w:spacing w:after="40" w:before="40"/>
      </w:pPr>
      <w:r>
        <w:rPr>
          <w:rFonts w:ascii="Arial" w:cs="Arial" w:eastAsia="Arial" w:hAnsi="Arial"/>
          <w:b w:val="false"/>
          <w:bCs w:val="false"/>
          <w:sz w:val="20"/>
          <w:szCs w:val="20"/>
        </w:rPr>
        <w:t xml:space="preserve">HMRC VAT number validation</w:t>
      </w:r>
    </w:p>
    <w:p>
      <w:pPr>
        <w:pStyle w:val="ListParagraph"/>
        <w:numPr>
          <w:ilvl w:val="0"/>
          <w:numId w:val="2"/>
        </w:numPr>
        <w:spacing w:after="40" w:before="40"/>
      </w:pPr>
      <w:r>
        <w:rPr>
          <w:rFonts w:ascii="Arial" w:cs="Arial" w:eastAsia="Arial" w:hAnsi="Arial"/>
          <w:b w:val="false"/>
          <w:bCs w:val="false"/>
          <w:sz w:val="20"/>
          <w:szCs w:val="20"/>
        </w:rPr>
        <w:t xml:space="preserve">FCDO sanctions list check</w:t>
      </w:r>
    </w:p>
    <w:p>
      <w:pPr>
        <w:pStyle w:val="ListParagraph"/>
        <w:numPr>
          <w:ilvl w:val="0"/>
          <w:numId w:val="2"/>
        </w:numPr>
        <w:spacing w:after="40" w:before="40"/>
      </w:pPr>
      <w:r>
        <w:rPr>
          <w:rFonts w:ascii="Arial" w:cs="Arial" w:eastAsia="Arial" w:hAnsi="Arial"/>
          <w:b w:val="false"/>
          <w:bCs w:val="false"/>
          <w:sz w:val="20"/>
          <w:szCs w:val="20"/>
        </w:rPr>
        <w:t xml:space="preserve">Claude Haiku generates risk briefing structured to ONR NS-TAST-GD-077</w:t>
      </w:r>
    </w:p>
    <w:p>
      <w:pPr>
        <w:pStyle w:val="ListParagraph"/>
        <w:numPr>
          <w:ilvl w:val="0"/>
          <w:numId w:val="2"/>
        </w:numPr>
        <w:spacing w:after="40" w:before="40"/>
      </w:pPr>
      <w:r>
        <w:rPr>
          <w:rFonts w:ascii="Arial" w:cs="Arial" w:eastAsia="Arial" w:hAnsi="Arial"/>
          <w:b w:val="false"/>
          <w:bCs w:val="false"/>
          <w:sz w:val="20"/>
          <w:szCs w:val="20"/>
        </w:rPr>
        <w:t xml:space="preserve">Results can be saved to company Supabase folder and viewed by SCC</w:t>
      </w:r>
    </w:p>
    <w:p>
      <w:pPr>
        <w:spacing w:after="0" w:before="100"/>
      </w:pPr>
    </w:p>
    <w:p>
      <w:pPr>
        <w:pStyle w:val="Heading2"/>
        <w:spacing w:after="80" w:before="280"/>
      </w:pPr>
      <w:r>
        <w:rPr>
          <w:rFonts w:ascii="Arial" w:cs="Arial" w:eastAsia="Arial" w:hAnsi="Arial"/>
          <w:b/>
          <w:bCs/>
          <w:color w:val="212121"/>
          <w:sz w:val="26"/>
          <w:szCs w:val="26"/>
        </w:rPr>
        <w:t xml:space="preserve">SCC Portal (scc.html)</w:t>
      </w:r>
    </w:p>
    <w:p>
      <w:pPr>
        <w:spacing w:after="60" w:before="200"/>
      </w:pPr>
      <w:r>
        <w:rPr>
          <w:rFonts w:ascii="Arial" w:cs="Arial" w:eastAsia="Arial" w:hAnsi="Arial"/>
          <w:b/>
          <w:bCs/>
          <w:color w:val="212121"/>
          <w:sz w:val="22"/>
          <w:szCs w:val="22"/>
        </w:rPr>
        <w:t xml:space="preserve">Screens</w:t>
      </w:r>
    </w:p>
    <w:p>
      <w:pPr>
        <w:pStyle w:val="ListParagraph"/>
        <w:numPr>
          <w:ilvl w:val="0"/>
          <w:numId w:val="2"/>
        </w:numPr>
        <w:spacing w:after="40" w:before="40"/>
      </w:pPr>
      <w:r>
        <w:rPr>
          <w:rFonts w:ascii="Arial" w:cs="Arial" w:eastAsia="Arial" w:hAnsi="Arial"/>
          <w:b w:val="false"/>
          <w:bCs w:val="false"/>
          <w:sz w:val="20"/>
          <w:szCs w:val="20"/>
        </w:rPr>
        <w:t xml:space="preserve">Dashboard — live evidence activity panel: companies active, total files, avg sections done, last upload date</w:t>
      </w:r>
    </w:p>
    <w:p>
      <w:pPr>
        <w:pStyle w:val="ListParagraph"/>
        <w:numPr>
          <w:ilvl w:val="0"/>
          <w:numId w:val="2"/>
        </w:numPr>
        <w:spacing w:after="40" w:before="40"/>
      </w:pPr>
      <w:r>
        <w:rPr>
          <w:rFonts w:ascii="Arial" w:cs="Arial" w:eastAsia="Arial" w:hAnsi="Arial"/>
          <w:b w:val="false"/>
          <w:bCs w:val="false"/>
          <w:sz w:val="20"/>
          <w:szCs w:val="20"/>
        </w:rPr>
        <w:t xml:space="preserve">Companies — CRM grid (localStorage), company progress cards with section dots, file count, last active</w:t>
      </w:r>
    </w:p>
    <w:p>
      <w:pPr>
        <w:pStyle w:val="ListParagraph"/>
        <w:numPr>
          <w:ilvl w:val="0"/>
          <w:numId w:val="2"/>
        </w:numPr>
        <w:spacing w:after="40" w:before="40"/>
      </w:pPr>
      <w:r>
        <w:rPr>
          <w:rFonts w:ascii="Arial" w:cs="Arial" w:eastAsia="Arial" w:hAnsi="Arial"/>
          <w:b w:val="false"/>
          <w:bCs w:val="false"/>
          <w:sz w:val="20"/>
          <w:szCs w:val="20"/>
        </w:rPr>
        <w:t xml:space="preserve">Evidence Vault — company folder view via Supabase, signed URL file access</w:t>
      </w:r>
    </w:p>
    <w:p>
      <w:pPr>
        <w:pStyle w:val="ListParagraph"/>
        <w:numPr>
          <w:ilvl w:val="0"/>
          <w:numId w:val="2"/>
        </w:numPr>
        <w:spacing w:after="40" w:before="40"/>
      </w:pPr>
      <w:r>
        <w:rPr>
          <w:rFonts w:ascii="Arial" w:cs="Arial" w:eastAsia="Arial" w:hAnsi="Arial"/>
          <w:b w:val="false"/>
          <w:bCs w:val="false"/>
          <w:sz w:val="20"/>
          <w:szCs w:val="20"/>
        </w:rPr>
        <w:t xml:space="preserve">ISO 19443 Results — company clause-level results (when SCC backend integration is built)</w:t>
      </w:r>
    </w:p>
    <w:p>
      <w:pPr>
        <w:pStyle w:val="ListParagraph"/>
        <w:numPr>
          <w:ilvl w:val="0"/>
          <w:numId w:val="2"/>
        </w:numPr>
        <w:spacing w:after="40" w:before="40"/>
      </w:pPr>
      <w:r>
        <w:rPr>
          <w:rFonts w:ascii="Arial" w:cs="Arial" w:eastAsia="Arial" w:hAnsi="Arial"/>
          <w:b w:val="false"/>
          <w:bCs w:val="false"/>
          <w:sz w:val="20"/>
          <w:szCs w:val="20"/>
        </w:rPr>
        <w:t xml:space="preserve">Supplier Intelligence — due diligence tool available to SCC</w:t>
      </w:r>
    </w:p>
    <w:p>
      <w:pPr>
        <w:pStyle w:val="ListParagraph"/>
        <w:numPr>
          <w:ilvl w:val="0"/>
          <w:numId w:val="2"/>
        </w:numPr>
        <w:spacing w:after="40" w:before="40"/>
      </w:pPr>
      <w:r>
        <w:rPr>
          <w:rFonts w:ascii="Arial" w:cs="Arial" w:eastAsia="Arial" w:hAnsi="Arial"/>
          <w:b w:val="false"/>
          <w:bCs w:val="false"/>
          <w:sz w:val="20"/>
          <w:szCs w:val="20"/>
        </w:rPr>
        <w:t xml:space="preserve">Scraper — live RSS news feeds, Contracts Finder tenders, events via Brave + Groq. Results saved to Azure Blob</w:t>
      </w:r>
    </w:p>
    <w:p>
      <w:pPr>
        <w:spacing w:after="60" w:before="200"/>
      </w:pPr>
      <w:r>
        <w:rPr>
          <w:rFonts w:ascii="Arial" w:cs="Arial" w:eastAsia="Arial" w:hAnsi="Arial"/>
          <w:b/>
          <w:bCs/>
          <w:color w:val="212121"/>
          <w:sz w:val="22"/>
          <w:szCs w:val="22"/>
        </w:rPr>
        <w:t xml:space="preserve">Auth</w:t>
      </w:r>
    </w:p>
    <w:p>
      <w:pPr>
        <w:pStyle w:val="ListParagraph"/>
        <w:numPr>
          <w:ilvl w:val="0"/>
          <w:numId w:val="2"/>
        </w:numPr>
        <w:spacing w:after="40" w:before="40"/>
      </w:pPr>
      <w:r>
        <w:rPr>
          <w:rFonts w:ascii="Arial" w:cs="Arial" w:eastAsia="Arial" w:hAnsi="Arial"/>
          <w:b w:val="false"/>
          <w:bCs w:val="false"/>
          <w:sz w:val="20"/>
          <w:szCs w:val="20"/>
        </w:rPr>
        <w:t xml:space="preserve">Supabase signInWithPassword with @nuccol.co.uk email</w:t>
      </w:r>
    </w:p>
    <w:p>
      <w:pPr>
        <w:pStyle w:val="ListParagraph"/>
        <w:numPr>
          <w:ilvl w:val="0"/>
          <w:numId w:val="2"/>
        </w:numPr>
        <w:spacing w:after="40" w:before="40"/>
      </w:pPr>
      <w:r>
        <w:rPr>
          <w:rFonts w:ascii="Arial" w:cs="Arial" w:eastAsia="Arial" w:hAnsi="Arial"/>
          <w:b w:val="false"/>
          <w:bCs w:val="false"/>
          <w:sz w:val="20"/>
          <w:szCs w:val="20"/>
        </w:rPr>
        <w:t xml:space="preserve">RLS policy: @nuccol.co.uk emails can read all; companies can only read/write own folder</w:t>
      </w:r>
    </w:p>
    <w:p>
      <w:pPr>
        <w:pBdr>
          <w:bottom w:val="single" w:color="1B5E20" w:sz="4" w:space="1"/>
        </w:pBdr>
        <w:spacing w:after="160" w:before="160"/>
      </w:pPr>
    </w:p>
    <w:p>
      <w:r>
        <w:br w:type="page"/>
      </w:r>
    </w:p>
    <w:p>
      <w:pPr>
        <w:pStyle w:val="Heading1"/>
        <w:spacing w:after="120" w:before="360"/>
      </w:pPr>
      <w:r>
        <w:rPr>
          <w:rFonts w:ascii="Arial" w:cs="Arial" w:eastAsia="Arial" w:hAnsi="Arial"/>
          <w:b/>
          <w:bCs/>
          <w:color w:val="1B5E20"/>
          <w:sz w:val="36"/>
          <w:szCs w:val="36"/>
        </w:rPr>
        <w:t xml:space="preserve">8. Technical Patterns</w:t>
      </w:r>
    </w:p>
    <w:p>
      <w:pPr>
        <w:pStyle w:val="Heading2"/>
        <w:spacing w:after="80" w:before="280"/>
      </w:pPr>
      <w:r>
        <w:rPr>
          <w:rFonts w:ascii="Arial" w:cs="Arial" w:eastAsia="Arial" w:hAnsi="Arial"/>
          <w:b/>
          <w:bCs/>
          <w:color w:val="212121"/>
          <w:sz w:val="26"/>
          <w:szCs w:val="26"/>
        </w:rPr>
        <w:t xml:space="preserve">Drawer Pattern</w:t>
      </w:r>
    </w:p>
    <w:p>
      <w:pPr>
        <w:spacing w:after="100" w:before="60"/>
      </w:pPr>
      <w:r>
        <w:rPr>
          <w:rFonts w:ascii="Arial" w:cs="Arial" w:eastAsia="Arial" w:hAnsi="Arial"/>
          <w:color w:val="212121"/>
          <w:sz w:val="20"/>
          <w:szCs w:val="20"/>
        </w:rPr>
        <w:t xml:space="preserve">Every Tool Kit module follows this IIFE structure. Prevents global namespace pollution. Drawer div created once and appended to body on first open.</w:t>
      </w:r>
    </w:p>
    <w:p>
      <w:pPr>
        <w:spacing w:after="100" w:before="100"/>
      </w:pPr>
      <w:r>
        <w:rPr>
          <w:rFonts w:ascii="Courier New" w:cs="Courier New" w:eastAsia="Courier New" w:hAnsi="Courier New"/>
          <w:color w:val="333333"/>
          <w:sz w:val="17"/>
          <w:szCs w:val="17"/>
        </w:rPr>
        <w:t xml:space="preserve">(function() { const drawer = document.createElement('div'); ... window.XxxDrawer = { open: function() { ... } }; })();</w:t>
      </w:r>
    </w:p>
    <w:p>
      <w:pPr>
        <w:pStyle w:val="ListParagraph"/>
        <w:numPr>
          <w:ilvl w:val="0"/>
          <w:numId w:val="2"/>
        </w:numPr>
        <w:spacing w:after="40" w:before="40"/>
      </w:pPr>
      <w:r>
        <w:rPr>
          <w:rFonts w:ascii="Arial" w:cs="Arial" w:eastAsia="Arial" w:hAnsi="Arial"/>
          <w:b w:val="false"/>
          <w:bCs w:val="false"/>
          <w:sz w:val="20"/>
          <w:szCs w:val="20"/>
        </w:rPr>
        <w:t xml:space="preserve">CSS classes prefixed per feature: tbt-*, sop-*, sc-*, cqp-*, sqdcp-*, ncr-*, strat-*</w:t>
      </w:r>
    </w:p>
    <w:p>
      <w:pPr>
        <w:pStyle w:val="ListParagraph"/>
        <w:numPr>
          <w:ilvl w:val="0"/>
          <w:numId w:val="2"/>
        </w:numPr>
        <w:spacing w:after="40" w:before="40"/>
      </w:pPr>
      <w:r>
        <w:rPr>
          <w:rFonts w:ascii="Arial" w:cs="Arial" w:eastAsia="Arial" w:hAnsi="Arial"/>
          <w:b w:val="false"/>
          <w:bCs w:val="false"/>
          <w:sz w:val="20"/>
          <w:szCs w:val="20"/>
        </w:rPr>
        <w:t xml:space="preserve">All drawers use assess-* base classes from styles.css for overlay and panel shell</w:t>
      </w:r>
    </w:p>
    <w:p>
      <w:pPr>
        <w:pStyle w:val="ListParagraph"/>
        <w:numPr>
          <w:ilvl w:val="0"/>
          <w:numId w:val="2"/>
        </w:numPr>
        <w:spacing w:after="40" w:before="40"/>
      </w:pPr>
      <w:r>
        <w:rPr>
          <w:rFonts w:ascii="Arial" w:cs="Arial" w:eastAsia="Arial" w:hAnsi="Arial"/>
          <w:b w:val="false"/>
          <w:bCs w:val="false"/>
          <w:sz w:val="20"/>
          <w:szCs w:val="20"/>
        </w:rPr>
        <w:t xml:space="preserve">Triggered from index.html via onclick="window.XxxDrawer.open()"</w:t>
      </w:r>
    </w:p>
    <w:p>
      <w:pPr>
        <w:spacing w:after="0" w:before="100"/>
      </w:pPr>
    </w:p>
    <w:p>
      <w:pPr>
        <w:pStyle w:val="Heading2"/>
        <w:spacing w:after="80" w:before="280"/>
      </w:pPr>
      <w:r>
        <w:rPr>
          <w:rFonts w:ascii="Arial" w:cs="Arial" w:eastAsia="Arial" w:hAnsi="Arial"/>
          <w:b/>
          <w:bCs/>
          <w:color w:val="212121"/>
          <w:sz w:val="26"/>
          <w:szCs w:val="26"/>
        </w:rPr>
        <w:t xml:space="preserve">Claude API Call Pattern (Tool Kit)</w:t>
      </w:r>
    </w:p>
    <w:p>
      <w:pPr>
        <w:spacing w:after="100" w:before="100"/>
      </w:pPr>
      <w:r>
        <w:rPr>
          <w:rFonts w:ascii="Courier New" w:cs="Courier New" w:eastAsia="Courier New" w:hAnsi="Courier New"/>
          <w:color w:val="333333"/>
          <w:sz w:val="17"/>
          <w:szCs w:val="17"/>
        </w:rPr>
        <w:t xml:space="preserve">fetch("https://api.anthropic.com/v1/messages", { headers: { "anthropic-dangerous-direct-browser-access": "true", "x-api-key": key }, body: JSON.stringify({ model: "claude-haiku-4-5-20251001", max_tokens: 4096 }) })</w:t>
      </w:r>
    </w:p>
    <w:p>
      <w:pPr>
        <w:pStyle w:val="ListParagraph"/>
        <w:numPr>
          <w:ilvl w:val="0"/>
          <w:numId w:val="2"/>
        </w:numPr>
        <w:spacing w:after="40" w:before="40"/>
      </w:pPr>
      <w:r>
        <w:rPr>
          <w:rFonts w:ascii="Arial" w:cs="Arial" w:eastAsia="Arial" w:hAnsi="Arial"/>
          <w:b w:val="false"/>
          <w:bCs w:val="false"/>
          <w:sz w:val="20"/>
          <w:szCs w:val="20"/>
        </w:rPr>
        <w:t xml:space="preserve">All Tool Kit prompts request JSON-only responses</w:t>
      </w:r>
    </w:p>
    <w:p>
      <w:pPr>
        <w:pStyle w:val="ListParagraph"/>
        <w:numPr>
          <w:ilvl w:val="0"/>
          <w:numId w:val="2"/>
        </w:numPr>
        <w:spacing w:after="40" w:before="40"/>
      </w:pPr>
      <w:r>
        <w:rPr>
          <w:rFonts w:ascii="Arial" w:cs="Arial" w:eastAsia="Arial" w:hAnsi="Arial"/>
          <w:b w:val="false"/>
          <w:bCs w:val="false"/>
          <w:sz w:val="20"/>
          <w:szCs w:val="20"/>
        </w:rPr>
        <w:t xml:space="preserve">Response parsed with: text.match(/{[\s\S]*}/)[0]</w:t>
      </w:r>
    </w:p>
    <w:p>
      <w:pPr>
        <w:pStyle w:val="ListParagraph"/>
        <w:numPr>
          <w:ilvl w:val="0"/>
          <w:numId w:val="2"/>
        </w:numPr>
        <w:spacing w:after="40" w:before="40"/>
      </w:pPr>
      <w:r>
        <w:rPr>
          <w:rFonts w:ascii="Arial" w:cs="Arial" w:eastAsia="Arial" w:hAnsi="Arial"/>
          <w:b w:val="false"/>
          <w:bCs w:val="false"/>
          <w:sz w:val="20"/>
          <w:szCs w:val="20"/>
        </w:rPr>
        <w:t xml:space="preserve">frankieClaudeKey read from localStorage on each call</w:t>
      </w:r>
    </w:p>
    <w:p>
      <w:pPr>
        <w:spacing w:after="0" w:before="100"/>
      </w:pPr>
    </w:p>
    <w:p>
      <w:pPr>
        <w:pStyle w:val="Heading2"/>
        <w:spacing w:after="80" w:before="280"/>
      </w:pPr>
      <w:r>
        <w:rPr>
          <w:rFonts w:ascii="Arial" w:cs="Arial" w:eastAsia="Arial" w:hAnsi="Arial"/>
          <w:b/>
          <w:bCs/>
          <w:color w:val="212121"/>
          <w:sz w:val="26"/>
          <w:szCs w:val="26"/>
        </w:rPr>
        <w:t xml:space="preserve">Print Export</w:t>
      </w:r>
    </w:p>
    <w:p>
      <w:pPr>
        <w:spacing w:after="100" w:before="60"/>
      </w:pPr>
      <w:r>
        <w:rPr>
          <w:rFonts w:ascii="Arial" w:cs="Arial" w:eastAsia="Arial" w:hAnsi="Arial"/>
          <w:color w:val="212121"/>
          <w:sz w:val="20"/>
          <w:szCs w:val="20"/>
        </w:rPr>
        <w:t xml:space="preserve">All Tool Kit tools generate a printable output:</w:t>
      </w:r>
    </w:p>
    <w:p>
      <w:pPr>
        <w:spacing w:after="100" w:before="100"/>
      </w:pPr>
      <w:r>
        <w:rPr>
          <w:rFonts w:ascii="Courier New" w:cs="Courier New" w:eastAsia="Courier New" w:hAnsi="Courier New"/>
          <w:color w:val="333333"/>
          <w:sz w:val="17"/>
          <w:szCs w:val="17"/>
        </w:rPr>
        <w:t xml:space="preserve">const win = window.open('', '_blank'); win.document.write('&lt;html&gt;...inline CSS + content...&lt;/html&gt;'); setTimeout(() =&gt; win.print(), 400);</w:t>
      </w:r>
    </w:p>
    <w:p>
      <w:pPr>
        <w:pStyle w:val="ListParagraph"/>
        <w:numPr>
          <w:ilvl w:val="0"/>
          <w:numId w:val="2"/>
        </w:numPr>
        <w:spacing w:after="40" w:before="40"/>
      </w:pPr>
      <w:r>
        <w:rPr>
          <w:rFonts w:ascii="Arial" w:cs="Arial" w:eastAsia="Arial" w:hAnsi="Arial"/>
          <w:b w:val="false"/>
          <w:bCs w:val="false"/>
          <w:sz w:val="20"/>
          <w:szCs w:val="20"/>
        </w:rPr>
        <w:t xml:space="preserve">Print window includes self-contained CSS with @media print rules</w:t>
      </w:r>
    </w:p>
    <w:p>
      <w:pPr>
        <w:pStyle w:val="ListParagraph"/>
        <w:numPr>
          <w:ilvl w:val="0"/>
          <w:numId w:val="2"/>
        </w:numPr>
        <w:spacing w:after="40" w:before="40"/>
      </w:pPr>
      <w:r>
        <w:rPr>
          <w:rFonts w:ascii="Arial" w:cs="Arial" w:eastAsia="Arial" w:hAnsi="Arial"/>
          <w:b w:val="false"/>
          <w:bCs w:val="false"/>
          <w:sz w:val="20"/>
          <w:szCs w:val="20"/>
        </w:rPr>
        <w:t xml:space="preserve">Company header, date, and page number via CSS counters</w:t>
      </w:r>
    </w:p>
    <w:p>
      <w:pPr>
        <w:pBdr>
          <w:bottom w:val="single" w:color="1B5E20" w:sz="4" w:space="1"/>
        </w:pBdr>
        <w:spacing w:after="160" w:before="160"/>
      </w:pPr>
    </w:p>
    <w:p>
      <w:pPr>
        <w:spacing w:after="200" w:before="200"/>
      </w:pPr>
      <w:r>
        <w:rPr>
          <w:rFonts w:ascii="Arial" w:cs="Arial" w:eastAsia="Arial" w:hAnsi="Arial"/>
          <w:b/>
          <w:bCs/>
          <w:color w:val="1B5E20"/>
          <w:sz w:val="36"/>
          <w:szCs w:val="36"/>
        </w:rPr>
        <w:t xml:space="preserve">8b. Blueprint v9 Changes</w:t>
      </w:r>
    </w:p>
    <w:p>
      <w:pPr>
        <w:spacing w:after="100" w:before="60"/>
      </w:pPr>
      <w:r>
        <w:rPr>
          <w:rFonts w:ascii="Arial" w:cs="Arial" w:eastAsia="Arial" w:hAnsi="Arial"/>
          <w:b/>
          <w:bCs/>
          <w:color w:val="212121"/>
          <w:sz w:val="20"/>
          <w:szCs w:val="20"/>
        </w:rPr>
        <w:t xml:space="preserve">Changes introduced in Blueprint v9 (24 June 2026)</w:t>
      </w:r>
    </w:p>
    <w:p>
      <w:pPr>
        <w:spacing w:after="60" w:before="120"/>
      </w:pPr>
      <w:r>
        <w:rPr>
          <w:rFonts w:ascii="Arial" w:cs="Arial" w:eastAsia="Arial" w:hAnsi="Arial"/>
          <w:b/>
          <w:bCs/>
          <w:color w:val="E65100"/>
          <w:sz w:val="20"/>
          <w:szCs w:val="20"/>
        </w:rPr>
        <w:t xml:space="preserve">1. Cloudflare Worker API Proxy</w:t>
      </w:r>
    </w:p>
    <w:p>
      <w:pPr>
        <w:spacing w:after="80" w:before="0"/>
      </w:pPr>
      <w:r>
        <w:rPr>
          <w:rFonts w:ascii="Arial" w:cs="Arial" w:eastAsia="Arial" w:hAnsi="Arial"/>
          <w:color w:val="212121"/>
          <w:sz w:val="20"/>
          <w:szCs w:val="20"/>
        </w:rPr>
        <w:t xml:space="preserve">All API keys removed from the client side. ch-proxy-worker.js (Cloudflare Worker) now holds CLAUDE_KEY, GROQ_KEY, EMBED_KEY, BRAVE_KEY, and CH_KEY as Worker secrets. The browser never sees a key. Frankie calls /claude/*, /groq/*, /embed/* on the worker; the worker injects auth headers and proxies to the upstream API. SSE streaming passthrough implemented so Claude responses stream to the user in real time.</w:t>
      </w:r>
    </w:p>
    <w:p>
      <w:pPr>
        <w:spacing w:after="60" w:before="120"/>
      </w:pPr>
      <w:r>
        <w:rPr>
          <w:rFonts w:ascii="Arial" w:cs="Arial" w:eastAsia="Arial" w:hAnsi="Arial"/>
          <w:b/>
          <w:bCs/>
          <w:color w:val="E65100"/>
          <w:sz w:val="20"/>
          <w:szCs w:val="20"/>
        </w:rPr>
        <w:t xml:space="preserve">2. SCC Settings Screen</w:t>
      </w:r>
    </w:p>
    <w:p>
      <w:pPr>
        <w:spacing w:after="80" w:before="0"/>
      </w:pPr>
      <w:r>
        <w:rPr>
          <w:rFonts w:ascii="Arial" w:cs="Arial" w:eastAsia="Arial" w:hAnsi="Arial"/>
          <w:color w:val="212121"/>
          <w:sz w:val="20"/>
          <w:szCs w:val="20"/>
        </w:rPr>
        <w:t xml:space="preserve">A new Settings screen added to scc.html (gear icon in nav). Sections: (a) Frankie Status — live badges for Claude, Groq, Semantic Search, and Supabase connectivity. (b) Knowledge Base — four stat tiles showing chunk count, category count, base chunks, and storage mode, loaded live from frankie6_kb.json. (c) API Services — toggles for Claude, Groq, and Embeddings (frankieClaudeEnabled, frankieGroqEnabled, frankieEmbedEnabled flags in localStorage). (d) Supplier Tools — individual on/off toggle for each of the 14 tools and assessments. Disabled tools are hidden from the Frankie sidebar in real time via frankieTool_{id} flags.</w:t>
      </w:r>
    </w:p>
    <w:p>
      <w:pPr>
        <w:spacing w:after="60" w:before="120"/>
      </w:pPr>
      <w:r>
        <w:rPr>
          <w:rFonts w:ascii="Arial" w:cs="Arial" w:eastAsia="Arial" w:hAnsi="Arial"/>
          <w:b/>
          <w:bCs/>
          <w:color w:val="E65100"/>
          <w:sz w:val="20"/>
          <w:szCs w:val="20"/>
        </w:rPr>
        <w:t xml:space="preserve">3. FAQ Drawer with Pre-Baked Answers</w:t>
      </w:r>
    </w:p>
    <w:p>
      <w:pPr>
        <w:spacing w:after="80" w:before="0"/>
      </w:pPr>
      <w:r>
        <w:rPr>
          <w:rFonts w:ascii="Arial" w:cs="Arial" w:eastAsia="Arial" w:hAnsi="Arial"/>
          <w:color w:val="212121"/>
          <w:sz w:val="20"/>
          <w:szCs w:val="20"/>
        </w:rPr>
        <w:t xml:space="preserve">The “Try” quick-question section in the Frankie sidebar replaced with a “Common Questions” FAQ drawer (faq-drawer.js + faq.css). 22 pre-written answers across 5 groups (Getting Started, Scoring &amp; Evidence, OSV &amp; Verification, Common Challenges, Next Steps) stored in kb/faq-answers.json. Clicking a question closes the drawer and injects the answer directly into the chat — no Claude API call, zero token cost per user. Falls back to the live pipeline if a question has no pre-baked answer.</w:t>
      </w:r>
    </w:p>
    <w:p>
      <w:pPr>
        <w:spacing w:after="60" w:before="120"/>
      </w:pPr>
      <w:r>
        <w:rPr>
          <w:rFonts w:ascii="Arial" w:cs="Arial" w:eastAsia="Arial" w:hAnsi="Arial"/>
          <w:b/>
          <w:bCs/>
          <w:color w:val="E65100"/>
          <w:sz w:val="20"/>
          <w:szCs w:val="20"/>
        </w:rPr>
        <w:t xml:space="preserve">4. UI Cleanup for Online Deployment</w:t>
      </w:r>
    </w:p>
    <w:p>
      <w:pPr>
        <w:spacing w:after="80" w:before="0"/>
      </w:pPr>
      <w:r>
        <w:rPr>
          <w:rFonts w:ascii="Arial" w:cs="Arial" w:eastAsia="Arial" w:hAnsi="Arial"/>
          <w:color w:val="212121"/>
          <w:sz w:val="20"/>
          <w:szCs w:val="20"/>
        </w:rPr>
        <w:t xml:space="preserve">API key input panels removed from Frankie sidebar entirely. Mode toggle removed (superseded by SCC portal context). Free tier button hidden (HTML preserved for future activation). Knowledge Base stats (chunks, categories, base chunks, storage mode) moved from Frankie sidebar to SCC Settings — users never see internal KB metrics. Favicon added to both index.html and scc.html (inline SVG). Braincheck updated to ping via Worker URLs rather than direct API endpoints.</w:t>
      </w:r>
    </w:p>
    <w:p>
      <w:pPr>
        <w:spacing w:after="60" w:before="120"/>
      </w:pPr>
      <w:r>
        <w:rPr>
          <w:rFonts w:ascii="Arial" w:cs="Arial" w:eastAsia="Arial" w:hAnsi="Arial"/>
          <w:b/>
          <w:bCs/>
          <w:color w:val="E65100"/>
          <w:sz w:val="20"/>
          <w:szCs w:val="20"/>
        </w:rPr>
        <w:t xml:space="preserve">5. KB Upgrade to frankie6 (25,083 chunks)</w:t>
      </w:r>
    </w:p>
    <w:p>
      <w:pPr>
        <w:spacing w:after="80" w:before="0"/>
      </w:pPr>
      <w:r>
        <w:rPr>
          <w:rFonts w:ascii="Arial" w:cs="Arial" w:eastAsia="Arial" w:hAnsi="Arial"/>
          <w:color w:val="212121"/>
          <w:sz w:val="20"/>
          <w:szCs w:val="20"/>
        </w:rPr>
        <w:t xml:space="preserve">Active KB updated from frankie5_kb.json (2,068 chunks) to frankie6_kb.json (25,083 chunks). frankie6 adds UK government procurement documents (386 chunks), nuclear plant design data (27,271 chunks), and deduplication pass (4,642 dupes removed). 12 content categories. Base frankie5 chunks retained as legacy layer.</w:t>
      </w:r>
    </w:p>
    <w:p>
      <w:pPr>
        <w:spacing w:after="60" w:before="120"/>
      </w:pPr>
      <w:r>
        <w:rPr>
          <w:rFonts w:ascii="Arial" w:cs="Arial" w:eastAsia="Arial" w:hAnsi="Arial"/>
          <w:b/>
          <w:bCs/>
          <w:color w:val="E65100"/>
          <w:sz w:val="20"/>
          <w:szCs w:val="20"/>
        </w:rPr>
        <w:t xml:space="preserve">6. Name — F.R.A.N.K.I.E.</w:t>
      </w:r>
    </w:p>
    <w:p>
      <w:pPr>
        <w:spacing w:after="200" w:before="0"/>
      </w:pPr>
      <w:r>
        <w:rPr>
          <w:rFonts w:ascii="Arial" w:cs="Arial" w:eastAsia="Arial" w:hAnsi="Arial"/>
          <w:color w:val="212121"/>
          <w:sz w:val="20"/>
          <w:szCs w:val="20"/>
        </w:rPr>
        <w:t xml:space="preserve">Frankie is now officially F.R.A.N.K.I.E. — Future Readiness And Nuclear Knowledge Intelligence Engine. The name reflects what the platform actually does: it prepares nuclear supply chain businesses for the future, grounded in verified knowledge, delivered through AI.</w:t>
      </w:r>
    </w:p>
    <w:p>
      <w:pPr>
        <w:spacing w:after="200" w:before="200"/>
      </w:pPr>
      <w:r>
        <w:rPr>
          <w:rFonts w:ascii="Arial" w:cs="Arial" w:eastAsia="Arial" w:hAnsi="Arial"/>
          <w:b/>
          <w:bCs/>
          <w:color w:val="1B5E20"/>
          <w:sz w:val="36"/>
          <w:szCs w:val="36"/>
        </w:rPr>
      </w:r>
    </w:p>
    <w:p>
      <w:pPr>
        <w:pStyle w:val="Heading1"/>
        <w:spacing w:after="120" w:before="360"/>
      </w:pPr>
      <w:r>
        <w:rPr>
          <w:rFonts w:ascii="Arial" w:cs="Arial" w:eastAsia="Arial" w:hAnsi="Arial"/>
          <w:b/>
          <w:bCs/>
          <w:color w:val="1B5E20"/>
          <w:sz w:val="36"/>
          <w:szCs w:val="36"/>
        </w:rPr>
        <w:t xml:space="preserve">9. Open To-Dos</w:t>
      </w:r>
    </w:p>
    <w:p>
      <w:pPr>
        <w:spacing w:after="100" w:before="60"/>
      </w:pPr>
      <w:r>
        <w:rPr>
          <w:rFonts w:ascii="Arial" w:cs="Arial" w:eastAsia="Arial" w:hAnsi="Arial"/>
          <w:color w:val="212121"/>
          <w:sz w:val="20"/>
          <w:szCs w:val="20"/>
        </w:rPr>
        <w:t xml:space="preserve">Ordered by priority. Items marked * are prerequisites for planned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5560"/>
      </w:tblGrid>
      <w:tr>
        <w:trPr>
          <w:tblHeader/>
        </w:trPr>
        <w:tc>
          <w:tcPr>
            <w:tcW w:type="dxa" w:w="4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4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55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400"/>
            <w:tcBorders>
              <w:top w:val="single" w:color="BDBDBD" w:sz="1"/>
              <w:left w:val="single" w:color="BDBDBD" w:sz="1"/>
              <w:bottom w:val="single" w:color="BDBDBD" w:sz="1"/>
              <w:right w:val="single" w:color="BDBDBD" w:sz="1"/>
            </w:tcBorders>
            <w:shd w:fill="E8F5E9" w:val="clear"/>
            <w:tcMar>
              <w:top w:type="dxa" w:w="60"/>
              <w:left w:type="dxa" w:w="80"/>
              <w:bottom w:type="dxa" w:w="60"/>
              <w:right w:type="dxa" w:w="80"/>
            </w:tcMar>
          </w:tcPr>
          <w:p>
            <w:pPr>
              <w:jc w:val="center"/>
            </w:pPr>
            <w:r>
              <w:rPr>
                <w:rFonts w:ascii="Arial" w:cs="Arial" w:eastAsia="Arial" w:hAnsi="Arial"/>
                <w:b/>
                <w:bCs/>
                <w:color w:val="1B5E20"/>
                <w:sz w:val="18"/>
                <w:szCs w:val="18"/>
              </w:rPr>
              <w:t xml:space="preserve">1</w:t>
            </w:r>
          </w:p>
        </w:tc>
        <w:tc>
          <w:tcPr>
            <w:tcW w:type="dxa" w:w="34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sz w:val="17"/>
                <w:szCs w:val="17"/>
              </w:rPr>
              <w:t xml:space="preserve">ISO 19443 → SCC backend POST *</w:t>
            </w:r>
          </w:p>
        </w:tc>
        <w:tc>
          <w:tcPr>
            <w:tcW w:type="dxa" w:w="55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POST clause-level results to SCC portal on assessment completion. Needs API endpoint, Azure AD auth, company ID from session. Payload: { companyId, date, ragScore, clauseScores, gapClauses }. Trigger on results view or explicit button.</w:t>
            </w:r>
          </w:p>
        </w:tc>
      </w:tr>
      <w:tr>
        <w:tc>
          <w:tcPr>
            <w:tcW w:type="dxa" w:w="400"/>
            <w:tcBorders>
              <w:top w:val="single" w:color="BDBDBD" w:sz="1"/>
              <w:left w:val="single" w:color="BDBDBD" w:sz="1"/>
              <w:bottom w:val="single" w:color="BDBDBD" w:sz="1"/>
              <w:right w:val="single" w:color="BDBDBD" w:sz="1"/>
            </w:tcBorders>
            <w:shd w:fill="E8F5E9" w:val="clear"/>
            <w:tcMar>
              <w:top w:type="dxa" w:w="60"/>
              <w:left w:type="dxa" w:w="80"/>
              <w:bottom w:type="dxa" w:w="60"/>
              <w:right w:type="dxa" w:w="80"/>
            </w:tcMar>
          </w:tcPr>
          <w:p>
            <w:pPr>
              <w:jc w:val="center"/>
            </w:pPr>
            <w:r>
              <w:rPr>
                <w:rFonts w:ascii="Arial" w:cs="Arial" w:eastAsia="Arial" w:hAnsi="Arial"/>
                <w:b/>
                <w:bCs/>
                <w:color w:val="1B5E20"/>
                <w:sz w:val="18"/>
                <w:szCs w:val="18"/>
              </w:rPr>
              <w:t xml:space="preserve">2</w:t>
            </w:r>
          </w:p>
        </w:tc>
        <w:tc>
          <w:tcPr>
            <w:tcW w:type="dxa" w:w="34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sz w:val="17"/>
                <w:szCs w:val="17"/>
              </w:rPr>
              <w:t xml:space="preserve">Evidence Vault — show existing uploads on open</w:t>
            </w:r>
          </w:p>
        </w:tc>
        <w:tc>
          <w:tcPr>
            <w:tcW w:type="dxa" w:w="55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When company reopens vault, list files from Supabase path and render ticked items. Currently starts fresh each session.</w:t>
            </w:r>
          </w:p>
        </w:tc>
      </w:tr>
      <w:tr>
        <w:tc>
          <w:tcPr>
            <w:tcW w:type="dxa" w:w="400"/>
            <w:tcBorders>
              <w:top w:val="single" w:color="BDBDBD" w:sz="1"/>
              <w:left w:val="single" w:color="BDBDBD" w:sz="1"/>
              <w:bottom w:val="single" w:color="BDBDBD" w:sz="1"/>
              <w:right w:val="single" w:color="BDBDBD" w:sz="1"/>
            </w:tcBorders>
            <w:shd w:fill="E8F5E9" w:val="clear"/>
            <w:tcMar>
              <w:top w:type="dxa" w:w="60"/>
              <w:left w:type="dxa" w:w="80"/>
              <w:bottom w:type="dxa" w:w="60"/>
              <w:right w:type="dxa" w:w="80"/>
            </w:tcMar>
          </w:tcPr>
          <w:p>
            <w:pPr>
              <w:jc w:val="center"/>
            </w:pPr>
            <w:r>
              <w:rPr>
                <w:rFonts w:ascii="Arial" w:cs="Arial" w:eastAsia="Arial" w:hAnsi="Arial"/>
                <w:b/>
                <w:bCs/>
                <w:color w:val="1B5E20"/>
                <w:sz w:val="18"/>
                <w:szCs w:val="18"/>
              </w:rPr>
              <w:t xml:space="preserve">3</w:t>
            </w:r>
          </w:p>
        </w:tc>
        <w:tc>
          <w:tcPr>
            <w:tcW w:type="dxa" w:w="34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sz w:val="17"/>
                <w:szCs w:val="17"/>
              </w:rPr>
              <w:t xml:space="preserve">Handbook URL coverage — 16 unmapped</w:t>
            </w:r>
          </w:p>
        </w:tc>
        <w:tc>
          <w:tcPr>
            <w:tcW w:type="dxa" w:w="55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Security of Information chapter (16/88 URLs) has no handbook chapter. Needs handbook chapter to be written first, then add entries to handbook_url_map.json.</w:t>
            </w:r>
          </w:p>
        </w:tc>
      </w:tr>
      <w:tr>
        <w:tc>
          <w:tcPr>
            <w:tcW w:type="dxa" w:w="400"/>
            <w:tcBorders>
              <w:top w:val="single" w:color="BDBDBD" w:sz="1"/>
              <w:left w:val="single" w:color="BDBDBD" w:sz="1"/>
              <w:bottom w:val="single" w:color="BDBDBD" w:sz="1"/>
              <w:right w:val="single" w:color="BDBDBD" w:sz="1"/>
            </w:tcBorders>
            <w:shd w:fill="E8F5E9" w:val="clear"/>
            <w:tcMar>
              <w:top w:type="dxa" w:w="60"/>
              <w:left w:type="dxa" w:w="80"/>
              <w:bottom w:type="dxa" w:w="60"/>
              <w:right w:type="dxa" w:w="80"/>
            </w:tcMar>
          </w:tcPr>
          <w:p>
            <w:pPr>
              <w:jc w:val="center"/>
            </w:pPr>
            <w:r>
              <w:rPr>
                <w:rFonts w:ascii="Arial" w:cs="Arial" w:eastAsia="Arial" w:hAnsi="Arial"/>
                <w:b/>
                <w:bCs/>
                <w:color w:val="1B5E20"/>
                <w:sz w:val="18"/>
                <w:szCs w:val="18"/>
              </w:rPr>
              <w:t xml:space="preserve">4</w:t>
            </w:r>
          </w:p>
        </w:tc>
        <w:tc>
          <w:tcPr>
            <w:tcW w:type="dxa" w:w="34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sz w:val="17"/>
                <w:szCs w:val="17"/>
              </w:rPr>
              <w:t xml:space="preserve">Wire Frankie into live members portal</w:t>
            </w:r>
          </w:p>
        </w:tc>
        <w:tc>
          <w:tcPr>
            <w:tcW w:type="dxa" w:w="55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Frankie runs locally. Needs embedding in nuccol.co.uk/members.html or linking from it. Auth bridge via members_5.html already built.</w:t>
            </w:r>
          </w:p>
        </w:tc>
      </w:tr>
      <w:tr>
        <w:tc>
          <w:tcPr>
            <w:tcW w:type="dxa" w:w="400"/>
            <w:tcBorders>
              <w:top w:val="single" w:color="BDBDBD" w:sz="1"/>
              <w:left w:val="single" w:color="BDBDBD" w:sz="1"/>
              <w:bottom w:val="single" w:color="BDBDBD" w:sz="1"/>
              <w:right w:val="single" w:color="BDBDBD" w:sz="1"/>
            </w:tcBorders>
            <w:shd w:fill="E8F5E9" w:val="clear"/>
            <w:tcMar>
              <w:top w:type="dxa" w:w="60"/>
              <w:left w:type="dxa" w:w="80"/>
              <w:bottom w:type="dxa" w:w="60"/>
              <w:right w:type="dxa" w:w="80"/>
            </w:tcMar>
          </w:tcPr>
          <w:p>
            <w:pPr>
              <w:jc w:val="center"/>
            </w:pPr>
            <w:r>
              <w:rPr>
                <w:rFonts w:ascii="Arial" w:cs="Arial" w:eastAsia="Arial" w:hAnsi="Arial"/>
                <w:b/>
                <w:bCs/>
                <w:color w:val="1B5E20"/>
                <w:sz w:val="18"/>
                <w:szCs w:val="18"/>
              </w:rPr>
              <w:t xml:space="preserve">5</w:t>
            </w:r>
          </w:p>
        </w:tc>
        <w:tc>
          <w:tcPr>
            <w:tcW w:type="dxa" w:w="34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sz w:val="17"/>
                <w:szCs w:val="17"/>
              </w:rPr>
              <w:t xml:space="preserve">Member tier gating</w:t>
            </w:r>
          </w:p>
        </w:tc>
        <w:tc>
          <w:tcPr>
            <w:tcW w:type="dxa" w:w="55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Restrict advanced features to registered NuCCoL members. Tier toggle UI already exists in sidebar. Needs backend enforcement: check Supabase session before allowing Tool Kit access.</w:t>
            </w:r>
          </w:p>
        </w:tc>
      </w:tr>
      <w:tr>
        <w:tc>
          <w:tcPr>
            <w:tcW w:type="dxa" w:w="400"/>
            <w:tcBorders>
              <w:top w:val="single" w:color="BDBDBD" w:sz="1"/>
              <w:left w:val="single" w:color="BDBDBD" w:sz="1"/>
              <w:bottom w:val="single" w:color="BDBDBD" w:sz="1"/>
              <w:right w:val="single" w:color="BDBDBD" w:sz="1"/>
            </w:tcBorders>
            <w:shd w:fill="E8F5E9" w:val="clear"/>
            <w:tcMar>
              <w:top w:type="dxa" w:w="60"/>
              <w:left w:type="dxa" w:w="80"/>
              <w:bottom w:type="dxa" w:w="60"/>
              <w:right w:type="dxa" w:w="80"/>
            </w:tcMar>
          </w:tcPr>
          <w:p>
            <w:pPr>
              <w:jc w:val="center"/>
            </w:pPr>
            <w:r>
              <w:rPr>
                <w:rFonts w:ascii="Arial" w:cs="Arial" w:eastAsia="Arial" w:hAnsi="Arial"/>
                <w:b/>
                <w:bCs/>
                <w:color w:val="1B5E20"/>
                <w:sz w:val="18"/>
                <w:szCs w:val="18"/>
              </w:rPr>
              <w:t xml:space="preserve">6</w:t>
            </w:r>
          </w:p>
        </w:tc>
        <w:tc>
          <w:tcPr>
            <w:tcW w:type="dxa" w:w="34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sz w:val="17"/>
                <w:szCs w:val="17"/>
              </w:rPr>
              <w:t xml:space="preserve">Assessment history (localStorage)</w:t>
            </w:r>
          </w:p>
        </w:tc>
        <w:tc>
          <w:tcPr>
            <w:tcW w:type="dxa" w:w="55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Save and compare assessments over time. Store ISO 19443 results, self-assessment scores, and Tool Kit outputs indexed by company and date.</w:t>
            </w:r>
          </w:p>
        </w:tc>
      </w:tr>
      <w:tr>
        <w:tc>
          <w:tcPr>
            <w:tcW w:type="dxa" w:w="400"/>
            <w:tcBorders>
              <w:top w:val="single" w:color="BDBDBD" w:sz="1"/>
              <w:left w:val="single" w:color="BDBDBD" w:sz="1"/>
              <w:bottom w:val="single" w:color="BDBDBD" w:sz="1"/>
              <w:right w:val="single" w:color="BDBDBD" w:sz="1"/>
            </w:tcBorders>
            <w:shd w:fill="E8F5E9" w:val="clear"/>
            <w:tcMar>
              <w:top w:type="dxa" w:w="60"/>
              <w:left w:type="dxa" w:w="80"/>
              <w:bottom w:type="dxa" w:w="60"/>
              <w:right w:type="dxa" w:w="80"/>
            </w:tcMar>
          </w:tcPr>
          <w:p>
            <w:pPr>
              <w:jc w:val="center"/>
            </w:pPr>
            <w:r>
              <w:rPr>
                <w:rFonts w:ascii="Arial" w:cs="Arial" w:eastAsia="Arial" w:hAnsi="Arial"/>
                <w:b/>
                <w:bCs/>
                <w:color w:val="1B5E20"/>
                <w:sz w:val="18"/>
                <w:szCs w:val="18"/>
              </w:rPr>
              <w:t xml:space="preserve">7</w:t>
            </w:r>
          </w:p>
        </w:tc>
        <w:tc>
          <w:tcPr>
            <w:tcW w:type="dxa" w:w="34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sz w:val="17"/>
                <w:szCs w:val="17"/>
              </w:rPr>
              <w:t xml:space="preserve">Export to DOCX from Tool Kit</w:t>
            </w:r>
          </w:p>
        </w:tc>
        <w:tc>
          <w:tcPr>
            <w:tcW w:type="dxa" w:w="55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Generate Word documents from Tool Kit outputs (SOP, CQP, SQDCP, etc.) directly in-browser. Print export already exists. DOCX needs docx.js or server-side generation.</w:t>
            </w:r>
          </w:p>
        </w:tc>
      </w:tr>
      <w:tr>
        <w:tc>
          <w:tcPr>
            <w:tcW w:type="dxa" w:w="400"/>
            <w:tcBorders>
              <w:top w:val="single" w:color="BDBDBD" w:sz="1"/>
              <w:left w:val="single" w:color="BDBDBD" w:sz="1"/>
              <w:bottom w:val="single" w:color="BDBDBD" w:sz="1"/>
              <w:right w:val="single" w:color="BDBDBD" w:sz="1"/>
            </w:tcBorders>
            <w:shd w:fill="E8F5E9" w:val="clear"/>
            <w:tcMar>
              <w:top w:type="dxa" w:w="60"/>
              <w:left w:type="dxa" w:w="80"/>
              <w:bottom w:type="dxa" w:w="60"/>
              <w:right w:type="dxa" w:w="80"/>
            </w:tcMar>
          </w:tcPr>
          <w:p>
            <w:pPr>
              <w:jc w:val="center"/>
            </w:pPr>
            <w:r>
              <w:rPr>
                <w:rFonts w:ascii="Arial" w:cs="Arial" w:eastAsia="Arial" w:hAnsi="Arial"/>
                <w:b/>
                <w:bCs/>
                <w:color w:val="1B5E20"/>
                <w:sz w:val="18"/>
                <w:szCs w:val="18"/>
              </w:rPr>
              <w:t xml:space="preserve">8</w:t>
            </w:r>
          </w:p>
        </w:tc>
        <w:tc>
          <w:tcPr>
            <w:tcW w:type="dxa" w:w="34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sz w:val="17"/>
                <w:szCs w:val="17"/>
              </w:rPr>
              <w:t xml:space="preserve">Technical debt TD-001 to TD-011</w:t>
            </w:r>
          </w:p>
        </w:tc>
        <w:tc>
          <w:tcPr>
            <w:tcW w:type="dxa" w:w="55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See TECHNICAL_DEBT.md. Priority 1: localStorage/sessionStorage intent (TD-001), unused modelSelector.js (TD-002), stub chat.js (TD-003).</w:t>
            </w:r>
          </w:p>
        </w:tc>
      </w:tr>
    </w:tbl>
    <w:p>
      <w:pPr>
        <w:pBdr>
          <w:bottom w:val="single" w:color="1B5E20" w:sz="4" w:space="1"/>
        </w:pBdr>
        <w:spacing w:after="160" w:before="160"/>
      </w:pPr>
    </w:p>
    <w:p>
      <w:r>
        <w:br w:type="page"/>
      </w:r>
    </w:p>
    <w:p>
      <w:pPr>
        <w:pStyle w:val="Heading1"/>
        <w:spacing w:after="120" w:before="360"/>
      </w:pPr>
      <w:r>
        <w:rPr>
          <w:rFonts w:ascii="Arial" w:cs="Arial" w:eastAsia="Arial" w:hAnsi="Arial"/>
          <w:b/>
          <w:bCs/>
          <w:color w:val="1B5E20"/>
          <w:sz w:val="36"/>
          <w:szCs w:val="36"/>
        </w:rPr>
        <w:t xml:space="preserve">10. Planned Features — Next Phase</w:t>
      </w:r>
    </w:p>
    <w:p>
      <w:pPr>
        <w:pStyle w:val="Heading2"/>
        <w:spacing w:after="80" w:before="280"/>
      </w:pPr>
      <w:r>
        <w:rPr>
          <w:rFonts w:ascii="Arial" w:cs="Arial" w:eastAsia="Arial" w:hAnsi="Arial"/>
          <w:b/>
          <w:bCs/>
          <w:color w:val="212121"/>
          <w:sz w:val="26"/>
          <w:szCs w:val="26"/>
        </w:rPr>
        <w:t xml:space="preserve">Feature A — Guided Document Vault</w:t>
      </w:r>
    </w:p>
    <w:p>
      <w:pPr>
        <w:spacing w:after="100" w:before="60"/>
      </w:pPr>
      <w:r>
        <w:rPr>
          <w:rFonts w:ascii="Arial" w:cs="Arial" w:eastAsia="Arial" w:hAnsi="Arial"/>
          <w:color w:val="212121"/>
          <w:sz w:val="20"/>
          <w:szCs w:val="20"/>
        </w:rPr>
        <w:t xml:space="preserve">NEXT MAJOR BUILD. Companies entering F4N need to produce the same core set of documents — quality manual, SQEP matrix, CSIP, risk register, document control procedure. Most SMEs start from blank and produce documents that an SCC has to rebuild from scratch at the first meeting. This feature solves that.</w:t>
      </w:r>
    </w:p>
    <w:p>
      <w:pPr>
        <w:spacing w:after="60" w:before="200"/>
      </w:pPr>
      <w:r>
        <w:rPr>
          <w:rFonts w:ascii="Arial" w:cs="Arial" w:eastAsia="Arial" w:hAnsi="Arial"/>
          <w:b/>
          <w:bCs/>
          <w:color w:val="212121"/>
          <w:sz w:val="22"/>
          <w:szCs w:val="22"/>
        </w:rPr>
        <w:t xml:space="preserve">What It Does</w:t>
      </w:r>
    </w:p>
    <w:p>
      <w:pPr>
        <w:pStyle w:val="ListParagraph"/>
        <w:numPr>
          <w:ilvl w:val="0"/>
          <w:numId w:val="2"/>
        </w:numPr>
        <w:spacing w:after="40" w:before="40"/>
      </w:pPr>
      <w:r>
        <w:rPr>
          <w:rFonts w:ascii="Arial" w:cs="Arial" w:eastAsia="Arial" w:hAnsi="Arial"/>
          <w:b w:val="false"/>
          <w:bCs w:val="false"/>
          <w:sz w:val="20"/>
          <w:szCs w:val="20"/>
        </w:rPr>
        <w:t xml:space="preserve">SCC-verified document templates structured as JSON (section blocks with description, scoring criteria, example answer, 3–5 elicitation questions)</w:t>
      </w:r>
    </w:p>
    <w:p>
      <w:pPr>
        <w:pStyle w:val="ListParagraph"/>
        <w:numPr>
          <w:ilvl w:val="0"/>
          <w:numId w:val="2"/>
        </w:numPr>
        <w:spacing w:after="40" w:before="40"/>
      </w:pPr>
      <w:r>
        <w:rPr>
          <w:rFonts w:ascii="Arial" w:cs="Arial" w:eastAsia="Arial" w:hAnsi="Arial"/>
          <w:b w:val="false"/>
          <w:bCs w:val="false"/>
          <w:sz w:val="20"/>
          <w:szCs w:val="20"/>
        </w:rPr>
        <w:t xml:space="preserve">Frankie guides the company through each section with targeted questions, not a blank prompt</w:t>
      </w:r>
    </w:p>
    <w:p>
      <w:pPr>
        <w:pStyle w:val="ListParagraph"/>
        <w:numPr>
          <w:ilvl w:val="0"/>
          <w:numId w:val="2"/>
        </w:numPr>
        <w:spacing w:after="40" w:before="40"/>
      </w:pPr>
      <w:r>
        <w:rPr>
          <w:rFonts w:ascii="Arial" w:cs="Arial" w:eastAsia="Arial" w:hAnsi="Arial"/>
          <w:b w:val="false"/>
          <w:bCs w:val="false"/>
          <w:sz w:val="20"/>
          <w:szCs w:val="20"/>
        </w:rPr>
        <w:t xml:space="preserve">Claude generates a draft paragraph from the answers, grounded in F4N criteria</w:t>
      </w:r>
    </w:p>
    <w:p>
      <w:pPr>
        <w:pStyle w:val="ListParagraph"/>
        <w:numPr>
          <w:ilvl w:val="0"/>
          <w:numId w:val="2"/>
        </w:numPr>
        <w:spacing w:after="40" w:before="40"/>
      </w:pPr>
      <w:r>
        <w:rPr>
          <w:rFonts w:ascii="Arial" w:cs="Arial" w:eastAsia="Arial" w:hAnsi="Arial"/>
          <w:b w:val="false"/>
          <w:bCs w:val="false"/>
          <w:sz w:val="20"/>
          <w:szCs w:val="20"/>
        </w:rPr>
        <w:t xml:space="preserve">Company reviews, edits, confirms. Section marked complete.</w:t>
      </w:r>
    </w:p>
    <w:p>
      <w:pPr>
        <w:pStyle w:val="ListParagraph"/>
        <w:numPr>
          <w:ilvl w:val="0"/>
          <w:numId w:val="2"/>
        </w:numPr>
        <w:spacing w:after="40" w:before="40"/>
      </w:pPr>
      <w:r>
        <w:rPr>
          <w:rFonts w:ascii="Arial" w:cs="Arial" w:eastAsia="Arial" w:hAnsi="Arial"/>
          <w:b w:val="false"/>
          <w:bCs w:val="false"/>
          <w:sz w:val="20"/>
          <w:szCs w:val="20"/>
        </w:rPr>
        <w:t xml:space="preserve">Confidence scoring per section: estimated 0/2/7/10 score + what would be needed to improve</w:t>
      </w:r>
    </w:p>
    <w:p>
      <w:pPr>
        <w:pStyle w:val="ListParagraph"/>
        <w:numPr>
          <w:ilvl w:val="0"/>
          <w:numId w:val="2"/>
        </w:numPr>
        <w:spacing w:after="40" w:before="40"/>
      </w:pPr>
      <w:r>
        <w:rPr>
          <w:rFonts w:ascii="Arial" w:cs="Arial" w:eastAsia="Arial" w:hAnsi="Arial"/>
          <w:b w:val="false"/>
          <w:bCs w:val="false"/>
          <w:sz w:val="20"/>
          <w:szCs w:val="20"/>
        </w:rPr>
        <w:t xml:space="preserve">Output: compiled document downloadable as Word file</w:t>
      </w:r>
    </w:p>
    <w:p>
      <w:pPr>
        <w:spacing w:after="60" w:before="200"/>
      </w:pPr>
      <w:r>
        <w:rPr>
          <w:rFonts w:ascii="Arial" w:cs="Arial" w:eastAsia="Arial" w:hAnsi="Arial"/>
          <w:b/>
          <w:bCs/>
          <w:color w:val="212121"/>
          <w:sz w:val="22"/>
          <w:szCs w:val="22"/>
        </w:rPr>
        <w:t xml:space="preserve">Phase 1 Documents</w:t>
      </w:r>
    </w:p>
    <w:p>
      <w:pPr>
        <w:pStyle w:val="ListParagraph"/>
        <w:numPr>
          <w:ilvl w:val="0"/>
          <w:numId w:val="2"/>
        </w:numPr>
        <w:spacing w:after="40" w:before="40"/>
      </w:pPr>
      <w:r>
        <w:rPr>
          <w:rFonts w:ascii="Arial" w:cs="Arial" w:eastAsia="Arial" w:hAnsi="Arial"/>
          <w:b w:val="false"/>
          <w:bCs w:val="false"/>
          <w:sz w:val="20"/>
          <w:szCs w:val="20"/>
        </w:rPr>
        <w:t xml:space="preserve">Quality Manual</w:t>
      </w:r>
    </w:p>
    <w:p>
      <w:pPr>
        <w:pStyle w:val="ListParagraph"/>
        <w:numPr>
          <w:ilvl w:val="0"/>
          <w:numId w:val="2"/>
        </w:numPr>
        <w:spacing w:after="40" w:before="40"/>
      </w:pPr>
      <w:r>
        <w:rPr>
          <w:rFonts w:ascii="Arial" w:cs="Arial" w:eastAsia="Arial" w:hAnsi="Arial"/>
          <w:b w:val="false"/>
          <w:bCs w:val="false"/>
          <w:sz w:val="20"/>
          <w:szCs w:val="20"/>
        </w:rPr>
        <w:t xml:space="preserve">SQEP Matrix</w:t>
      </w:r>
    </w:p>
    <w:p>
      <w:pPr>
        <w:pStyle w:val="ListParagraph"/>
        <w:numPr>
          <w:ilvl w:val="0"/>
          <w:numId w:val="2"/>
        </w:numPr>
        <w:spacing w:after="40" w:before="40"/>
      </w:pPr>
      <w:r>
        <w:rPr>
          <w:rFonts w:ascii="Arial" w:cs="Arial" w:eastAsia="Arial" w:hAnsi="Arial"/>
          <w:b w:val="false"/>
          <w:bCs w:val="false"/>
          <w:sz w:val="20"/>
          <w:szCs w:val="20"/>
        </w:rPr>
        <w:t xml:space="preserve">CSIP (Continuous Supplier Improvement Plan)</w:t>
      </w:r>
    </w:p>
    <w:p>
      <w:pPr>
        <w:pStyle w:val="ListParagraph"/>
        <w:numPr>
          <w:ilvl w:val="0"/>
          <w:numId w:val="2"/>
        </w:numPr>
        <w:spacing w:after="40" w:before="40"/>
      </w:pPr>
      <w:r>
        <w:rPr>
          <w:rFonts w:ascii="Arial" w:cs="Arial" w:eastAsia="Arial" w:hAnsi="Arial"/>
          <w:b w:val="false"/>
          <w:bCs w:val="false"/>
          <w:sz w:val="20"/>
          <w:szCs w:val="20"/>
        </w:rPr>
        <w:t xml:space="preserve">Risk Register</w:t>
      </w:r>
    </w:p>
    <w:p>
      <w:pPr>
        <w:pStyle w:val="ListParagraph"/>
        <w:numPr>
          <w:ilvl w:val="0"/>
          <w:numId w:val="2"/>
        </w:numPr>
        <w:spacing w:after="40" w:before="40"/>
      </w:pPr>
      <w:r>
        <w:rPr>
          <w:rFonts w:ascii="Arial" w:cs="Arial" w:eastAsia="Arial" w:hAnsi="Arial"/>
          <w:b w:val="false"/>
          <w:bCs w:val="false"/>
          <w:sz w:val="20"/>
          <w:szCs w:val="20"/>
        </w:rPr>
        <w:t xml:space="preserve">Document Control Procedure</w:t>
      </w:r>
    </w:p>
    <w:p>
      <w:pPr>
        <w:spacing w:after="60" w:before="200"/>
      </w:pPr>
      <w:r>
        <w:rPr>
          <w:rFonts w:ascii="Arial" w:cs="Arial" w:eastAsia="Arial" w:hAnsi="Arial"/>
          <w:b/>
          <w:bCs/>
          <w:color w:val="212121"/>
          <w:sz w:val="22"/>
          <w:szCs w:val="22"/>
        </w:rPr>
        <w:t xml:space="preserve">How To Build</w:t>
      </w:r>
    </w:p>
    <w:p>
      <w:pPr>
        <w:pStyle w:val="ListParagraph"/>
        <w:numPr>
          <w:ilvl w:val="0"/>
          <w:numId w:val="2"/>
        </w:numPr>
        <w:spacing w:after="40" w:before="40"/>
      </w:pPr>
      <w:r>
        <w:rPr>
          <w:rFonts w:ascii="Arial" w:cs="Arial" w:eastAsia="Arial" w:hAnsi="Arial"/>
          <w:b w:val="false"/>
          <w:bCs w:val="false"/>
          <w:sz w:val="20"/>
          <w:szCs w:val="20"/>
        </w:rPr>
        <w:t xml:space="preserve">Template JSON in kb/vault_templates/ — one file per document type</w:t>
      </w:r>
    </w:p>
    <w:p>
      <w:pPr>
        <w:pStyle w:val="ListParagraph"/>
        <w:numPr>
          <w:ilvl w:val="0"/>
          <w:numId w:val="2"/>
        </w:numPr>
        <w:spacing w:after="40" w:before="40"/>
      </w:pPr>
      <w:r>
        <w:rPr>
          <w:rFonts w:ascii="Arial" w:cs="Arial" w:eastAsia="Arial" w:hAnsi="Arial"/>
          <w:b w:val="false"/>
          <w:bCs w:val="false"/>
          <w:sz w:val="20"/>
          <w:szCs w:val="20"/>
        </w:rPr>
        <w:t xml:space="preserve">New drawer: js/vault-drawer.js, css/vault.css</w:t>
      </w:r>
    </w:p>
    <w:p>
      <w:pPr>
        <w:pStyle w:val="ListParagraph"/>
        <w:numPr>
          <w:ilvl w:val="0"/>
          <w:numId w:val="2"/>
        </w:numPr>
        <w:spacing w:after="40" w:before="40"/>
      </w:pPr>
      <w:r>
        <w:rPr>
          <w:rFonts w:ascii="Arial" w:cs="Arial" w:eastAsia="Arial" w:hAnsi="Arial"/>
          <w:b w:val="false"/>
          <w:bCs w:val="false"/>
          <w:sz w:val="20"/>
          <w:szCs w:val="20"/>
        </w:rPr>
        <w:t xml:space="preserve">Templates built by NuCCoL team, SCC-verified, loaded incrementally (build does not depend on all templates being finished)</w:t>
      </w:r>
    </w:p>
    <w:p>
      <w:pPr>
        <w:pStyle w:val="ListParagraph"/>
        <w:numPr>
          <w:ilvl w:val="0"/>
          <w:numId w:val="2"/>
        </w:numPr>
        <w:spacing w:after="40" w:before="40"/>
      </w:pPr>
      <w:r>
        <w:rPr>
          <w:rFonts w:ascii="Arial" w:cs="Arial" w:eastAsia="Arial" w:hAnsi="Arial"/>
          <w:b w:val="false"/>
          <w:bCs w:val="false"/>
          <w:sz w:val="20"/>
          <w:szCs w:val="20"/>
        </w:rPr>
        <w:t xml:space="preserve">The Ownership Principle: Frankie reviews and asks hard questions but does not rewrite for the company. They write — Frankie guides. Otherwise they cannot explain their own document to an SCC.</w:t>
      </w:r>
    </w:p>
    <w:p>
      <w:pPr>
        <w:spacing w:after="0" w:before="100"/>
      </w:pPr>
    </w:p>
    <w:p>
      <w:pPr>
        <w:pStyle w:val="Heading2"/>
        <w:spacing w:after="80" w:before="280"/>
      </w:pPr>
      <w:r>
        <w:rPr>
          <w:rFonts w:ascii="Arial" w:cs="Arial" w:eastAsia="Arial" w:hAnsi="Arial"/>
          <w:b/>
          <w:bCs/>
          <w:color w:val="212121"/>
          <w:sz w:val="26"/>
          <w:szCs w:val="26"/>
        </w:rPr>
        <w:t xml:space="preserve">Feature B — Evidence Vault v2 (SCC Assessment Interface)</w:t>
      </w:r>
    </w:p>
    <w:p>
      <w:pPr>
        <w:spacing w:after="100" w:before="60"/>
      </w:pPr>
      <w:r>
        <w:rPr>
          <w:rFonts w:ascii="Arial" w:cs="Arial" w:eastAsia="Arial" w:hAnsi="Arial"/>
          <w:color w:val="212121"/>
          <w:sz w:val="20"/>
          <w:szCs w:val="20"/>
        </w:rPr>
        <w:t xml:space="preserve">Extends Evidence Vault by adding AI-powered document analysis on the SCC side. Uploaded evidence is read by an LLM, mapped against F4N scoring criteria, and used to pre-populate a scoring interface so the SCC arrives at any meeting already informed.</w:t>
      </w:r>
    </w:p>
    <w:p>
      <w:pPr>
        <w:spacing w:after="60" w:before="200"/>
      </w:pPr>
      <w:r>
        <w:rPr>
          <w:rFonts w:ascii="Arial" w:cs="Arial" w:eastAsia="Arial" w:hAnsi="Arial"/>
          <w:b/>
          <w:bCs/>
          <w:color w:val="212121"/>
          <w:sz w:val="22"/>
          <w:szCs w:val="22"/>
        </w:rPr>
        <w:t xml:space="preserve">SCC Assessment Interface</w:t>
      </w:r>
    </w:p>
    <w:p>
      <w:pPr>
        <w:pStyle w:val="ListParagraph"/>
        <w:numPr>
          <w:ilvl w:val="0"/>
          <w:numId w:val="2"/>
        </w:numPr>
        <w:spacing w:after="40" w:before="40"/>
      </w:pPr>
      <w:r>
        <w:rPr>
          <w:rFonts w:ascii="Arial" w:cs="Arial" w:eastAsia="Arial" w:hAnsi="Arial"/>
          <w:b w:val="false"/>
          <w:bCs w:val="false"/>
          <w:sz w:val="20"/>
          <w:szCs w:val="20"/>
        </w:rPr>
        <w:t xml:space="preserve">New drawer from company folder in scc.html</w:t>
      </w:r>
    </w:p>
    <w:p>
      <w:pPr>
        <w:pStyle w:val="ListParagraph"/>
        <w:numPr>
          <w:ilvl w:val="0"/>
          <w:numId w:val="2"/>
        </w:numPr>
        <w:spacing w:after="40" w:before="40"/>
      </w:pPr>
      <w:r>
        <w:rPr>
          <w:rFonts w:ascii="Arial" w:cs="Arial" w:eastAsia="Arial" w:hAnsi="Arial"/>
          <w:b w:val="false"/>
          <w:bCs w:val="false"/>
          <w:sz w:val="20"/>
          <w:szCs w:val="20"/>
        </w:rPr>
        <w:t xml:space="preserve">Each BE section shows: suggested score (0/2/7/10) with AI rationale, evidence summary (which documents and what they showed), prep notes (what to verify, ask, look for on site), override field (SCC changes score + adds own note)</w:t>
      </w:r>
    </w:p>
    <w:p>
      <w:pPr>
        <w:pStyle w:val="ListParagraph"/>
        <w:numPr>
          <w:ilvl w:val="0"/>
          <w:numId w:val="2"/>
        </w:numPr>
        <w:spacing w:after="40" w:before="40"/>
      </w:pPr>
      <w:r>
        <w:rPr>
          <w:rFonts w:ascii="Arial" w:cs="Arial" w:eastAsia="Arial" w:hAnsi="Arial"/>
          <w:b w:val="false"/>
          <w:bCs w:val="false"/>
          <w:sz w:val="20"/>
          <w:szCs w:val="20"/>
        </w:rPr>
        <w:t xml:space="preserve">Final report: compiled pre-populated BE report when all sections reviewed</w:t>
      </w:r>
    </w:p>
    <w:p>
      <w:pPr>
        <w:pStyle w:val="ListParagraph"/>
        <w:numPr>
          <w:ilvl w:val="0"/>
          <w:numId w:val="2"/>
        </w:numPr>
        <w:spacing w:after="40" w:before="40"/>
      </w:pPr>
      <w:r>
        <w:rPr>
          <w:rFonts w:ascii="Arial" w:cs="Arial" w:eastAsia="Arial" w:hAnsi="Arial"/>
          <w:b w:val="false"/>
          <w:bCs w:val="false"/>
          <w:sz w:val="20"/>
          <w:szCs w:val="20"/>
        </w:rPr>
        <w:t xml:space="preserve">Builds directly on Evidence Vault v1 — file storage and company profile already in place</w:t>
      </w:r>
    </w:p>
    <w:p>
      <w:pPr>
        <w:spacing w:after="0" w:before="100"/>
      </w:pPr>
    </w:p>
    <w:p>
      <w:pPr>
        <w:pStyle w:val="Heading2"/>
        <w:spacing w:after="80" w:before="280"/>
      </w:pPr>
      <w:r>
        <w:rPr>
          <w:rFonts w:ascii="Arial" w:cs="Arial" w:eastAsia="Arial" w:hAnsi="Arial"/>
          <w:b/>
          <w:bCs/>
          <w:color w:val="212121"/>
          <w:sz w:val="26"/>
          <w:szCs w:val="26"/>
        </w:rPr>
        <w:t xml:space="preserve">Feature C — Pre-OSV &amp; Pre-Meeting Pack</w:t>
      </w:r>
    </w:p>
    <w:p>
      <w:pPr>
        <w:spacing w:after="100" w:before="60"/>
      </w:pPr>
      <w:r>
        <w:rPr>
          <w:rFonts w:ascii="Arial" w:cs="Arial" w:eastAsia="Arial" w:hAnsi="Arial"/>
          <w:color w:val="212121"/>
          <w:sz w:val="20"/>
          <w:szCs w:val="20"/>
        </w:rPr>
        <w:t xml:space="preserve">Before any meeting or OSV visit, Frankie generates a personalised intelligence pack for both sides. Company gets a gap checklist and prep guide. SCC gets a submission summary and flagged risk areas. Both arrive informed. Builds on Evidence Vault v2 — the AI analysis is already done.</w:t>
      </w:r>
    </w:p>
    <w:p>
      <w:pPr>
        <w:spacing w:after="60" w:before="200"/>
      </w:pPr>
      <w:r>
        <w:rPr>
          <w:rFonts w:ascii="Arial" w:cs="Arial" w:eastAsia="Arial" w:hAnsi="Arial"/>
          <w:b/>
          <w:bCs/>
          <w:color w:val="212121"/>
          <w:sz w:val="22"/>
          <w:szCs w:val="22"/>
        </w:rPr>
        <w:t xml:space="preserve">Company Inputs</w:t>
      </w:r>
    </w:p>
    <w:p>
      <w:pPr>
        <w:pStyle w:val="ListParagraph"/>
        <w:numPr>
          <w:ilvl w:val="0"/>
          <w:numId w:val="2"/>
        </w:numPr>
        <w:spacing w:after="40" w:before="40"/>
      </w:pPr>
      <w:r>
        <w:rPr>
          <w:rFonts w:ascii="Arial" w:cs="Arial" w:eastAsia="Arial" w:hAnsi="Arial"/>
          <w:b w:val="false"/>
          <w:bCs w:val="false"/>
          <w:sz w:val="20"/>
          <w:szCs w:val="20"/>
        </w:rPr>
        <w:t xml:space="preserve">Self-assessment scores (or pulled from portal if integrated)</w:t>
      </w:r>
    </w:p>
    <w:p>
      <w:pPr>
        <w:pStyle w:val="ListParagraph"/>
        <w:numPr>
          <w:ilvl w:val="0"/>
          <w:numId w:val="2"/>
        </w:numPr>
        <w:spacing w:after="40" w:before="40"/>
      </w:pPr>
      <w:r>
        <w:rPr>
          <w:rFonts w:ascii="Arial" w:cs="Arial" w:eastAsia="Arial" w:hAnsi="Arial"/>
          <w:b w:val="false"/>
          <w:bCs w:val="false"/>
          <w:sz w:val="20"/>
          <w:szCs w:val="20"/>
        </w:rPr>
        <w:t xml:space="preserve">Upcoming meeting date and meeting type (first visit / OSV / review)</w:t>
      </w:r>
    </w:p>
    <w:p>
      <w:pPr>
        <w:spacing w:after="60" w:before="200"/>
      </w:pPr>
      <w:r>
        <w:rPr>
          <w:rFonts w:ascii="Arial" w:cs="Arial" w:eastAsia="Arial" w:hAnsi="Arial"/>
          <w:b/>
          <w:bCs/>
          <w:color w:val="212121"/>
          <w:sz w:val="22"/>
          <w:szCs w:val="22"/>
        </w:rPr>
        <w:t xml:space="preserve">Pack Contents</w:t>
      </w:r>
    </w:p>
    <w:p>
      <w:pPr>
        <w:pStyle w:val="ListParagraph"/>
        <w:numPr>
          <w:ilvl w:val="0"/>
          <w:numId w:val="2"/>
        </w:numPr>
        <w:spacing w:after="40" w:before="40"/>
      </w:pPr>
      <w:r>
        <w:rPr>
          <w:rFonts w:ascii="Arial" w:cs="Arial" w:eastAsia="Arial" w:hAnsi="Arial"/>
          <w:b w:val="false"/>
          <w:bCs w:val="false"/>
          <w:sz w:val="20"/>
          <w:szCs w:val="20"/>
        </w:rPr>
        <w:t xml:space="preserve">Per-criterion: estimated score based on document evidence, gap narrative, specific evidence still needed</w:t>
      </w:r>
    </w:p>
    <w:p>
      <w:pPr>
        <w:pStyle w:val="ListParagraph"/>
        <w:numPr>
          <w:ilvl w:val="0"/>
          <w:numId w:val="2"/>
        </w:numPr>
        <w:spacing w:after="40" w:before="40"/>
      </w:pPr>
      <w:r>
        <w:rPr>
          <w:rFonts w:ascii="Arial" w:cs="Arial" w:eastAsia="Arial" w:hAnsi="Arial"/>
          <w:b w:val="false"/>
          <w:bCs w:val="false"/>
          <w:sz w:val="20"/>
          <w:szCs w:val="20"/>
        </w:rPr>
        <w:t xml:space="preserve">Red flag detection: criteria likely to be challenged based on sector patterns in KB</w:t>
      </w:r>
    </w:p>
    <w:p>
      <w:pPr>
        <w:pStyle w:val="ListParagraph"/>
        <w:numPr>
          <w:ilvl w:val="0"/>
          <w:numId w:val="2"/>
        </w:numPr>
        <w:spacing w:after="40" w:before="40"/>
      </w:pPr>
      <w:r>
        <w:rPr>
          <w:rFonts w:ascii="Arial" w:cs="Arial" w:eastAsia="Arial" w:hAnsi="Arial"/>
          <w:b w:val="false"/>
          <w:bCs w:val="false"/>
          <w:sz w:val="20"/>
          <w:szCs w:val="20"/>
        </w:rPr>
        <w:t xml:space="preserve">OSV-specific: maps criteria to what an SCC typically asks on site, what records they will want to inspect</w:t>
      </w:r>
    </w:p>
    <w:p>
      <w:pPr>
        <w:pStyle w:val="ListParagraph"/>
        <w:numPr>
          <w:ilvl w:val="0"/>
          <w:numId w:val="2"/>
        </w:numPr>
        <w:spacing w:after="40" w:before="40"/>
      </w:pPr>
      <w:r>
        <w:rPr>
          <w:rFonts w:ascii="Arial" w:cs="Arial" w:eastAsia="Arial" w:hAnsi="Arial"/>
          <w:b w:val="false"/>
          <w:bCs w:val="false"/>
          <w:sz w:val="20"/>
          <w:szCs w:val="20"/>
        </w:rPr>
        <w:t xml:space="preserve">Separate company version and SCC version</w:t>
      </w:r>
    </w:p>
    <w:p>
      <w:pPr>
        <w:spacing w:after="60" w:before="200"/>
      </w:pPr>
      <w:r>
        <w:rPr>
          <w:rFonts w:ascii="Arial" w:cs="Arial" w:eastAsia="Arial" w:hAnsi="Arial"/>
          <w:b/>
          <w:bCs/>
          <w:color w:val="212121"/>
          <w:sz w:val="22"/>
          <w:szCs w:val="22"/>
        </w:rPr>
        <w:t xml:space="preserve">Dependency</w:t>
      </w:r>
    </w:p>
    <w:p>
      <w:pPr>
        <w:pStyle w:val="ListParagraph"/>
        <w:numPr>
          <w:ilvl w:val="0"/>
          <w:numId w:val="2"/>
        </w:numPr>
        <w:spacing w:after="40" w:before="40"/>
      </w:pPr>
      <w:r>
        <w:rPr>
          <w:rFonts w:ascii="Arial" w:cs="Arial" w:eastAsia="Arial" w:hAnsi="Arial"/>
          <w:b w:val="false"/>
          <w:bCs w:val="false"/>
          <w:sz w:val="20"/>
          <w:szCs w:val="20"/>
        </w:rPr>
        <w:t xml:space="preserve">Requires Evidence Vault v2 (Feature B) — document analysis must run before pack generation</w:t>
      </w:r>
    </w:p>
    <w:p>
      <w:pPr>
        <w:pStyle w:val="ListParagraph"/>
        <w:numPr>
          <w:ilvl w:val="0"/>
          <w:numId w:val="2"/>
        </w:numPr>
        <w:spacing w:after="40" w:before="40"/>
      </w:pPr>
      <w:r>
        <w:rPr>
          <w:rFonts w:ascii="Arial" w:cs="Arial" w:eastAsia="Arial" w:hAnsi="Arial"/>
          <w:b w:val="false"/>
          <w:bCs w:val="false"/>
          <w:sz w:val="20"/>
          <w:szCs w:val="20"/>
        </w:rPr>
        <w:t xml:space="preserve">Requires SharePoint MCP connector for document access OR Supabase route (already in place for Evidence Vault v1)</w:t>
      </w:r>
    </w:p>
    <w:p>
      <w:pPr>
        <w:spacing w:after="0" w:before="100"/>
      </w:pPr>
    </w:p>
    <w:p>
      <w:pPr>
        <w:pStyle w:val="Heading2"/>
        <w:spacing w:after="80" w:before="280"/>
      </w:pPr>
      <w:r>
        <w:rPr>
          <w:rFonts w:ascii="Arial" w:cs="Arial" w:eastAsia="Arial" w:hAnsi="Arial"/>
          <w:b/>
          <w:bCs/>
          <w:color w:val="212121"/>
          <w:sz w:val="26"/>
          <w:szCs w:val="26"/>
        </w:rPr>
        <w:t xml:space="preserve">Feature D — Skills &amp; SQEP Gap Diagnostic</w:t>
      </w:r>
    </w:p>
    <w:p>
      <w:pPr>
        <w:spacing w:after="100" w:before="60"/>
      </w:pPr>
      <w:r>
        <w:rPr>
          <w:rFonts w:ascii="Arial" w:cs="Arial" w:eastAsia="Arial" w:hAnsi="Arial"/>
          <w:color w:val="212121"/>
          <w:sz w:val="20"/>
          <w:szCs w:val="20"/>
        </w:rPr>
        <w:t xml:space="preserve">SQEP (Suitably Qualified and Experienced Personnel) is one of the most commonly failed criteria at OSV. Companies either cannot evidence what their people know or have not identified gaps in their team against their actual work scope.</w:t>
      </w:r>
    </w:p>
    <w:p>
      <w:pPr>
        <w:spacing w:after="60" w:before="200"/>
      </w:pPr>
      <w:r>
        <w:rPr>
          <w:rFonts w:ascii="Arial" w:cs="Arial" w:eastAsia="Arial" w:hAnsi="Arial"/>
          <w:b/>
          <w:bCs/>
          <w:color w:val="212121"/>
          <w:sz w:val="22"/>
          <w:szCs w:val="22"/>
        </w:rPr>
        <w:t xml:space="preserve">How It Works</w:t>
      </w:r>
    </w:p>
    <w:p>
      <w:pPr>
        <w:pStyle w:val="ListParagraph"/>
        <w:numPr>
          <w:ilvl w:val="0"/>
          <w:numId w:val="2"/>
        </w:numPr>
        <w:spacing w:after="40" w:before="40"/>
      </w:pPr>
      <w:r>
        <w:rPr>
          <w:rFonts w:ascii="Arial" w:cs="Arial" w:eastAsia="Arial" w:hAnsi="Arial"/>
          <w:b w:val="false"/>
          <w:bCs w:val="false"/>
          <w:sz w:val="20"/>
          <w:szCs w:val="20"/>
        </w:rPr>
        <w:t xml:space="preserve">Scope intake: what do you make or do, which nuclear sites/primes do you supply, what processes do you perform (welding, NDT, machining, design, etc.)</w:t>
      </w:r>
    </w:p>
    <w:p>
      <w:pPr>
        <w:pStyle w:val="ListParagraph"/>
        <w:numPr>
          <w:ilvl w:val="0"/>
          <w:numId w:val="2"/>
        </w:numPr>
        <w:spacing w:after="40" w:before="40"/>
      </w:pPr>
      <w:r>
        <w:rPr>
          <w:rFonts w:ascii="Arial" w:cs="Arial" w:eastAsia="Arial" w:hAnsi="Arial"/>
          <w:b w:val="false"/>
          <w:bCs w:val="false"/>
          <w:sz w:val="20"/>
          <w:szCs w:val="20"/>
        </w:rPr>
        <w:t xml:space="preserve">Frankie maps stated scope against SQEP requirements in F4N KB — which roles need SQEP evidence, what competency levels, what evidence formats are acceptable</w:t>
      </w:r>
    </w:p>
    <w:p>
      <w:pPr>
        <w:pStyle w:val="ListParagraph"/>
        <w:numPr>
          <w:ilvl w:val="0"/>
          <w:numId w:val="2"/>
        </w:numPr>
        <w:spacing w:after="40" w:before="40"/>
      </w:pPr>
      <w:r>
        <w:rPr>
          <w:rFonts w:ascii="Arial" w:cs="Arial" w:eastAsia="Arial" w:hAnsi="Arial"/>
          <w:b w:val="false"/>
          <w:bCs w:val="false"/>
          <w:sz w:val="20"/>
          <w:szCs w:val="20"/>
        </w:rPr>
        <w:t xml:space="preserve">For each required role: assessment of qualifications, experience, evidence. Gaps categorised: evidence gap / competency gap / resource gap</w:t>
      </w:r>
    </w:p>
    <w:p>
      <w:pPr>
        <w:pStyle w:val="ListParagraph"/>
        <w:numPr>
          <w:ilvl w:val="0"/>
          <w:numId w:val="2"/>
        </w:numPr>
        <w:spacing w:after="40" w:before="40"/>
      </w:pPr>
      <w:r>
        <w:rPr>
          <w:rFonts w:ascii="Arial" w:cs="Arial" w:eastAsia="Arial" w:hAnsi="Arial"/>
          <w:b w:val="false"/>
          <w:bCs w:val="false"/>
          <w:sz w:val="20"/>
          <w:szCs w:val="20"/>
        </w:rPr>
        <w:t xml:space="preserve">Links directly to Guided Document Vault SQEP Matrix template where gap is an evidence gap</w:t>
      </w:r>
    </w:p>
    <w:p>
      <w:pPr>
        <w:pStyle w:val="ListParagraph"/>
        <w:numPr>
          <w:ilvl w:val="0"/>
          <w:numId w:val="2"/>
        </w:numPr>
        <w:spacing w:after="40" w:before="40"/>
      </w:pPr>
      <w:r>
        <w:rPr>
          <w:rFonts w:ascii="Arial" w:cs="Arial" w:eastAsia="Arial" w:hAnsi="Arial"/>
          <w:b w:val="false"/>
          <w:bCs w:val="false"/>
          <w:sz w:val="20"/>
          <w:szCs w:val="20"/>
        </w:rPr>
        <w:t xml:space="preserve">Resource gap: nuclear-specific signposting (NSG, apprenticeship frameworks, NSSG job board, NuCCoL member companies with that capability)</w:t>
      </w:r>
    </w:p>
    <w:p>
      <w:pPr>
        <w:spacing w:after="0" w:before="100"/>
      </w:pPr>
    </w:p>
    <w:p>
      <w:pPr>
        <w:pStyle w:val="Heading2"/>
        <w:spacing w:after="80" w:before="280"/>
      </w:pPr>
      <w:r>
        <w:rPr>
          <w:rFonts w:ascii="Arial" w:cs="Arial" w:eastAsia="Arial" w:hAnsi="Arial"/>
          <w:b/>
          <w:bCs/>
          <w:color w:val="212121"/>
          <w:sz w:val="26"/>
          <w:szCs w:val="26"/>
        </w:rPr>
        <w:t xml:space="preserve">Feature E — Compliance Training Quizzes</w:t>
      </w:r>
    </w:p>
    <w:p>
      <w:pPr>
        <w:spacing w:after="100" w:before="60"/>
      </w:pPr>
      <w:r>
        <w:rPr>
          <w:rFonts w:ascii="Arial" w:cs="Arial" w:eastAsia="Arial" w:hAnsi="Arial"/>
          <w:color w:val="212121"/>
          <w:sz w:val="20"/>
          <w:szCs w:val="20"/>
        </w:rPr>
        <w:t xml:space="preserve">Companies in the nuclear supply chain have compliance obligations beyond F4N — export control, Modern Slavery, Cyber Essentials, GDPR. Training is inconsistent and almost never evidenced. Completing a Frankie module is a scoring asset.</w:t>
      </w:r>
    </w:p>
    <w:p>
      <w:pPr>
        <w:spacing w:after="60" w:before="200"/>
      </w:pPr>
      <w:r>
        <w:rPr>
          <w:rFonts w:ascii="Arial" w:cs="Arial" w:eastAsia="Arial" w:hAnsi="Arial"/>
          <w:b/>
          <w:bCs/>
          <w:color w:val="212121"/>
          <w:sz w:val="22"/>
          <w:szCs w:val="22"/>
        </w:rPr>
        <w:t xml:space="preserve">Phase 1 Modules</w:t>
      </w:r>
    </w:p>
    <w:p>
      <w:pPr>
        <w:pStyle w:val="ListParagraph"/>
        <w:numPr>
          <w:ilvl w:val="0"/>
          <w:numId w:val="2"/>
        </w:numPr>
        <w:spacing w:after="40" w:before="40"/>
      </w:pPr>
      <w:r>
        <w:rPr>
          <w:rFonts w:ascii="Arial" w:cs="Arial" w:eastAsia="Arial" w:hAnsi="Arial"/>
          <w:b w:val="false"/>
          <w:bCs w:val="false"/>
          <w:sz w:val="20"/>
          <w:szCs w:val="20"/>
        </w:rPr>
        <w:t xml:space="preserve">Export Control &amp; ITAR awareness</w:t>
      </w:r>
    </w:p>
    <w:p>
      <w:pPr>
        <w:pStyle w:val="ListParagraph"/>
        <w:numPr>
          <w:ilvl w:val="0"/>
          <w:numId w:val="2"/>
        </w:numPr>
        <w:spacing w:after="40" w:before="40"/>
      </w:pPr>
      <w:r>
        <w:rPr>
          <w:rFonts w:ascii="Arial" w:cs="Arial" w:eastAsia="Arial" w:hAnsi="Arial"/>
          <w:b w:val="false"/>
          <w:bCs w:val="false"/>
          <w:sz w:val="20"/>
          <w:szCs w:val="20"/>
        </w:rPr>
        <w:t xml:space="preserve">Modern Slavery Act obligations for supply chain</w:t>
      </w:r>
    </w:p>
    <w:p>
      <w:pPr>
        <w:pStyle w:val="ListParagraph"/>
        <w:numPr>
          <w:ilvl w:val="0"/>
          <w:numId w:val="2"/>
        </w:numPr>
        <w:spacing w:after="40" w:before="40"/>
      </w:pPr>
      <w:r>
        <w:rPr>
          <w:rFonts w:ascii="Arial" w:cs="Arial" w:eastAsia="Arial" w:hAnsi="Arial"/>
          <w:b w:val="false"/>
          <w:bCs w:val="false"/>
          <w:sz w:val="20"/>
          <w:szCs w:val="20"/>
        </w:rPr>
        <w:t xml:space="preserve">Cyber Essentials — what it covers and what nuclear suppliers need</w:t>
      </w:r>
    </w:p>
    <w:p>
      <w:pPr>
        <w:pStyle w:val="ListParagraph"/>
        <w:numPr>
          <w:ilvl w:val="0"/>
          <w:numId w:val="2"/>
        </w:numPr>
        <w:spacing w:after="40" w:before="40"/>
      </w:pPr>
      <w:r>
        <w:rPr>
          <w:rFonts w:ascii="Arial" w:cs="Arial" w:eastAsia="Arial" w:hAnsi="Arial"/>
          <w:b w:val="false"/>
          <w:bCs w:val="false"/>
          <w:sz w:val="20"/>
          <w:szCs w:val="20"/>
        </w:rPr>
        <w:t xml:space="preserve">GDPR for supplier data handling</w:t>
      </w:r>
    </w:p>
    <w:p>
      <w:pPr>
        <w:spacing w:after="60" w:before="200"/>
      </w:pPr>
      <w:r>
        <w:rPr>
          <w:rFonts w:ascii="Arial" w:cs="Arial" w:eastAsia="Arial" w:hAnsi="Arial"/>
          <w:b/>
          <w:bCs/>
          <w:color w:val="212121"/>
          <w:sz w:val="22"/>
          <w:szCs w:val="22"/>
        </w:rPr>
        <w:t xml:space="preserve">How It Works</w:t>
      </w:r>
    </w:p>
    <w:p>
      <w:pPr>
        <w:pStyle w:val="ListParagraph"/>
        <w:numPr>
          <w:ilvl w:val="0"/>
          <w:numId w:val="2"/>
        </w:numPr>
        <w:spacing w:after="40" w:before="40"/>
      </w:pPr>
      <w:r>
        <w:rPr>
          <w:rFonts w:ascii="Arial" w:cs="Arial" w:eastAsia="Arial" w:hAnsi="Arial"/>
          <w:b w:val="false"/>
          <w:bCs w:val="false"/>
          <w:sz w:val="20"/>
          <w:szCs w:val="20"/>
        </w:rPr>
        <w:t xml:space="preserve">Scenario-based: Frankie presents a realistic situation, asks what user would do, assesses answer, explains correct approach with citations</w:t>
      </w:r>
    </w:p>
    <w:p>
      <w:pPr>
        <w:pStyle w:val="ListParagraph"/>
        <w:numPr>
          <w:ilvl w:val="0"/>
          <w:numId w:val="2"/>
        </w:numPr>
        <w:spacing w:after="40" w:before="40"/>
      </w:pPr>
      <w:r>
        <w:rPr>
          <w:rFonts w:ascii="Arial" w:cs="Arial" w:eastAsia="Arial" w:hAnsi="Arial"/>
          <w:b w:val="false"/>
          <w:bCs w:val="false"/>
          <w:sz w:val="20"/>
          <w:szCs w:val="20"/>
        </w:rPr>
        <w:t xml:space="preserve">5–8 scenarios per module, escalating complexity. Final scenario always composite.</w:t>
      </w:r>
    </w:p>
    <w:p>
      <w:pPr>
        <w:pStyle w:val="ListParagraph"/>
        <w:numPr>
          <w:ilvl w:val="0"/>
          <w:numId w:val="2"/>
        </w:numPr>
        <w:spacing w:after="40" w:before="40"/>
      </w:pPr>
      <w:r>
        <w:rPr>
          <w:rFonts w:ascii="Arial" w:cs="Arial" w:eastAsia="Arial" w:hAnsi="Arial"/>
          <w:b w:val="false"/>
          <w:bCs w:val="false"/>
          <w:sz w:val="20"/>
          <w:szCs w:val="20"/>
        </w:rPr>
        <w:t xml:space="preserve">Pass threshold: 80% on first or second attempt. Frankie explains every answer whether right or wrong.</w:t>
      </w:r>
    </w:p>
    <w:p>
      <w:pPr>
        <w:pStyle w:val="ListParagraph"/>
        <w:numPr>
          <w:ilvl w:val="0"/>
          <w:numId w:val="2"/>
        </w:numPr>
        <w:spacing w:after="40" w:before="40"/>
      </w:pPr>
      <w:r>
        <w:rPr>
          <w:rFonts w:ascii="Arial" w:cs="Arial" w:eastAsia="Arial" w:hAnsi="Arial"/>
          <w:b w:val="false"/>
          <w:bCs w:val="false"/>
          <w:sz w:val="20"/>
          <w:szCs w:val="20"/>
        </w:rPr>
        <w:t xml:space="preserve">Completions logged: module name, staff member, date, score, pass/fail. SCC can view. Export as training register.</w:t>
      </w:r>
    </w:p>
    <w:p>
      <w:pPr>
        <w:pStyle w:val="ListParagraph"/>
        <w:numPr>
          <w:ilvl w:val="0"/>
          <w:numId w:val="2"/>
        </w:numPr>
        <w:spacing w:after="40" w:before="40"/>
      </w:pPr>
      <w:r>
        <w:rPr>
          <w:rFonts w:ascii="Arial" w:cs="Arial" w:eastAsia="Arial" w:hAnsi="Arial"/>
          <w:b w:val="false"/>
          <w:bCs w:val="false"/>
          <w:sz w:val="20"/>
          <w:szCs w:val="20"/>
        </w:rPr>
        <w:t xml:space="preserve">Source material from official sources only: ECJU, NCSC, ICO, Home Office, IAEA. KB maintained separately so it can be updated independently.</w:t>
      </w:r>
    </w:p>
    <w:p>
      <w:pPr>
        <w:spacing w:after="0" w:before="100"/>
      </w:pPr>
    </w:p>
    <w:p>
      <w:pPr>
        <w:pStyle w:val="Heading2"/>
        <w:spacing w:after="80" w:before="280"/>
      </w:pPr>
      <w:r>
        <w:rPr>
          <w:rFonts w:ascii="Arial" w:cs="Arial" w:eastAsia="Arial" w:hAnsi="Arial"/>
          <w:b/>
          <w:bCs/>
          <w:color w:val="212121"/>
          <w:sz w:val="26"/>
          <w:szCs w:val="26"/>
        </w:rPr>
        <w:t xml:space="preserve">Feature F — Document Upload &amp; Review</w:t>
      </w:r>
    </w:p>
    <w:p>
      <w:pPr>
        <w:spacing w:after="100" w:before="60"/>
      </w:pPr>
      <w:r>
        <w:rPr>
          <w:rFonts w:ascii="Arial" w:cs="Arial" w:eastAsia="Arial" w:hAnsi="Arial"/>
          <w:color w:val="212121"/>
          <w:sz w:val="20"/>
          <w:szCs w:val="20"/>
        </w:rPr>
        <w:t xml:space="preserve">Companies are already uploading documents to AI tools (Copilot, ChatGPT) and getting confident but wrong feedback — because those tools have never seen an F4N scoring sheet. This feature replaces that broken workflow with review grounded in verified F4N criteria.</w:t>
      </w:r>
    </w:p>
    <w:p>
      <w:pPr>
        <w:spacing w:after="60" w:before="200"/>
      </w:pPr>
      <w:r>
        <w:rPr>
          <w:rFonts w:ascii="Arial" w:cs="Arial" w:eastAsia="Arial" w:hAnsi="Arial"/>
          <w:b/>
          <w:bCs/>
          <w:color w:val="212121"/>
          <w:sz w:val="22"/>
          <w:szCs w:val="22"/>
        </w:rPr>
        <w:t xml:space="preserve">The Ownership Principle</w:t>
      </w:r>
    </w:p>
    <w:p>
      <w:pPr>
        <w:spacing w:after="100" w:before="60"/>
      </w:pPr>
      <w:r>
        <w:rPr>
          <w:rFonts w:ascii="Arial" w:cs="Arial" w:eastAsia="Arial" w:hAnsi="Arial"/>
          <w:color w:val="212121"/>
          <w:sz w:val="20"/>
          <w:szCs w:val="20"/>
        </w:rPr>
        <w:t xml:space="preserve">Frankie never rewrites the document for the company. It tells them what is missing, why it matters, and what questions they need to answer in their own words. They write. Frankie reviews. They improve. Frankie reviews again. That iterative loop is the product. An SCC can tell within ten minutes whether a quality manual was lived in or written for the audit.</w:t>
      </w:r>
    </w:p>
    <w:p>
      <w:pPr>
        <w:spacing w:after="60" w:before="200"/>
      </w:pPr>
      <w:r>
        <w:rPr>
          <w:rFonts w:ascii="Arial" w:cs="Arial" w:eastAsia="Arial" w:hAnsi="Arial"/>
          <w:b/>
          <w:bCs/>
          <w:color w:val="212121"/>
          <w:sz w:val="22"/>
          <w:szCs w:val="22"/>
        </w:rPr>
        <w:t xml:space="preserve">Review Flow</w:t>
      </w:r>
    </w:p>
    <w:p>
      <w:pPr>
        <w:pStyle w:val="ListParagraph"/>
        <w:numPr>
          <w:ilvl w:val="0"/>
          <w:numId w:val="3"/>
        </w:numPr>
        <w:spacing w:after="40" w:before="40"/>
      </w:pPr>
      <w:r>
        <w:rPr>
          <w:rFonts w:ascii="Arial" w:cs="Arial" w:eastAsia="Arial" w:hAnsi="Arial"/>
          <w:sz w:val="20"/>
          <w:szCs w:val="20"/>
        </w:rPr>
        <w:t xml:space="preserve">Company uploads document — Frankie reads, identifies document type, confirms</w:t>
      </w:r>
    </w:p>
    <w:p>
      <w:pPr>
        <w:pStyle w:val="ListParagraph"/>
        <w:numPr>
          <w:ilvl w:val="0"/>
          <w:numId w:val="3"/>
        </w:numPr>
        <w:spacing w:after="40" w:before="40"/>
      </w:pPr>
      <w:r>
        <w:rPr>
          <w:rFonts w:ascii="Arial" w:cs="Arial" w:eastAsia="Arial" w:hAnsi="Arial"/>
          <w:sz w:val="20"/>
          <w:szCs w:val="20"/>
        </w:rPr>
        <w:t xml:space="preserve">Full review produced — section by section, estimated score, specific gaps, hard questions that expose whether the document reflects real processes</w:t>
      </w:r>
    </w:p>
    <w:p>
      <w:pPr>
        <w:pStyle w:val="ListParagraph"/>
        <w:numPr>
          <w:ilvl w:val="0"/>
          <w:numId w:val="3"/>
        </w:numPr>
        <w:spacing w:after="40" w:before="40"/>
      </w:pPr>
      <w:r>
        <w:rPr>
          <w:rFonts w:ascii="Arial" w:cs="Arial" w:eastAsia="Arial" w:hAnsi="Arial"/>
          <w:sz w:val="20"/>
          <w:szCs w:val="20"/>
        </w:rPr>
        <w:t xml:space="preserve">Company takes document away, makes improvements in their own words</w:t>
      </w:r>
    </w:p>
    <w:p>
      <w:pPr>
        <w:pStyle w:val="ListParagraph"/>
        <w:numPr>
          <w:ilvl w:val="0"/>
          <w:numId w:val="3"/>
        </w:numPr>
        <w:spacing w:after="40" w:before="40"/>
      </w:pPr>
      <w:r>
        <w:rPr>
          <w:rFonts w:ascii="Arial" w:cs="Arial" w:eastAsia="Arial" w:hAnsi="Arial"/>
          <w:sz w:val="20"/>
          <w:szCs w:val="20"/>
        </w:rPr>
        <w:t xml:space="preserve">Company re-uploads — Frankie reviews again, shows what changed, what improved, what still needs work</w:t>
      </w:r>
    </w:p>
    <w:p>
      <w:pPr>
        <w:pStyle w:val="ListParagraph"/>
        <w:numPr>
          <w:ilvl w:val="0"/>
          <w:numId w:val="3"/>
        </w:numPr>
        <w:spacing w:after="40" w:before="40"/>
      </w:pPr>
      <w:r>
        <w:rPr>
          <w:rFonts w:ascii="Arial" w:cs="Arial" w:eastAsia="Arial" w:hAnsi="Arial"/>
          <w:sz w:val="20"/>
          <w:szCs w:val="20"/>
        </w:rPr>
        <w:t xml:space="preserve">Loop repeats. Final version saved with version history.</w:t>
      </w:r>
    </w:p>
    <w:p>
      <w:pPr>
        <w:spacing w:after="60" w:before="200"/>
      </w:pPr>
      <w:r>
        <w:rPr>
          <w:rFonts w:ascii="Arial" w:cs="Arial" w:eastAsia="Arial" w:hAnsi="Arial"/>
          <w:b/>
          <w:bCs/>
          <w:color w:val="212121"/>
          <w:sz w:val="22"/>
          <w:szCs w:val="22"/>
        </w:rPr>
        <w:t xml:space="preserve">SCC Pre-Read</w:t>
      </w:r>
    </w:p>
    <w:p>
      <w:pPr>
        <w:pStyle w:val="ListParagraph"/>
        <w:numPr>
          <w:ilvl w:val="0"/>
          <w:numId w:val="2"/>
        </w:numPr>
        <w:spacing w:after="40" w:before="40"/>
      </w:pPr>
      <w:r>
        <w:rPr>
          <w:rFonts w:ascii="Arial" w:cs="Arial" w:eastAsia="Arial" w:hAnsi="Arial"/>
          <w:b w:val="false"/>
          <w:bCs w:val="false"/>
          <w:sz w:val="20"/>
          <w:szCs w:val="20"/>
        </w:rPr>
        <w:t xml:space="preserve">SCC can access pre-read summary of all documents a company has uploaded and reviewed before any meeting</w:t>
      </w:r>
    </w:p>
    <w:p>
      <w:pPr>
        <w:pStyle w:val="ListParagraph"/>
        <w:numPr>
          <w:ilvl w:val="0"/>
          <w:numId w:val="2"/>
        </w:numPr>
        <w:spacing w:after="40" w:before="40"/>
      </w:pPr>
      <w:r>
        <w:rPr>
          <w:rFonts w:ascii="Arial" w:cs="Arial" w:eastAsia="Arial" w:hAnsi="Arial"/>
          <w:b w:val="false"/>
          <w:bCs w:val="false"/>
          <w:sz w:val="20"/>
          <w:szCs w:val="20"/>
        </w:rPr>
        <w:t xml:space="preserve">Includes: document type, current version, estimated score per section, key gaps, review history</w:t>
      </w:r>
    </w:p>
    <w:p>
      <w:pPr>
        <w:pStyle w:val="ListParagraph"/>
        <w:numPr>
          <w:ilvl w:val="0"/>
          <w:numId w:val="2"/>
        </w:numPr>
        <w:spacing w:after="40" w:before="40"/>
      </w:pPr>
      <w:r>
        <w:rPr>
          <w:rFonts w:ascii="Arial" w:cs="Arial" w:eastAsia="Arial" w:hAnsi="Arial"/>
          <w:b w:val="false"/>
          <w:bCs w:val="false"/>
          <w:sz w:val="20"/>
          <w:szCs w:val="20"/>
        </w:rPr>
        <w:t xml:space="preserve">A company that has been through multiple review cycles is immediately distinguishable from one that uploaded five minutes before the meeting</w:t>
      </w:r>
    </w:p>
    <w:p>
      <w:pPr>
        <w:pBdr>
          <w:bottom w:val="single" w:color="1B5E20" w:sz="4" w:space="1"/>
        </w:pBdr>
        <w:spacing w:after="160" w:before="160"/>
      </w:pPr>
    </w:p>
    <w:p>
      <w:r>
        <w:br w:type="page"/>
      </w:r>
    </w:p>
    <w:p>
      <w:pPr>
        <w:pStyle w:val="Heading1"/>
        <w:spacing w:after="120" w:before="360"/>
      </w:pPr>
      <w:r>
        <w:rPr>
          <w:rFonts w:ascii="Arial" w:cs="Arial" w:eastAsia="Arial" w:hAnsi="Arial"/>
          <w:b/>
          <w:bCs/>
          <w:color w:val="1B5E20"/>
          <w:sz w:val="36"/>
          <w:szCs w:val="36"/>
        </w:rPr>
        <w:t xml:space="preserve">11. The Vision — Frankie at Full Scale</w:t>
      </w:r>
    </w:p>
    <w:p>
      <w:pPr>
        <w:pStyle w:val="Heading2"/>
        <w:spacing w:after="80" w:before="280"/>
      </w:pPr>
      <w:r>
        <w:rPr>
          <w:rFonts w:ascii="Arial" w:cs="Arial" w:eastAsia="Arial" w:hAnsi="Arial"/>
          <w:b/>
          <w:bCs/>
          <w:color w:val="212121"/>
          <w:sz w:val="26"/>
          <w:szCs w:val="26"/>
        </w:rPr>
        <w:t xml:space="preserve">Three-Stage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rPr>
          <w:tblHeader/>
        </w:trPr>
        <w:tc>
          <w:tcPr>
            <w:tcW w:type="dxa" w:w="12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Stage</w:t>
            </w:r>
          </w:p>
        </w:tc>
        <w:tc>
          <w:tcPr>
            <w:tcW w:type="dxa" w:w="26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55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What It Covers</w:t>
            </w:r>
          </w:p>
        </w:tc>
      </w:tr>
      <w:tr>
        <w:tc>
          <w:tcPr>
            <w:tcW w:type="dxa" w:w="1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B5E20"/>
                <w:sz w:val="18"/>
                <w:szCs w:val="18"/>
              </w:rPr>
              <w:t xml:space="preserve">Stage 1</w:t>
            </w:r>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bCs/>
                <w:sz w:val="18"/>
                <w:szCs w:val="18"/>
              </w:rPr>
              <w:t xml:space="preserve">F4N Intelligence</w:t>
            </w:r>
          </w:p>
        </w:tc>
        <w:tc>
          <w:tcPr>
            <w:tcW w:type="dxa" w:w="55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18"/>
                <w:szCs w:val="18"/>
              </w:rPr>
              <w:t xml:space="preserve">Assessment readiness, evidence, diagnostics, practical Tool Kit tools. THIS BLUEPRINT. Proves the model.</w:t>
            </w:r>
          </w:p>
        </w:tc>
      </w:tr>
      <w:tr>
        <w:tc>
          <w:tcPr>
            <w:tcW w:type="dxa" w:w="1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B5E20"/>
                <w:sz w:val="18"/>
                <w:szCs w:val="18"/>
              </w:rPr>
              <w:t xml:space="preserve">Stage 2</w:t>
            </w:r>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bCs/>
                <w:sz w:val="18"/>
                <w:szCs w:val="18"/>
              </w:rPr>
              <w:t xml:space="preserve">Supply Chain Intelligence</w:t>
            </w:r>
          </w:p>
        </w:tc>
        <w:tc>
          <w:tcPr>
            <w:tcW w:type="dxa" w:w="55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18"/>
                <w:szCs w:val="18"/>
              </w:rPr>
              <w:t xml:space="preserve">Tender matching, SCRL integration, demand forecasting, plant data. Frankie becomes the intelligence layer for buyers and SCCs as well as suppliers.</w:t>
            </w:r>
          </w:p>
        </w:tc>
      </w:tr>
      <w:tr>
        <w:tc>
          <w:tcPr>
            <w:tcW w:type="dxa" w:w="1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B5E20"/>
                <w:sz w:val="18"/>
                <w:szCs w:val="18"/>
              </w:rPr>
              <w:t xml:space="preserve">Stage 3</w:t>
            </w:r>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bCs/>
                <w:sz w:val="18"/>
                <w:szCs w:val="18"/>
              </w:rPr>
              <w:t xml:space="preserve">Sector Platform</w:t>
            </w:r>
          </w:p>
        </w:tc>
        <w:tc>
          <w:tcPr>
            <w:tcW w:type="dxa" w:w="55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18"/>
                <w:szCs w:val="18"/>
              </w:rPr>
              <w:t xml:space="preserve">Buyer-facing tools, benchmark data, accreditation tracking, cross-company insight. NuCCoL becomes the trusted AI interface for the entire UK nuclear supply chain ecosystem.</w:t>
            </w:r>
          </w:p>
        </w:tc>
      </w:tr>
    </w:tbl>
    <w:p>
      <w:pPr>
        <w:spacing w:after="0" w:before="100"/>
      </w:pPr>
    </w:p>
    <w:p>
      <w:pPr>
        <w:pStyle w:val="Heading2"/>
        <w:spacing w:after="80" w:before="280"/>
      </w:pPr>
      <w:r>
        <w:rPr>
          <w:rFonts w:ascii="Arial" w:cs="Arial" w:eastAsia="Arial" w:hAnsi="Arial"/>
          <w:b/>
          <w:bCs/>
          <w:color w:val="212121"/>
          <w:sz w:val="26"/>
          <w:szCs w:val="26"/>
        </w:rPr>
        <w:t xml:space="preserve">The Proprietary Data Moat</w:t>
      </w:r>
    </w:p>
    <w:p>
      <w:pPr>
        <w:spacing w:after="100" w:before="60"/>
      </w:pPr>
      <w:r>
        <w:rPr>
          <w:rFonts w:ascii="Arial" w:cs="Arial" w:eastAsia="Arial" w:hAnsi="Arial"/>
          <w:color w:val="212121"/>
          <w:sz w:val="20"/>
          <w:szCs w:val="20"/>
        </w:rPr>
        <w:t xml:space="preserve">At full scale, NuCCoL holds data nobody else can replicate. This is what makes Frankie different from any generic AI search tool.</w:t>
      </w:r>
    </w:p>
    <w:p>
      <w:pPr>
        <w:pStyle w:val="ListParagraph"/>
        <w:numPr>
          <w:ilvl w:val="0"/>
          <w:numId w:val="2"/>
        </w:numPr>
        <w:spacing w:after="40" w:before="40"/>
      </w:pPr>
      <w:r>
        <w:rPr>
          <w:rFonts w:ascii="Arial" w:cs="Arial" w:eastAsia="Arial" w:hAnsi="Arial"/>
          <w:b w:val="false"/>
          <w:bCs w:val="false"/>
          <w:sz w:val="20"/>
          <w:szCs w:val="20"/>
        </w:rPr>
        <w:t xml:space="preserve">F4N KB — 25,083 chunks of programme documentation (frankie6_kb.json), scoring criteria, OSV guidance, worked examples</w:t>
      </w:r>
    </w:p>
    <w:p>
      <w:pPr>
        <w:pStyle w:val="ListParagraph"/>
        <w:numPr>
          <w:ilvl w:val="0"/>
          <w:numId w:val="2"/>
        </w:numPr>
        <w:spacing w:after="40" w:before="40"/>
      </w:pPr>
      <w:r>
        <w:rPr>
          <w:rFonts w:ascii="Arial" w:cs="Arial" w:eastAsia="Arial" w:hAnsi="Arial"/>
          <w:b w:val="false"/>
          <w:bCs w:val="false"/>
          <w:sz w:val="20"/>
          <w:szCs w:val="20"/>
        </w:rPr>
        <w:t xml:space="preserve">NuCCoL Tool Kit — 758 chunks of verified operational guidance across QHSE, Process, People, Strategy</w:t>
      </w:r>
    </w:p>
    <w:p>
      <w:pPr>
        <w:pStyle w:val="ListParagraph"/>
        <w:numPr>
          <w:ilvl w:val="0"/>
          <w:numId w:val="2"/>
        </w:numPr>
        <w:spacing w:after="40" w:before="40"/>
      </w:pPr>
      <w:r>
        <w:rPr>
          <w:rFonts w:ascii="Arial" w:cs="Arial" w:eastAsia="Arial" w:hAnsi="Arial"/>
          <w:b w:val="false"/>
          <w:bCs w:val="false"/>
          <w:sz w:val="20"/>
          <w:szCs w:val="20"/>
        </w:rPr>
        <w:t xml:space="preserve">SCRL database — verified supplier profiles, capabilities, certifications, F4N scores, commodity groups</w:t>
      </w:r>
    </w:p>
    <w:p>
      <w:pPr>
        <w:pStyle w:val="ListParagraph"/>
        <w:numPr>
          <w:ilvl w:val="0"/>
          <w:numId w:val="2"/>
        </w:numPr>
        <w:spacing w:after="40" w:before="40"/>
      </w:pPr>
      <w:r>
        <w:rPr>
          <w:rFonts w:ascii="Arial" w:cs="Arial" w:eastAsia="Arial" w:hAnsi="Arial"/>
          <w:b w:val="false"/>
          <w:bCs w:val="false"/>
          <w:sz w:val="20"/>
          <w:szCs w:val="20"/>
        </w:rPr>
        <w:t xml:space="preserve">SCC assessment history — score trends, common gaps, OSV outcomes by sector and region</w:t>
      </w:r>
    </w:p>
    <w:p>
      <w:pPr>
        <w:pStyle w:val="ListParagraph"/>
        <w:numPr>
          <w:ilvl w:val="0"/>
          <w:numId w:val="2"/>
        </w:numPr>
        <w:spacing w:after="40" w:before="40"/>
      </w:pPr>
      <w:r>
        <w:rPr>
          <w:rFonts w:ascii="Arial" w:cs="Arial" w:eastAsia="Arial" w:hAnsi="Arial"/>
          <w:b w:val="false"/>
          <w:bCs w:val="false"/>
          <w:sz w:val="20"/>
          <w:szCs w:val="20"/>
        </w:rPr>
        <w:t xml:space="preserve">NuCCoL verified templates — SCC-approved documents built to programme standard</w:t>
      </w:r>
    </w:p>
    <w:p>
      <w:pPr>
        <w:pStyle w:val="ListParagraph"/>
        <w:numPr>
          <w:ilvl w:val="0"/>
          <w:numId w:val="2"/>
        </w:numPr>
        <w:spacing w:after="40" w:before="40"/>
      </w:pPr>
      <w:r>
        <w:rPr>
          <w:rFonts w:ascii="Arial" w:cs="Arial" w:eastAsia="Arial" w:hAnsi="Arial"/>
          <w:b w:val="false"/>
          <w:bCs w:val="false"/>
          <w:sz w:val="20"/>
          <w:szCs w:val="20"/>
        </w:rPr>
        <w:t xml:space="preserve">Uploaded company evidence — improvement journeys, version history, document quality quality signals</w:t>
      </w:r>
    </w:p>
    <w:p>
      <w:pPr>
        <w:pStyle w:val="ListParagraph"/>
        <w:numPr>
          <w:ilvl w:val="0"/>
          <w:numId w:val="2"/>
        </w:numPr>
        <w:spacing w:after="40" w:before="40"/>
      </w:pPr>
      <w:r>
        <w:rPr>
          <w:rFonts w:ascii="Arial" w:cs="Arial" w:eastAsia="Arial" w:hAnsi="Arial"/>
          <w:b w:val="false"/>
          <w:bCs w:val="false"/>
          <w:sz w:val="20"/>
          <w:szCs w:val="20"/>
        </w:rPr>
        <w:t xml:space="preserve">Training completion records — staff competency evidence across the supplier base</w:t>
      </w:r>
    </w:p>
    <w:p>
      <w:pPr>
        <w:spacing w:after="0" w:before="100"/>
      </w:pPr>
    </w:p>
    <w:p>
      <w:pPr>
        <w:pStyle w:val="Heading2"/>
        <w:spacing w:after="80" w:before="280"/>
      </w:pPr>
      <w:r>
        <w:rPr>
          <w:rFonts w:ascii="Arial" w:cs="Arial" w:eastAsia="Arial" w:hAnsi="Arial"/>
          <w:b/>
          <w:bCs/>
          <w:color w:val="212121"/>
          <w:sz w:val="26"/>
          <w:szCs w:val="26"/>
        </w:rPr>
        <w:t xml:space="preserve">Founding Principle</w:t>
      </w:r>
    </w:p>
    <w:p>
      <w:pPr>
        <w:spacing w:after="100" w:before="60"/>
      </w:pPr>
      <w:r>
        <w:rPr>
          <w:rFonts w:ascii="Arial" w:cs="Arial" w:eastAsia="Arial" w:hAnsi="Arial"/>
          <w:color w:val="212121"/>
          <w:sz w:val="20"/>
          <w:szCs w:val="20"/>
        </w:rPr>
        <w:t xml:space="preserve">Companies are already using AI to understand F4N. They are asking Copilot, ChatGPT, and generic AI tools questions about nuclear supply chain compliance and getting plausible-sounding answers that have no grounding in actual programme requirements. They do not know the answers are wrong.</w:t>
      </w:r>
    </w:p>
    <w:p>
      <w:pPr>
        <w:spacing w:after="100" w:before="60"/>
      </w:pPr>
      <w:r>
        <w:rPr>
          <w:rFonts w:ascii="Arial" w:cs="Arial" w:eastAsia="Arial" w:hAnsi="Arial"/>
          <w:color w:val="212121"/>
          <w:sz w:val="20"/>
          <w:szCs w:val="20"/>
        </w:rPr>
        <w:t xml:space="preserve">Frankie does not solve this by building something new. It gives companies the same AI experience they are already comfortable with — but grounded in verified, programme-specific documentation. Every answer is sourced. Every piece of guidance traces back to real F4N criteria, NuCCoL-verified templates, or official regulatory material.</w:t>
      </w:r>
    </w:p>
    <w:p>
      <w:pPr>
        <w:spacing w:after="100" w:before="60"/>
      </w:pPr>
      <w:r>
        <w:rPr>
          <w:rFonts w:ascii="Arial" w:cs="Arial" w:eastAsia="Arial" w:hAnsi="Arial"/>
          <w:color w:val="212121"/>
          <w:sz w:val="20"/>
          <w:szCs w:val="20"/>
        </w:rPr>
        <w:t xml:space="preserve">We are not making something new. We are giving them a trusted source to use instead.</w:t>
      </w:r>
    </w:p>
    <w:p>
      <w:pPr>
        <w:pBdr>
          <w:bottom w:val="single" w:color="1B5E20" w:sz="4" w:space="1"/>
        </w:pBdr>
        <w:spacing w:after="160" w:before="160"/>
      </w:pPr>
    </w:p>
    <w:p>
      <w:pPr>
        <w:spacing w:after="0" w:before="200"/>
      </w:pPr>
    </w:p>
    <w:p>
      <w:pPr>
        <w:spacing w:after="60" w:before="200"/>
        <w:jc w:val="center"/>
      </w:pPr>
      <w:r>
        <w:rPr>
          <w:rFonts w:ascii="Arial" w:cs="Arial" w:eastAsia="Arial" w:hAnsi="Arial"/>
          <w:color w:val="999999"/>
          <w:sz w:val="18"/>
          <w:szCs w:val="18"/>
        </w:rPr>
        <w:t xml:space="preserve">F.R.A.N.K.I.E. v3  |  Blueprint v9  |  NuCCoL  |  June 2026  |  Confidential</w:t>
      </w:r>
    </w:p>
    <w:p>
      <w:pPr>
        <w:jc w:val="center"/>
      </w:pPr>
      <w:r>
        <w:rPr>
          <w:rFonts w:ascii="Arial" w:cs="Arial" w:eastAsia="Arial" w:hAnsi="Arial"/>
          <w:color w:val="BBBBBB"/>
          <w:sz w:val="16"/>
          <w:szCs w:val="16"/>
        </w:rPr>
        <w:t xml:space="preserve">All F1-F15 complete  |  25,083 KB chunks  |  15 AI-powered tools  |  Cloudflare Worker proxy</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5E20" w:sz="4" w:space="4"/>
      </w:pBdr>
      <w:jc w:val="right"/>
    </w:pPr>
    <w:r>
      <w:rPr>
        <w:rFonts w:ascii="Arial" w:cs="Arial" w:eastAsia="Arial" w:hAnsi="Arial"/>
        <w:color w:val="777777"/>
        <w:sz w:val="16"/>
        <w:szCs w:val="16"/>
      </w:rPr>
      <w:t xml:space="preserve">Page </w:t>
    </w:r>
    <w:r>
      <w:rPr>
        <w:rFonts w:ascii="Arial" w:cs="Arial" w:eastAsia="Arial" w:hAnsi="Arial"/>
        <w:color w:val="777777"/>
        <w:sz w:val="16"/>
        <w:szCs w:val="16"/>
      </w:rPr>
      <w:fldChar w:fldCharType="begin"/>
      <w:instrText xml:space="preserve">PAGE</w:instrText>
      <w:fldChar w:fldCharType="separate"/>
      <w:fldChar w:fldCharType="end"/>
    </w:r>
    <w:r>
      <w:rPr>
        <w:rFonts w:ascii="Arial" w:cs="Arial" w:eastAsia="Arial" w:hAnsi="Arial"/>
        <w:color w:val="777777"/>
        <w:sz w:val="16"/>
        <w:szCs w:val="16"/>
      </w:rPr>
      <w:t xml:space="preserve"> of </w:t>
    </w:r>
    <w:r>
      <w:rPr>
        <w:rFonts w:ascii="Arial" w:cs="Arial" w:eastAsia="Arial" w:hAnsi="Arial"/>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20" w:sz="4" w:space="4"/>
      </w:pBdr>
      <w:tabs>
        <w:tab w:val="right" w:pos="9026"/>
      </w:tabs>
    </w:pPr>
    <w:r>
      <w:rPr>
        <w:rFonts w:ascii="Arial" w:cs="Arial" w:eastAsia="Arial" w:hAnsi="Arial"/>
        <w:color w:val="777777"/>
        <w:sz w:val="16"/>
        <w:szCs w:val="16"/>
      </w:rPr>
      <w:t xml:space="preserve">Frankie  |  F4N Intelligence Platform  |  Blueprint v8</w:t>
    </w:r>
    <w:r>
      <w:rPr>
        <w:rFonts w:ascii="Arial" w:cs="Arial" w:eastAsia="Arial" w:hAnsi="Arial"/>
        <w:color w:val="777777"/>
        <w:sz w:val="16"/>
        <w:szCs w:val="16"/>
      </w:rPr>
      <w:t xml:space="preserve">	NuCCoL  |  June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5E20"/>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1212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2026-06-23T22:11:06.327Z</dcterms:created>
  <dcterms:modified xsi:type="dcterms:W3CDTF">2026-06-23T22:11:06.327Z</dcterms:modified>
</cp:coreProperties>
</file>

<file path=docProps/custom.xml><?xml version="1.0" encoding="utf-8"?>
<Properties xmlns="http://schemas.openxmlformats.org/officeDocument/2006/custom-properties" xmlns:vt="http://schemas.openxmlformats.org/officeDocument/2006/docPropsVTypes"/>
</file>