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pPr>
      <w:r>
        <w:t xml:space="preserve">F.R.A.N.K.I.E.</w:t>
      </w:r>
    </w:p>
    <w:p>
      <w:pPr>
        <w:spacing w:after="40"/>
      </w:pPr>
      <w:r>
        <w:rPr>
          <w:i/>
          <w:iCs/>
          <w:sz w:val="24"/>
          <w:szCs w:val="24"/>
        </w:rPr>
        <w:t xml:space="preserve">Future Readiness And Nuclear Knowledge Intelligence Engine</w:t>
      </w:r>
    </w:p>
    <w:p>
      <w:pPr>
        <w:spacing w:after="240"/>
      </w:pPr>
      <w:r>
        <w:rPr>
          <w:b/>
          <w:bCs/>
          <w:sz w:val="28"/>
          <w:szCs w:val="28"/>
        </w:rPr>
        <w:t>Product Blueprint v19</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1800"/>
        <w:gridCol w:w="7660"/>
      </w:tblGrid>
      <w:tr>
        <w:trPr>
          <w:tblHeader/>
        </w:trPr>
        <w:tc>
          <w:tcPr>
            <w:tcW w:type="dxa" w:w="1800"/>
            <w:shd w:fill="10243A" w:val="clear"/>
            <w:tcMar>
              <w:top w:type="dxa" w:w="80"/>
              <w:left w:type="dxa" w:w="100"/>
              <w:bottom w:type="dxa" w:w="80"/>
              <w:right w:type="dxa" w:w="100"/>
            </w:tcMar>
          </w:tcPr>
          <w:p>
            <w:r>
              <w:rPr>
                <w:b/>
                <w:bCs/>
                <w:color w:val="FFFFFF"/>
                <w:sz w:val="19"/>
                <w:szCs w:val="19"/>
              </w:rPr>
              <w:t xml:space="preserve"/>
            </w:r>
          </w:p>
        </w:tc>
        <w:tc>
          <w:tcPr>
            <w:tcW w:type="dxa" w:w="7660"/>
            <w:shd w:fill="10243A" w:val="clear"/>
            <w:tcMar>
              <w:top w:type="dxa" w:w="80"/>
              <w:left w:type="dxa" w:w="100"/>
              <w:bottom w:type="dxa" w:w="80"/>
              <w:right w:type="dxa" w:w="100"/>
            </w:tcMar>
          </w:tcPr>
          <w:p>
            <w:r>
              <w:rPr>
                <w:b/>
                <w:bCs/>
                <w:color w:val="FFFFFF"/>
                <w:sz w:val="19"/>
                <w:szCs w:val="19"/>
              </w:rPr>
              <w:t xml:space="preserve"/>
            </w:r>
          </w:p>
        </w:tc>
      </w:tr>
      <w:tr>
        <w:tc>
          <w:tcPr>
            <w:tcW w:type="dxa" w:w="1800"/>
            <w:tcMar>
              <w:top w:type="dxa" w:w="80"/>
              <w:left w:type="dxa" w:w="100"/>
              <w:bottom w:type="dxa" w:w="80"/>
              <w:right w:type="dxa" w:w="100"/>
            </w:tcMar>
          </w:tcPr>
          <w:p>
            <w:r>
              <w:rPr>
                <w:b w:val="false"/>
                <w:bCs w:val="false"/>
                <w:sz w:val="19"/>
                <w:szCs w:val="19"/>
              </w:rPr>
              <w:t xml:space="preserve">Issued</w:t>
            </w:r>
          </w:p>
        </w:tc>
        <w:tc>
          <w:tcPr>
            <w:tcW w:type="dxa" w:w="7660"/>
            <w:tcMar>
              <w:top w:type="dxa" w:w="80"/>
              <w:left w:type="dxa" w:w="100"/>
              <w:bottom w:type="dxa" w:w="80"/>
              <w:right w:type="dxa" w:w="100"/>
            </w:tcMar>
          </w:tcPr>
          <w:p>
            <w:r>
              <w:t>15 September 2026</w:t>
            </w:r>
          </w:p>
        </w:tc>
      </w:tr>
      <w:tr>
        <w:tc>
          <w:tcPr>
            <w:tcW w:type="dxa" w:w="1800"/>
            <w:tcMar>
              <w:top w:type="dxa" w:w="80"/>
              <w:left w:type="dxa" w:w="100"/>
              <w:bottom w:type="dxa" w:w="80"/>
              <w:right w:type="dxa" w:w="100"/>
            </w:tcMar>
          </w:tcPr>
          <w:p>
            <w:r>
              <w:rPr>
                <w:b w:val="false"/>
                <w:bCs w:val="false"/>
                <w:sz w:val="19"/>
                <w:szCs w:val="19"/>
              </w:rPr>
              <w:t xml:space="preserve">Organisation</w:t>
            </w:r>
          </w:p>
        </w:tc>
        <w:tc>
          <w:tcPr>
            <w:tcW w:type="dxa" w:w="7660"/>
            <w:tcMar>
              <w:top w:type="dxa" w:w="80"/>
              <w:left w:type="dxa" w:w="100"/>
              <w:bottom w:type="dxa" w:w="80"/>
              <w:right w:type="dxa" w:w="100"/>
            </w:tcMar>
          </w:tcPr>
          <w:p>
            <w:r>
              <w:rPr>
                <w:b w:val="false"/>
                <w:bCs w:val="false"/>
                <w:sz w:val="19"/>
                <w:szCs w:val="19"/>
              </w:rPr>
              <w:t xml:space="preserve">NuCCoL</w:t>
            </w:r>
          </w:p>
        </w:tc>
      </w:tr>
      <w:tr>
        <w:tc>
          <w:tcPr>
            <w:tcW w:type="dxa" w:w="1800"/>
            <w:tcMar>
              <w:top w:type="dxa" w:w="80"/>
              <w:left w:type="dxa" w:w="100"/>
              <w:bottom w:type="dxa" w:w="80"/>
              <w:right w:type="dxa" w:w="100"/>
            </w:tcMar>
          </w:tcPr>
          <w:p>
            <w:r>
              <w:rPr>
                <w:b w:val="false"/>
                <w:bCs w:val="false"/>
                <w:sz w:val="19"/>
                <w:szCs w:val="19"/>
              </w:rPr>
              <w:t xml:space="preserve">Status</w:t>
            </w:r>
          </w:p>
        </w:tc>
        <w:tc>
          <w:tcPr>
            <w:tcW w:type="dxa" w:w="7660"/>
            <w:tcMar>
              <w:top w:type="dxa" w:w="80"/>
              <w:left w:type="dxa" w:w="100"/>
              <w:bottom w:type="dxa" w:w="80"/>
              <w:right w:type="dxa" w:w="100"/>
            </w:tcMar>
          </w:tcPr>
          <w:p>
            <w:r>
              <w:t xml:space="preserve">Supersedes v18 (14 September 2026). An application-code-only version — no KB/vector/graph file changed. Fixes a retrieval-scoring gap where Frankie’s live chat under-ranked or omitted specific, correct source content that already existed verbatim in the KB — surfaced live via two Rene-reported test cases: a compound question (“What are the granting criteria and what does SQEP stand for?”) that only partly answered, and a direct “What are the granting criteria?” question that hedged on the exact “Triple 85” percentage thresholds despite them existing verbatim in the KB. Five commits (524e037 → cf11da5) across js/retrieval.js, js/preprocessing.js, js/app.js and js/claude.js — full detail in §7. New §12 adds a first rough per-question operating-cost estimate, at Rene’s request.</w:t>
            </w:r>
          </w:p>
        </w:tc>
      </w:tr>
      <w:tr>
        <w:tc>
          <w:tcPr>
            <w:tcW w:type="dxa" w:w="1800"/>
            <w:tcMar>
              <w:top w:type="dxa" w:w="80"/>
              <w:left w:type="dxa" w:w="100"/>
              <w:bottom w:type="dxa" w:w="80"/>
              <w:right w:type="dxa" w:w="100"/>
            </w:tcMar>
          </w:tcPr>
          <w:p>
            <w:r>
              <w:rPr>
                <w:b w:val="false"/>
                <w:bCs w:val="false"/>
                <w:sz w:val="19"/>
                <w:szCs w:val="19"/>
              </w:rPr>
              <w:t xml:space="preserve">Platform</w:t>
            </w:r>
          </w:p>
        </w:tc>
        <w:tc>
          <w:tcPr>
            <w:tcW w:type="dxa" w:w="7660"/>
            <w:tcMar>
              <w:top w:type="dxa" w:w="80"/>
              <w:left w:type="dxa" w:w="100"/>
              <w:bottom w:type="dxa" w:w="80"/>
              <w:right w:type="dxa" w:w="100"/>
            </w:tcMar>
          </w:tcPr>
          <w:p>
            <w:r>
              <w:rPr>
                <w:b w:val="false"/>
                <w:bCs w:val="false"/>
                <w:sz w:val="19"/>
                <w:szCs w:val="19"/>
              </w:rPr>
              <w:t xml:space="preserve">2026_Website_Update v2/frankie/index.html — part of the main NuCCoL website repo (see §2)</w:t>
            </w:r>
          </w:p>
        </w:tc>
      </w:tr>
      <w:tr>
        <w:tc>
          <w:tcPr>
            <w:tcW w:type="dxa" w:w="1800"/>
            <w:tcMar>
              <w:top w:type="dxa" w:w="80"/>
              <w:left w:type="dxa" w:w="100"/>
              <w:bottom w:type="dxa" w:w="80"/>
              <w:right w:type="dxa" w:w="100"/>
            </w:tcMar>
          </w:tcPr>
          <w:p>
            <w:r>
              <w:rPr>
                <w:b w:val="false"/>
                <w:bCs w:val="false"/>
                <w:sz w:val="19"/>
                <w:szCs w:val="19"/>
              </w:rPr>
              <w:t xml:space="preserve">Live URL</w:t>
            </w:r>
          </w:p>
        </w:tc>
        <w:tc>
          <w:tcPr>
            <w:tcW w:type="dxa" w:w="7660"/>
            <w:tcMar>
              <w:top w:type="dxa" w:w="80"/>
              <w:left w:type="dxa" w:w="100"/>
              <w:bottom w:type="dxa" w:w="80"/>
              <w:right w:type="dxa" w:w="100"/>
            </w:tcMar>
          </w:tcPr>
          <w:p>
            <w:r>
              <w:rPr>
                <w:b w:val="false"/>
                <w:bCs w:val="false"/>
                <w:sz w:val="19"/>
                <w:szCs w:val="19"/>
              </w:rPr>
              <w:t xml:space="preserve">https://www.nuccol.co.uk/frankie/index.html (note the www — the bare nuccol.co.uk is a separate WordPress hub site)</w:t>
            </w:r>
          </w:p>
        </w:tc>
      </w:tr>
      <w:tr>
        <w:tc>
          <w:tcPr>
            <w:tcW w:type="dxa" w:w="1800"/>
            <w:tcMar>
              <w:top w:type="dxa" w:w="80"/>
              <w:left w:type="dxa" w:w="100"/>
              <w:bottom w:type="dxa" w:w="80"/>
              <w:right w:type="dxa" w:w="100"/>
            </w:tcMar>
          </w:tcPr>
          <w:p>
            <w:r>
              <w:rPr>
                <w:b w:val="false"/>
                <w:bCs w:val="false"/>
                <w:sz w:val="19"/>
                <w:szCs w:val="19"/>
              </w:rPr>
              <w:t xml:space="preserve">KB</w:t>
            </w:r>
          </w:p>
        </w:tc>
        <w:tc>
          <w:tcPr>
            <w:tcW w:type="dxa" w:w="7660"/>
            <w:tcMar>
              <w:top w:type="dxa" w:w="80"/>
              <w:left w:type="dxa" w:w="100"/>
              <w:bottom w:type="dxa" w:w="80"/>
              <w:right w:type="dxa" w:w="100"/>
            </w:tcMar>
          </w:tcPr>
          <w:p>
            <w:r>
              <w:rPr>
                <w:b w:val="false"/>
                <w:bCs w:val="false"/>
                <w:sz w:val="19"/>
                <w:szCs w:val="19"/>
              </w:rPr>
              <w:t xml:space="preserve">5 partitions, ~66,900 chunks eager-loaded + 61,374-chunk reactors partition lazy-loaded on demand (see §4)</w:t>
            </w:r>
          </w:p>
        </w:tc>
      </w:tr>
      <w:tr>
        <w:tc>
          <w:tcPr>
            <w:tcW w:type="dxa" w:w="1800"/>
            <w:tcMar>
              <w:top w:type="dxa" w:w="80"/>
              <w:left w:type="dxa" w:w="100"/>
              <w:bottom w:type="dxa" w:w="80"/>
              <w:right w:type="dxa" w:w="100"/>
            </w:tcMar>
          </w:tcPr>
          <w:p>
            <w:r>
              <w:rPr>
                <w:b w:val="false"/>
                <w:bCs w:val="false"/>
                <w:sz w:val="19"/>
                <w:szCs w:val="19"/>
              </w:rPr>
              <w:t xml:space="preserve">Classification</w:t>
            </w:r>
          </w:p>
        </w:tc>
        <w:tc>
          <w:tcPr>
            <w:tcW w:type="dxa" w:w="7660"/>
            <w:tcMar>
              <w:top w:type="dxa" w:w="80"/>
              <w:left w:type="dxa" w:w="100"/>
              <w:bottom w:type="dxa" w:w="80"/>
              <w:right w:type="dxa" w:w="100"/>
            </w:tcMar>
          </w:tcPr>
          <w:p>
            <w:r>
              <w:rPr>
                <w:b w:val="false"/>
                <w:bCs w:val="false"/>
                <w:sz w:val="19"/>
                <w:szCs w:val="19"/>
              </w:rPr>
              <w:t xml:space="preserve">Confidential</w:t>
            </w:r>
          </w:p>
        </w:tc>
      </w:tr>
    </w:tbl>
    <w:p>
      <w:pPr>
        <w:spacing w:after="200"/>
      </w:pPr>
    </w:p>
    <w:p>
      <w:pPr>
        <w:pStyle w:val="Heading1"/>
        <w:spacing w:after="160" w:before="360"/>
      </w:pPr>
      <w:r>
        <w:t xml:space="preserve">1. Document Purpose</w:t>
      </w:r>
    </w:p>
    <w:p>
      <w:pPr>
        <w:spacing w:after="140"/>
      </w:pPr>
      <w:r>
        <w:t xml:space="preserve">Blueprint v19 is the authoritative reference for the Frankie platform as of 15 September 2026, superseding v18 (14 September 2026). Unlike v18, this version’s delta is entirely application code in the chat retrieval pipeline — no KB/vector/graph file changed. Rene live-tested a compound question, “What are the granting criteria and what does SQEP stand for?”, directly correcting an early answer (“this answer isnt really correct, it should know the scoring”); separately, a direct “What are the granting criteria?” question got a real but incomplete answer that explicitly declined to state the exact “Triple 85” percentage thresholds (“the sources reference these as a group but don’t spell out the individual thresholds”), even though those exact thresholds — 85%+ overall Business Excellence score, 85%+ QHSE score, 85%+ of action plan completed with evidence — exist verbatim in the KB (frankie7_supplier_kb.json, chunk 7382e7f8044c, “Pre-Conditions That Must Be Met Before Initiating Pre-Granting”). Root-caused via direct searchKnowledgeBase() calls against the real deployed embeddings (not simulated): a compound two-topic question split unevenly across retrieval’s fixed 5-source cap, and — separately — a chunk holding the exact right numbers ranked #17 of 500 candidates for the granting-criteria query because its own text is phrased as a checklist and never uses the word “criteria,” so neither keyword nor vector scoring favoured it over chunks that talk about the topic more generically. Same shape of gap as the SQEP rubric-ranking issue fixed earlier this session (RUBRIC_ENTITY_BOOST): the chunk with the specific, correct answer loses to chunks that are more generically “about” the subject.</w:t>
      </w:r>
    </w:p>
    <w:p>
      <w:pPr>
        <w:spacing w:after="140"/>
      </w:pPr>
      <w:r>
        <w:t xml:space="preserve">Five commits landed this session (524e037 → cf11da5, full list and detail in §7), touching js/retrieval.js, js/preprocessing.js, js/app.js and js/claude.js — no KB/vector/graph file was touched, and no scc.html changes. Per Rene’s explicit direction mid-session (“can you do a full pass, rather than fixing the problem to look as a whole then fix”), the compound-question work became a full-pass redesign (commit 8fdf07e) rather than another one-symptom patch, after two earlier narrower fixes (524e037, 890f10a) each solved their immediate symptom but left the next one undiscovered. All fixes were verified against the real deployed KB and live-tested in the actual chat UI by both Rene and Claude, standalone and compound, with a documented false-positive check against the whole live KB for each new boost (§7). One new open item: while investigating, groq.js’s enhanceWithGroq() — listed in §3’s API Stack table as handling “query preprocessing: intent classification, query rewriting” — was found to not be called anywhere in the live pipeline (preprocessing.js does this locally via regex, not via Groq); §3’s table entry is accurate to the code’s intent but not to what actually executes today (§9). §12 is new this version: a first rough per-question operating-cost estimate, prompted by Rene’s request to capture this. Where v18’s content is still accurate it is carried forward unchanged; only §1, §7, §9, §12 and the footer have real content changes this version.</w:t>
      </w:r>
    </w:p>
    <w:p>
      <w:pPr>
        <w:pStyle w:val="Heading1"/>
        <w:spacing w:after="160" w:before="360"/>
      </w:pPr>
      <w:r>
        <w:t xml:space="preserve">2. Platform Overview</w:t>
      </w:r>
    </w:p>
    <w:p>
      <w:pPr>
        <w:spacing w:after="140"/>
      </w:pPr>
      <w:r>
        <w:t xml:space="preserve">Frankie is a static web application — vanilla HTML, CSS, and JavaScript with no build step — that now lives inside NuCCoL’s main website repository rather than as a standalone app. It runs entirely in the browser; every external call (Claude, Groq, OpenAI embeddings, and every knowledge-base file) is proxied through a Cloudflare Worker so no API key or KB content is ever shipped to or stored in the client. The platform is grounded in NuCCoL’s Fit for Nuclear (F4N) programme documentation and is designed for nuclear supply chain suppliers navigating that programme.</w:t>
      </w:r>
    </w:p>
    <w:p>
      <w:pPr>
        <w:pStyle w:val="Heading2"/>
        <w:spacing w:after="120" w:before="260"/>
      </w:pPr>
      <w:r>
        <w:t xml:space="preserve">Where it actually lives now — read this before touching anything</w:t>
      </w:r>
    </w:p>
    <w:p>
      <w:pPr>
        <w:pStyle w:val="ListParagraph"/>
        <w:numPr>
          <w:ilvl w:val="0"/>
          <w:numId w:val="1"/>
        </w:numPr>
        <w:spacing w:after="60"/>
      </w:pPr>
      <w:r>
        <w:t xml:space="preserve">Live app: the frankie/ folder inside the site repo “2026_Website_Update v2” (GitHub: renrenrenx10/Website). Deploys via GitHub Actions to Azure Static Web Apps.</w:t>
      </w:r>
    </w:p>
    <w:p>
      <w:pPr>
        <w:pStyle w:val="ListParagraph"/>
        <w:numPr>
          <w:ilvl w:val="0"/>
          <w:numId w:val="1"/>
        </w:numPr>
        <w:spacing w:after="60"/>
      </w:pPr>
      <w:r>
        <w:t xml:space="preserve">Live URL: https://www.nuccol.co.uk/frankie/index.html — the bare nuccol.co.uk domain is a separate WordPress hub site that only links out to it.</w:t>
      </w:r>
    </w:p>
    <w:p>
      <w:pPr>
        <w:pStyle w:val="ListParagraph"/>
        <w:numPr>
          <w:ilvl w:val="0"/>
          <w:numId w:val="1"/>
        </w:numPr>
        <w:spacing w:after="60"/>
      </w:pPr>
      <w:r>
        <w:t xml:space="preserve">Retired: the original frankie_v3_unified_brain/frankie_v3 folder (a separate local project with its own git history) was the source of the standalone app blueprint v4–v9 documented. Its own app copy was archived in place on 2026-09-08 (_ARCHIVED_frankie_app_20260908/) — explicit note left in that folder: "all real development since [early August 2026] has happened directly in the deployed copy at 2026_Website_Update v2/frankie/". scc.html, scraper.js and the kb/ folder one level up from it are unaffected and remain live from that location.</w:t>
      </w:r>
    </w:p>
    <w:p>
      <w:pPr>
        <w:pStyle w:val="ListParagraph"/>
        <w:numPr>
          <w:ilvl w:val="0"/>
          <w:numId w:val="1"/>
        </w:numPr>
        <w:spacing w:after="60"/>
      </w:pPr>
      <w:r>
        <w:t xml:space="preserve">Update, 2026-09-14: scc.html itself had real feature work land this session — a Training Register and a legacy member-link reconciliation fix (§7) — so the "unaffected, no active development" framing above no longer holds for scc.html specifically. That work is still committed to its own separate repo (renrenrenx10/Frankie), not merged into or moved to the site repo. scraper.js and kb/ remain as described.</w:t>
      </w:r>
    </w:p>
    <w:p>
      <w:pPr>
        <w:spacing w:after="160"/>
      </w:pPr>
      <w:r>
        <w:rPr>
          <w:i/>
          <w:iCs/>
          <w:color w:val="65758A"/>
        </w:rPr>
        <w:t xml:space="preserve">Practical effect: any future Frankie work should be done in the site repo, not frankie_v3_unified_brain. The old repo’s own CHANGELOG.md stops at v2.0.0 (2026-06-11) and its blueprint docx series (v4–v9) describes an app that is no longer the one deployed.</w:t>
      </w:r>
    </w:p>
    <w:p>
      <w:pPr>
        <w:pStyle w:val="Heading2"/>
        <w:spacing w:after="120" w:before="260"/>
      </w:pPr>
      <w:r>
        <w:t xml:space="preserve">Architecture Principles</w:t>
      </w:r>
    </w:p>
    <w:p>
      <w:pPr>
        <w:pStyle w:val="ListParagraph"/>
        <w:numPr>
          <w:ilvl w:val="0"/>
          <w:numId w:val="1"/>
        </w:numPr>
        <w:spacing w:after="60"/>
      </w:pPr>
      <w:r>
        <w:t xml:space="preserve">Static-first — zero server-side runtime, no build pipeline, deployed as static files</w:t>
      </w:r>
    </w:p>
    <w:p>
      <w:pPr>
        <w:pStyle w:val="ListParagraph"/>
        <w:numPr>
          <w:ilvl w:val="0"/>
          <w:numId w:val="1"/>
        </w:numPr>
        <w:spacing w:after="60"/>
      </w:pPr>
      <w:r>
        <w:t xml:space="preserve">Zero client-side secrets — Claude, Groq, and OpenAI embedding keys are Cloudflare Worker secrets; the browser calls /claude/*, /groq/*, /embed/* on the Worker, never the upstream APIs directly</w:t>
      </w:r>
    </w:p>
    <w:p>
      <w:pPr>
        <w:pStyle w:val="ListParagraph"/>
        <w:numPr>
          <w:ilvl w:val="0"/>
          <w:numId w:val="1"/>
        </w:numPr>
        <w:spacing w:after="60"/>
      </w:pPr>
      <w:r>
        <w:t xml:space="preserve">KB/vectors/graph served the same way — all knowledge-base JSON lives in a private Azure Blob container behind the Worker’s /kb/* route, which requires a valid member session (Bearer token), not static relative file paths</w:t>
      </w:r>
    </w:p>
    <w:p>
      <w:pPr>
        <w:pStyle w:val="ListParagraph"/>
        <w:numPr>
          <w:ilvl w:val="0"/>
          <w:numId w:val="1"/>
        </w:numPr>
        <w:spacing w:after="60"/>
      </w:pPr>
      <w:r>
        <w:t xml:space="preserve">Full-page member auth gate — index.html checks for a live Supabase session before rendering anything (visibility hidden, then a blocking redirect to ../members.html?redirect=/frankie/ if none exists); added 2026-08-04, this closed a gap where only data calls were gated but the page shell and images were visible to anyone</w:t>
      </w:r>
    </w:p>
    <w:p>
      <w:pPr>
        <w:pStyle w:val="ListParagraph"/>
        <w:numPr>
          <w:ilvl w:val="0"/>
          <w:numId w:val="1"/>
        </w:numPr>
        <w:spacing w:after="60"/>
      </w:pPr>
      <w:r>
        <w:t xml:space="preserve">RAG-grounded — chat answers are built from hybrid keyword + vector retrieval across the eager-loaded KB partitions (see §4), plus a graph-entity boost</w:t>
      </w:r>
    </w:p>
    <w:p>
      <w:pPr>
        <w:pStyle w:val="ListParagraph"/>
        <w:numPr>
          <w:ilvl w:val="0"/>
          <w:numId w:val="1"/>
        </w:numPr>
        <w:spacing w:after="60"/>
      </w:pPr>
      <w:r>
        <w:t xml:space="preserve">Drawer pattern — every tool opens as a sliding side panel via window.XxxDrawer.open(); enforced single-drawer-at-a-time by drawer-manager.js (2026-08-04) and given a shared first-open intro splash by drawer-splash.js (2026-08-05)</w:t>
      </w:r>
    </w:p>
    <w:p>
      <w:pPr>
        <w:pStyle w:val="ListParagraph"/>
        <w:numPr>
          <w:ilvl w:val="0"/>
          <w:numId w:val="1"/>
        </w:numPr>
        <w:spacing w:after="60"/>
      </w:pPr>
      <w:r>
        <w:t xml:space="preserve">IIFE modules — each drawer is a self-contained IIFE exposing one global object; no bundler</w:t>
      </w:r>
    </w:p>
    <w:p>
      <w:pPr>
        <w:pStyle w:val="ListParagraph"/>
        <w:numPr>
          <w:ilvl w:val="0"/>
          <w:numId w:val="1"/>
        </w:numPr>
        <w:spacing w:after="60"/>
      </w:pPr>
      <w:r>
        <w:t xml:space="preserve">localStorage for preferences/feature flags only — API keys are never stored client-side; frankieUserToken (a Supabase access token) is what authorises Worker calls</w:t>
      </w:r>
    </w:p>
    <w:p>
      <w:pPr>
        <w:pStyle w:val="ListParagraph"/>
        <w:numPr>
          <w:ilvl w:val="0"/>
          <w:numId w:val="1"/>
        </w:numPr>
        <w:spacing w:after="60"/>
      </w:pPr>
      <w:r>
        <w:t xml:space="preserve">Print-ready — Tool Kit outputs still open a styled print window via window.open()</w:t>
      </w:r>
    </w:p>
    <w:p>
      <w:pPr>
        <w:pStyle w:val="ListParagraph"/>
        <w:numPr>
          <w:ilvl w:val="0"/>
          <w:numId w:val="1"/>
        </w:numPr>
        <w:spacing w:after="60"/>
      </w:pPr>
      <w:r>
        <w:t xml:space="preserve">Supabase — auth, evidence file storage, ISO 19443 results, company profiles</w:t>
      </w:r>
    </w:p>
    <w:p>
      <w:pPr>
        <w:pStyle w:val="ListParagraph"/>
        <w:numPr>
          <w:ilvl w:val="0"/>
          <w:numId w:val="1"/>
        </w:numPr>
        <w:spacing w:after="60"/>
      </w:pPr>
      <w:r>
        <w:t xml:space="preserve">Cloudflare Workers — ch-proxy-worker.js now does far more than the Companies House CORS proxy v9 described: it is the single gateway for every external API call and every KB/vector/graph file</w:t>
      </w:r>
    </w:p>
    <w:p>
      <w:pPr>
        <w:pStyle w:val="Heading2"/>
        <w:spacing w:after="120" w:before="260"/>
      </w:pPr>
      <w:r>
        <w:t xml:space="preserve">Chat "Modes" — largely retired</w:t>
      </w:r>
    </w:p>
    <w:p>
      <w:pPr>
        <w:spacing w:after="140"/>
      </w:pPr>
      <w:r>
        <w:t xml:space="preserve">v9 documented four selectable chat modes (Company / SCC / OSV Prep / Readiness) with a mode-switcher UI. That switcher has since been removed — index.html carries an explicit comment, "Mode toggle removed — SCC portal handles mode context" — and the topbar now shows a single static "Company Mode" label. Mode context is handled by which portal (member Frankie vs. SCC’s scc.html) the user is in, not a runtime toggle.</w:t>
      </w:r>
    </w:p>
    <w:p>
      <w:pPr>
        <w:pStyle w:val="Heading1"/>
        <w:spacing w:after="160" w:before="360"/>
      </w:pPr>
      <w:r>
        <w:t xml:space="preserve">3. Infrastructure &amp; Architecture</w:t>
      </w:r>
    </w:p>
    <w:p>
      <w:pPr>
        <w:pStyle w:val="Heading2"/>
        <w:spacing w:after="120" w:before="260"/>
      </w:pPr>
      <w:r>
        <w:t xml:space="preserve">Full Stack</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2400"/>
        <w:gridCol w:w="7060"/>
      </w:tblGrid>
      <w:tr>
        <w:trPr>
          <w:tblHeader/>
        </w:trPr>
        <w:tc>
          <w:tcPr>
            <w:tcW w:type="dxa" w:w="2400"/>
            <w:shd w:fill="10243A" w:val="clear"/>
            <w:tcMar>
              <w:top w:type="dxa" w:w="80"/>
              <w:left w:type="dxa" w:w="100"/>
              <w:bottom w:type="dxa" w:w="80"/>
              <w:right w:type="dxa" w:w="100"/>
            </w:tcMar>
          </w:tcPr>
          <w:p>
            <w:r>
              <w:rPr>
                <w:b/>
                <w:bCs/>
                <w:color w:val="FFFFFF"/>
                <w:sz w:val="19"/>
                <w:szCs w:val="19"/>
              </w:rPr>
              <w:t xml:space="preserve">Layer</w:t>
            </w:r>
          </w:p>
        </w:tc>
        <w:tc>
          <w:tcPr>
            <w:tcW w:type="dxa" w:w="7060"/>
            <w:shd w:fill="10243A" w:val="clear"/>
            <w:tcMar>
              <w:top w:type="dxa" w:w="80"/>
              <w:left w:type="dxa" w:w="100"/>
              <w:bottom w:type="dxa" w:w="80"/>
              <w:right w:type="dxa" w:w="100"/>
            </w:tcMar>
          </w:tcPr>
          <w:p>
            <w:r>
              <w:rPr>
                <w:b/>
                <w:bCs/>
                <w:color w:val="FFFFFF"/>
                <w:sz w:val="19"/>
                <w:szCs w:val="19"/>
              </w:rPr>
              <w:t xml:space="preserve">Detail</w:t>
            </w:r>
          </w:p>
        </w:tc>
      </w:tr>
      <w:tr>
        <w:tc>
          <w:tcPr>
            <w:tcW w:type="dxa" w:w="2400"/>
            <w:tcMar>
              <w:top w:type="dxa" w:w="80"/>
              <w:left w:type="dxa" w:w="100"/>
              <w:bottom w:type="dxa" w:w="80"/>
              <w:right w:type="dxa" w:w="100"/>
            </w:tcMar>
          </w:tcPr>
          <w:p>
            <w:r>
              <w:rPr>
                <w:b w:val="false"/>
                <w:bCs w:val="false"/>
                <w:sz w:val="19"/>
                <w:szCs w:val="19"/>
              </w:rPr>
              <w:t xml:space="preserve">Static web app</w:t>
            </w:r>
          </w:p>
        </w:tc>
        <w:tc>
          <w:tcPr>
            <w:tcW w:type="dxa" w:w="7060"/>
            <w:tcMar>
              <w:top w:type="dxa" w:w="80"/>
              <w:left w:type="dxa" w:w="100"/>
              <w:bottom w:type="dxa" w:w="80"/>
              <w:right w:type="dxa" w:w="100"/>
            </w:tcMar>
          </w:tcPr>
          <w:p>
            <w:r>
              <w:rPr>
                <w:b w:val="false"/>
                <w:bCs w:val="false"/>
                <w:sz w:val="19"/>
                <w:szCs w:val="19"/>
              </w:rPr>
              <w:t xml:space="preserve">frankie/index.html + ~50 vanilla JS modules under frankie/js/, one CSS file per tool under frankie/css/. No build step. CSP meta tag restricts script/style/connect/img origins explicitly — every new external dependency (e.g. Leaflet/unpkg.com for Plant Explorer’s map view) has needed a CSP addition.</w:t>
            </w:r>
          </w:p>
        </w:tc>
      </w:tr>
      <w:tr>
        <w:tc>
          <w:tcPr>
            <w:tcW w:type="dxa" w:w="2400"/>
            <w:tcMar>
              <w:top w:type="dxa" w:w="80"/>
              <w:left w:type="dxa" w:w="100"/>
              <w:bottom w:type="dxa" w:w="80"/>
              <w:right w:type="dxa" w:w="100"/>
            </w:tcMar>
          </w:tcPr>
          <w:p>
            <w:r>
              <w:rPr>
                <w:b w:val="false"/>
                <w:bCs w:val="false"/>
                <w:sz w:val="19"/>
                <w:szCs w:val="19"/>
              </w:rPr>
              <w:t xml:space="preserve">Cloudflare Worker (ch-proxy-worker.js)</w:t>
            </w:r>
          </w:p>
        </w:tc>
        <w:tc>
          <w:tcPr>
            <w:tcW w:type="dxa" w:w="7060"/>
            <w:tcMar>
              <w:top w:type="dxa" w:w="80"/>
              <w:left w:type="dxa" w:w="100"/>
              <w:bottom w:type="dxa" w:w="80"/>
              <w:right w:type="dxa" w:w="100"/>
            </w:tcMar>
          </w:tcPr>
          <w:p>
            <w:r>
              <w:rPr>
                <w:b w:val="false"/>
                <w:bCs w:val="false"/>
                <w:sz w:val="19"/>
                <w:szCs w:val="19"/>
              </w:rPr>
              <w:t xml:space="preserve">https://ch.rene-dorset.workers.dev — gateway for /claude/*, /groq/*, /embed/*, and /kb/* (every KB, vector, and graph JSON file). Requires an Authorization: Bearer &lt;frankieUserToken&gt; header, sourced from the member’s Supabase session. Deployed separately from the site repo.</w:t>
            </w:r>
          </w:p>
        </w:tc>
      </w:tr>
      <w:tr>
        <w:tc>
          <w:tcPr>
            <w:tcW w:type="dxa" w:w="2400"/>
            <w:tcMar>
              <w:top w:type="dxa" w:w="80"/>
              <w:left w:type="dxa" w:w="100"/>
              <w:bottom w:type="dxa" w:w="80"/>
              <w:right w:type="dxa" w:w="100"/>
            </w:tcMar>
          </w:tcPr>
          <w:p>
            <w:r>
              <w:rPr>
                <w:b w:val="false"/>
                <w:bCs w:val="false"/>
                <w:sz w:val="19"/>
                <w:szCs w:val="19"/>
              </w:rPr>
              <w:t xml:space="preserve">Azure Blob storage</w:t>
            </w:r>
          </w:p>
        </w:tc>
        <w:tc>
          <w:tcPr>
            <w:tcW w:type="dxa" w:w="7060"/>
            <w:tcMar>
              <w:top w:type="dxa" w:w="80"/>
              <w:left w:type="dxa" w:w="100"/>
              <w:bottom w:type="dxa" w:w="80"/>
              <w:right w:type="dxa" w:w="100"/>
            </w:tcMar>
          </w:tcPr>
          <w:p>
            <w:r>
              <w:rPr>
                <w:b w:val="false"/>
                <w:bCs w:val="false"/>
                <w:sz w:val="19"/>
                <w:szCs w:val="19"/>
              </w:rPr>
              <w:t xml:space="preserve">Backs the Worker’s /kb/* route — the private container holding every KB partition file, the vector files, and frankie_graph.json.</w:t>
            </w:r>
          </w:p>
        </w:tc>
      </w:tr>
      <w:tr>
        <w:tc>
          <w:tcPr>
            <w:tcW w:type="dxa" w:w="2400"/>
            <w:tcMar>
              <w:top w:type="dxa" w:w="80"/>
              <w:left w:type="dxa" w:w="100"/>
              <w:bottom w:type="dxa" w:w="80"/>
              <w:right w:type="dxa" w:w="100"/>
            </w:tcMar>
          </w:tcPr>
          <w:p>
            <w:r>
              <w:rPr>
                <w:b w:val="false"/>
                <w:bCs w:val="false"/>
                <w:sz w:val="19"/>
                <w:szCs w:val="19"/>
              </w:rPr>
              <w:t xml:space="preserve">Supabase</w:t>
            </w:r>
          </w:p>
        </w:tc>
        <w:tc>
          <w:tcPr>
            <w:tcW w:type="dxa" w:w="7060"/>
            <w:tcMar>
              <w:top w:type="dxa" w:w="80"/>
              <w:left w:type="dxa" w:w="100"/>
              <w:bottom w:type="dxa" w:w="80"/>
              <w:right w:type="dxa" w:w="100"/>
            </w:tcMar>
          </w:tcPr>
          <w:p>
            <w:r>
              <w:rPr>
                <w:b w:val="false"/>
                <w:bCs w:val="false"/>
                <w:sz w:val="19"/>
                <w:szCs w:val="19"/>
              </w:rPr>
              <w:t xml:space="preserve">Auth (member sessions gate the whole Frankie page, not just data calls), evidence-docs Storage bucket, company profiles, ISO 19443 results, RLS policies restricting @nuccol.co.uk for SCC reads.</w:t>
            </w:r>
          </w:p>
        </w:tc>
      </w:tr>
      <w:tr>
        <w:tc>
          <w:tcPr>
            <w:tcW w:type="dxa" w:w="2400"/>
            <w:tcMar>
              <w:top w:type="dxa" w:w="80"/>
              <w:left w:type="dxa" w:w="100"/>
              <w:bottom w:type="dxa" w:w="80"/>
              <w:right w:type="dxa" w:w="100"/>
            </w:tcMar>
          </w:tcPr>
          <w:p>
            <w:r>
              <w:rPr>
                <w:b w:val="false"/>
                <w:bCs w:val="false"/>
                <w:sz w:val="19"/>
                <w:szCs w:val="19"/>
              </w:rPr>
              <w:t xml:space="preserve">GitHub Actions → Azure Static Web Apps</w:t>
            </w:r>
          </w:p>
        </w:tc>
        <w:tc>
          <w:tcPr>
            <w:tcW w:type="dxa" w:w="7060"/>
            <w:tcMar>
              <w:top w:type="dxa" w:w="80"/>
              <w:left w:type="dxa" w:w="100"/>
              <w:bottom w:type="dxa" w:w="80"/>
              <w:right w:type="dxa" w:w="100"/>
            </w:tcMar>
          </w:tcPr>
          <w:p>
            <w:r>
              <w:rPr>
                <w:b w:val="false"/>
                <w:bCs w:val="false"/>
                <w:sz w:val="19"/>
                <w:szCs w:val="19"/>
              </w:rPr>
              <w:t xml:space="preserve">The site repo (renrenrenx10/Website) deploys on push to the live nuccol.co.uk site. Rene pushes personally after local commits — standing constraint: no one pushes to this repo without his explicit go-ahead.</w:t>
            </w:r>
          </w:p>
        </w:tc>
      </w:tr>
      <w:tr>
        <w:tc>
          <w:tcPr>
            <w:tcW w:type="dxa" w:w="2400"/>
            <w:tcMar>
              <w:top w:type="dxa" w:w="80"/>
              <w:left w:type="dxa" w:w="100"/>
              <w:bottom w:type="dxa" w:w="80"/>
              <w:right w:type="dxa" w:w="100"/>
            </w:tcMar>
          </w:tcPr>
          <w:p>
            <w:r>
              <w:rPr>
                <w:b w:val="false"/>
                <w:bCs w:val="false"/>
                <w:sz w:val="19"/>
                <w:szCs w:val="19"/>
              </w:rPr>
              <w:t xml:space="preserve">SCC portal (scc.html)</w:t>
            </w:r>
          </w:p>
        </w:tc>
        <w:tc>
          <w:tcPr>
            <w:tcW w:type="dxa" w:w="7060"/>
            <w:tcMar>
              <w:top w:type="dxa" w:w="80"/>
              <w:left w:type="dxa" w:w="100"/>
              <w:bottom w:type="dxa" w:w="80"/>
              <w:right w:type="dxa" w:w="100"/>
            </w:tcMar>
          </w:tcPr>
          <w:p>
            <w:r>
              <w:rPr>
                <w:b w:val="false"/>
                <w:bCs w:val="false"/>
                <w:sz w:val="19"/>
                <w:szCs w:val="19"/>
              </w:rPr>
              <w:t xml:space="preserve">Full separate staff app: Supabase auth, company CRM, evidence dashboard, ISO 19443 results, live scraper, supplier intelligence. Lives at the site root alongside members.html, not inside frankie/.</w:t>
            </w:r>
          </w:p>
        </w:tc>
      </w:tr>
      <w:tr>
        <w:tc>
          <w:tcPr>
            <w:tcW w:type="dxa" w:w="2400"/>
            <w:tcMar>
              <w:top w:type="dxa" w:w="80"/>
              <w:left w:type="dxa" w:w="100"/>
              <w:bottom w:type="dxa" w:w="80"/>
              <w:right w:type="dxa" w:w="100"/>
            </w:tcMar>
          </w:tcPr>
          <w:p>
            <w:r>
              <w:rPr>
                <w:b w:val="false"/>
                <w:bCs w:val="false"/>
                <w:sz w:val="19"/>
                <w:szCs w:val="19"/>
              </w:rPr>
              <w:t xml:space="preserve">Members portal (members.html)</w:t>
            </w:r>
          </w:p>
        </w:tc>
        <w:tc>
          <w:tcPr>
            <w:tcW w:type="dxa" w:w="7060"/>
            <w:tcMar>
              <w:top w:type="dxa" w:w="80"/>
              <w:left w:type="dxa" w:w="100"/>
              <w:bottom w:type="dxa" w:w="80"/>
              <w:right w:type="dxa" w:w="100"/>
            </w:tcMar>
          </w:tcPr>
          <w:p>
            <w:r>
              <w:rPr>
                <w:b w:val="false"/>
                <w:bCs w:val="false"/>
                <w:sz w:val="19"/>
                <w:szCs w:val="19"/>
              </w:rPr>
              <w:t xml:space="preserve">Login/auth bridge for the whole member area, not just Frankie. Sets frankieUserToken (and legacy frankieUserId/frankieCompanyName) in localStorage. Supports a ?redirect= query param so a bounced Frankie visit returns to /frankie/ after login.</w:t>
            </w:r>
          </w:p>
        </w:tc>
      </w:tr>
    </w:tbl>
    <w:p>
      <w:pPr>
        <w:pStyle w:val="Heading2"/>
        <w:spacing w:after="120" w:before="260"/>
      </w:pPr>
      <w:r>
        <w:t xml:space="preserve">API Stack &amp; Model Routing</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1700"/>
        <w:gridCol w:w="3300"/>
        <w:gridCol w:w="4460"/>
      </w:tblGrid>
      <w:tr>
        <w:trPr>
          <w:tblHeader/>
        </w:trPr>
        <w:tc>
          <w:tcPr>
            <w:tcW w:type="dxa" w:w="1700"/>
            <w:shd w:fill="10243A" w:val="clear"/>
            <w:tcMar>
              <w:top w:type="dxa" w:w="80"/>
              <w:left w:type="dxa" w:w="100"/>
              <w:bottom w:type="dxa" w:w="80"/>
              <w:right w:type="dxa" w:w="100"/>
            </w:tcMar>
          </w:tcPr>
          <w:p>
            <w:r>
              <w:rPr>
                <w:b/>
                <w:bCs/>
                <w:color w:val="FFFFFF"/>
                <w:sz w:val="19"/>
                <w:szCs w:val="19"/>
              </w:rPr>
              <w:t xml:space="preserve">API</w:t>
            </w:r>
          </w:p>
        </w:tc>
        <w:tc>
          <w:tcPr>
            <w:tcW w:type="dxa" w:w="3300"/>
            <w:shd w:fill="10243A" w:val="clear"/>
            <w:tcMar>
              <w:top w:type="dxa" w:w="80"/>
              <w:left w:type="dxa" w:w="100"/>
              <w:bottom w:type="dxa" w:w="80"/>
              <w:right w:type="dxa" w:w="100"/>
            </w:tcMar>
          </w:tcPr>
          <w:p>
            <w:r>
              <w:rPr>
                <w:b/>
                <w:bCs/>
                <w:color w:val="FFFFFF"/>
                <w:sz w:val="19"/>
                <w:szCs w:val="19"/>
              </w:rPr>
              <w:t xml:space="preserve">Model / Version</w:t>
            </w:r>
          </w:p>
        </w:tc>
        <w:tc>
          <w:tcPr>
            <w:tcW w:type="dxa" w:w="4460"/>
            <w:shd w:fill="10243A" w:val="clear"/>
            <w:tcMar>
              <w:top w:type="dxa" w:w="80"/>
              <w:left w:type="dxa" w:w="100"/>
              <w:bottom w:type="dxa" w:w="80"/>
              <w:right w:type="dxa" w:w="100"/>
            </w:tcMar>
          </w:tcPr>
          <w:p>
            <w:r>
              <w:rPr>
                <w:b/>
                <w:bCs/>
                <w:color w:val="FFFFFF"/>
                <w:sz w:val="19"/>
                <w:szCs w:val="19"/>
              </w:rPr>
              <w:t xml:space="preserve">Purpose</w:t>
            </w:r>
          </w:p>
        </w:tc>
      </w:tr>
      <w:tr>
        <w:tc>
          <w:tcPr>
            <w:tcW w:type="dxa" w:w="1700"/>
            <w:tcMar>
              <w:top w:type="dxa" w:w="80"/>
              <w:left w:type="dxa" w:w="100"/>
              <w:bottom w:type="dxa" w:w="80"/>
              <w:right w:type="dxa" w:w="100"/>
            </w:tcMar>
          </w:tcPr>
          <w:p>
            <w:r>
              <w:rPr>
                <w:b w:val="false"/>
                <w:bCs w:val="false"/>
                <w:sz w:val="19"/>
                <w:szCs w:val="19"/>
              </w:rPr>
              <w:t xml:space="preserve">Claude (Anthropic)</w:t>
            </w:r>
          </w:p>
        </w:tc>
        <w:tc>
          <w:tcPr>
            <w:tcW w:type="dxa" w:w="3300"/>
            <w:tcMar>
              <w:top w:type="dxa" w:w="80"/>
              <w:left w:type="dxa" w:w="100"/>
              <w:bottom w:type="dxa" w:w="80"/>
              <w:right w:type="dxa" w:w="100"/>
            </w:tcMar>
          </w:tcPr>
          <w:p>
            <w:r>
              <w:rPr>
                <w:b w:val="false"/>
                <w:bCs w:val="false"/>
                <w:sz w:val="19"/>
                <w:szCs w:val="19"/>
              </w:rPr>
              <w:t xml:space="preserve">claude-sonnet-4-6 (was claude-sonnet-4-20250514, a dated snapshot retired 2026-06-15 — config.js now self-heals any browser that had the old ID cached)</w:t>
            </w:r>
          </w:p>
        </w:tc>
        <w:tc>
          <w:tcPr>
            <w:tcW w:type="dxa" w:w="4460"/>
            <w:tcMar>
              <w:top w:type="dxa" w:w="80"/>
              <w:left w:type="dxa" w:w="100"/>
              <w:bottom w:type="dxa" w:w="80"/>
              <w:right w:type="dxa" w:w="100"/>
            </w:tcMar>
          </w:tcPr>
          <w:p>
            <w:r>
              <w:rPr>
                <w:b w:val="false"/>
                <w:bCs w:val="false"/>
                <w:sz w:val="19"/>
                <w:szCs w:val="19"/>
              </w:rPr>
              <w:t xml:space="preserve">Chat responses, via the Worker’s /claude/* route — never a direct browser→Anthropic call any more</w:t>
            </w:r>
          </w:p>
        </w:tc>
      </w:tr>
      <w:tr>
        <w:tc>
          <w:tcPr>
            <w:tcW w:type="dxa" w:w="1700"/>
            <w:tcMar>
              <w:top w:type="dxa" w:w="80"/>
              <w:left w:type="dxa" w:w="100"/>
              <w:bottom w:type="dxa" w:w="80"/>
              <w:right w:type="dxa" w:w="100"/>
            </w:tcMar>
          </w:tcPr>
          <w:p>
            <w:r>
              <w:rPr>
                <w:b w:val="false"/>
                <w:bCs w:val="false"/>
                <w:sz w:val="19"/>
                <w:szCs w:val="19"/>
              </w:rPr>
              <w:t xml:space="preserve">Groq</w:t>
            </w:r>
          </w:p>
        </w:tc>
        <w:tc>
          <w:tcPr>
            <w:tcW w:type="dxa" w:w="3300"/>
            <w:tcMar>
              <w:top w:type="dxa" w:w="80"/>
              <w:left w:type="dxa" w:w="100"/>
              <w:bottom w:type="dxa" w:w="80"/>
              <w:right w:type="dxa" w:w="100"/>
            </w:tcMar>
          </w:tcPr>
          <w:p>
            <w:r>
              <w:rPr>
                <w:b w:val="false"/>
                <w:bCs w:val="false"/>
                <w:sz w:val="19"/>
                <w:szCs w:val="19"/>
              </w:rPr>
              <w:t xml:space="preserve">openai/gpt-oss-20b (was llama-3.1-8b-instant, deprecated by Groq 2026-08-16 — same self-heal pattern in config.js)</w:t>
            </w:r>
          </w:p>
        </w:tc>
        <w:tc>
          <w:tcPr>
            <w:tcW w:type="dxa" w:w="4460"/>
            <w:tcMar>
              <w:top w:type="dxa" w:w="80"/>
              <w:left w:type="dxa" w:w="100"/>
              <w:bottom w:type="dxa" w:w="80"/>
              <w:right w:type="dxa" w:w="100"/>
            </w:tcMar>
          </w:tcPr>
          <w:p>
            <w:r>
              <w:rPr>
                <w:b w:val="false"/>
                <w:bCs w:val="false"/>
                <w:sz w:val="19"/>
                <w:szCs w:val="19"/>
              </w:rPr>
              <w:t xml:space="preserve">Query preprocessing: intent classification, query rewriting</w:t>
            </w:r>
          </w:p>
        </w:tc>
      </w:tr>
      <w:tr>
        <w:tc>
          <w:tcPr>
            <w:tcW w:type="dxa" w:w="1700"/>
            <w:tcMar>
              <w:top w:type="dxa" w:w="80"/>
              <w:left w:type="dxa" w:w="100"/>
              <w:bottom w:type="dxa" w:w="80"/>
              <w:right w:type="dxa" w:w="100"/>
            </w:tcMar>
          </w:tcPr>
          <w:p>
            <w:r>
              <w:rPr>
                <w:b w:val="false"/>
                <w:bCs w:val="false"/>
                <w:sz w:val="19"/>
                <w:szCs w:val="19"/>
              </w:rPr>
              <w:t xml:space="preserve">OpenAI</w:t>
            </w:r>
          </w:p>
        </w:tc>
        <w:tc>
          <w:tcPr>
            <w:tcW w:type="dxa" w:w="3300"/>
            <w:tcMar>
              <w:top w:type="dxa" w:w="80"/>
              <w:left w:type="dxa" w:w="100"/>
              <w:bottom w:type="dxa" w:w="80"/>
              <w:right w:type="dxa" w:w="100"/>
            </w:tcMar>
          </w:tcPr>
          <w:p>
            <w:r>
              <w:rPr>
                <w:b w:val="false"/>
                <w:bCs w:val="false"/>
                <w:sz w:val="19"/>
                <w:szCs w:val="19"/>
              </w:rPr>
              <w:t xml:space="preserve">text-embedding-3-small, full 1536 dims</w:t>
            </w:r>
          </w:p>
        </w:tc>
        <w:tc>
          <w:tcPr>
            <w:tcW w:type="dxa" w:w="4460"/>
            <w:tcMar>
              <w:top w:type="dxa" w:w="80"/>
              <w:left w:type="dxa" w:w="100"/>
              <w:bottom w:type="dxa" w:w="80"/>
              <w:right w:type="dxa" w:w="100"/>
            </w:tcMar>
          </w:tcPr>
          <w:p>
            <w:r>
              <w:rPr>
                <w:b w:val="false"/>
                <w:bCs w:val="false"/>
                <w:sz w:val="19"/>
                <w:szCs w:val="19"/>
              </w:rPr>
              <w:t xml:space="preserve">Query-time embeddings for hybrid semantic search, via the Worker’s /embed/* route. Pre-computed vector files exist per KB partition (except reactors — keyword + graph only, no vectors).</w:t>
            </w:r>
          </w:p>
        </w:tc>
      </w:tr>
      <w:tr>
        <w:tc>
          <w:tcPr>
            <w:tcW w:type="dxa" w:w="1700"/>
            <w:tcMar>
              <w:top w:type="dxa" w:w="80"/>
              <w:left w:type="dxa" w:w="100"/>
              <w:bottom w:type="dxa" w:w="80"/>
              <w:right w:type="dxa" w:w="100"/>
            </w:tcMar>
          </w:tcPr>
          <w:p>
            <w:r>
              <w:rPr>
                <w:b w:val="false"/>
                <w:bCs w:val="false"/>
                <w:sz w:val="19"/>
                <w:szCs w:val="19"/>
              </w:rPr>
              <w:t xml:space="preserve">Companies House</w:t>
            </w:r>
          </w:p>
        </w:tc>
        <w:tc>
          <w:tcPr>
            <w:tcW w:type="dxa" w:w="3300"/>
            <w:tcMar>
              <w:top w:type="dxa" w:w="80"/>
              <w:left w:type="dxa" w:w="100"/>
              <w:bottom w:type="dxa" w:w="80"/>
              <w:right w:type="dxa" w:w="100"/>
            </w:tcMar>
          </w:tcPr>
          <w:p>
            <w:r>
              <w:rPr>
                <w:b w:val="false"/>
                <w:bCs w:val="false"/>
                <w:sz w:val="19"/>
                <w:szCs w:val="19"/>
              </w:rPr>
              <w:t xml:space="preserve">via ch-proxy-worker.js CORS proxy</w:t>
            </w:r>
          </w:p>
        </w:tc>
        <w:tc>
          <w:tcPr>
            <w:tcW w:type="dxa" w:w="4460"/>
            <w:tcMar>
              <w:top w:type="dxa" w:w="80"/>
              <w:left w:type="dxa" w:w="100"/>
              <w:bottom w:type="dxa" w:w="80"/>
              <w:right w:type="dxa" w:w="100"/>
            </w:tcMar>
          </w:tcPr>
          <w:p>
            <w:r>
              <w:rPr>
                <w:b w:val="false"/>
                <w:bCs w:val="false"/>
                <w:sz w:val="19"/>
                <w:szCs w:val="19"/>
              </w:rPr>
              <w:t xml:space="preserve">Supplier Intelligence (due-diligence-drawer.js)</w:t>
            </w:r>
          </w:p>
        </w:tc>
      </w:tr>
      <w:tr>
        <w:tc>
          <w:tcPr>
            <w:tcW w:type="dxa" w:w="1700"/>
            <w:tcMar>
              <w:top w:type="dxa" w:w="80"/>
              <w:left w:type="dxa" w:w="100"/>
              <w:bottom w:type="dxa" w:w="80"/>
              <w:right w:type="dxa" w:w="100"/>
            </w:tcMar>
          </w:tcPr>
          <w:p>
            <w:r>
              <w:rPr>
                <w:b w:val="false"/>
                <w:bCs w:val="false"/>
                <w:sz w:val="19"/>
                <w:szCs w:val="19"/>
              </w:rPr>
              <w:t xml:space="preserve">postcodes.io</w:t>
            </w:r>
          </w:p>
        </w:tc>
        <w:tc>
          <w:tcPr>
            <w:tcW w:type="dxa" w:w="3300"/>
            <w:tcMar>
              <w:top w:type="dxa" w:w="80"/>
              <w:left w:type="dxa" w:w="100"/>
              <w:bottom w:type="dxa" w:w="80"/>
              <w:right w:type="dxa" w:w="100"/>
            </w:tcMar>
          </w:tcPr>
          <w:p>
            <w:r>
              <w:rPr>
                <w:b w:val="false"/>
                <w:bCs w:val="false"/>
                <w:sz w:val="19"/>
                <w:szCs w:val="19"/>
              </w:rPr>
              <w:t xml:space="preserve">Free public API, no key</w:t>
            </w:r>
          </w:p>
        </w:tc>
        <w:tc>
          <w:tcPr>
            <w:tcW w:type="dxa" w:w="4460"/>
            <w:tcMar>
              <w:top w:type="dxa" w:w="80"/>
              <w:left w:type="dxa" w:w="100"/>
              <w:bottom w:type="dxa" w:w="80"/>
              <w:right w:type="dxa" w:w="100"/>
            </w:tcMar>
          </w:tcPr>
          <w:p>
            <w:r>
              <w:rPr>
                <w:b w:val="false"/>
                <w:bCs w:val="false"/>
                <w:sz w:val="19"/>
                <w:szCs w:val="19"/>
              </w:rPr>
              <w:t xml:space="preserve">Postcode lookup for Social Value Finder</w:t>
            </w:r>
          </w:p>
        </w:tc>
      </w:tr>
    </w:tbl>
    <w:p>
      <w:pPr>
        <w:pStyle w:val="Heading1"/>
        <w:spacing w:after="160" w:before="360"/>
      </w:pPr>
      <w:r>
        <w:t xml:space="preserve">4. Knowledge Base</w:t>
      </w:r>
    </w:p>
    <w:p>
      <w:pPr>
        <w:spacing w:after="140"/>
      </w:pPr>
      <w:r>
        <w:t xml:space="preserve">This is the single biggest change since v9. The old single 25,083-chunk frankie6_kb.json is gone, replaced by a five-partition architecture with an entity graph on top. Four partitions load eagerly (in parallel) on every session; the fifth — reactors — is 61,374 chunks of real reactor design-document text and loads only on demand.</w:t>
      </w:r>
    </w:p>
    <w:p>
      <w:pPr>
        <w:pStyle w:val="Heading2"/>
        <w:spacing w:after="120" w:before="260"/>
      </w:pPr>
      <w:r>
        <w:t xml:space="preserve">Partitions (js/retrieval.js PARTITIONS config)</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3300"/>
        <w:gridCol w:w="1760"/>
      </w:tblGrid>
      <w:tr>
        <w:trPr>
          <w:tblHeader/>
        </w:trPr>
        <w:tc>
          <w:tcPr>
            <w:tcW w:type="dxa" w:w="1200"/>
            <w:shd w:fill="10243A" w:val="clear"/>
            <w:tcMar>
              <w:top w:type="dxa" w:w="80"/>
              <w:left w:type="dxa" w:w="100"/>
              <w:bottom w:type="dxa" w:w="80"/>
              <w:right w:type="dxa" w:w="100"/>
            </w:tcMar>
          </w:tcPr>
          <w:p>
            <w:r>
              <w:rPr>
                <w:b/>
                <w:bCs/>
                <w:color w:val="FFFFFF"/>
                <w:sz w:val="19"/>
                <w:szCs w:val="19"/>
              </w:rPr>
              <w:t xml:space="preserve">Partition</w:t>
            </w:r>
          </w:p>
        </w:tc>
        <w:tc>
          <w:tcPr>
            <w:tcW w:type="dxa" w:w="3200"/>
            <w:shd w:fill="10243A" w:val="clear"/>
            <w:tcMar>
              <w:top w:type="dxa" w:w="80"/>
              <w:left w:type="dxa" w:w="100"/>
              <w:bottom w:type="dxa" w:w="80"/>
              <w:right w:type="dxa" w:w="100"/>
            </w:tcMar>
          </w:tcPr>
          <w:p>
            <w:r>
              <w:rPr>
                <w:b/>
                <w:bCs/>
                <w:color w:val="FFFFFF"/>
                <w:sz w:val="19"/>
                <w:szCs w:val="19"/>
              </w:rPr>
              <w:t xml:space="preserve">File</w:t>
            </w:r>
          </w:p>
        </w:tc>
        <w:tc>
          <w:tcPr>
            <w:tcW w:type="dxa" w:w="3300"/>
            <w:shd w:fill="10243A" w:val="clear"/>
            <w:tcMar>
              <w:top w:type="dxa" w:w="80"/>
              <w:left w:type="dxa" w:w="100"/>
              <w:bottom w:type="dxa" w:w="80"/>
              <w:right w:type="dxa" w:w="100"/>
            </w:tcMar>
          </w:tcPr>
          <w:p>
            <w:r>
              <w:rPr>
                <w:b/>
                <w:bCs/>
                <w:color w:val="FFFFFF"/>
                <w:sz w:val="19"/>
                <w:szCs w:val="19"/>
              </w:rPr>
              <w:t xml:space="preserve">Chunks (observed live)</w:t>
            </w:r>
          </w:p>
        </w:tc>
        <w:tc>
          <w:tcPr>
            <w:tcW w:type="dxa" w:w="1760"/>
            <w:shd w:fill="10243A" w:val="clear"/>
            <w:tcMar>
              <w:top w:type="dxa" w:w="80"/>
              <w:left w:type="dxa" w:w="100"/>
              <w:bottom w:type="dxa" w:w="80"/>
              <w:right w:type="dxa" w:w="100"/>
            </w:tcMar>
          </w:tcPr>
          <w:p>
            <w:r>
              <w:rPr>
                <w:b/>
                <w:bCs/>
                <w:color w:val="FFFFFF"/>
                <w:sz w:val="19"/>
                <w:szCs w:val="19"/>
              </w:rPr>
              <w:t xml:space="preserve">Loaded</w:t>
            </w:r>
          </w:p>
        </w:tc>
      </w:tr>
      <w:tr>
        <w:tc>
          <w:tcPr>
            <w:tcW w:type="dxa" w:w="1200"/>
            <w:tcMar>
              <w:top w:type="dxa" w:w="80"/>
              <w:left w:type="dxa" w:w="100"/>
              <w:bottom w:type="dxa" w:w="80"/>
              <w:right w:type="dxa" w:w="100"/>
            </w:tcMar>
          </w:tcPr>
          <w:p>
            <w:r>
              <w:rPr>
                <w:b w:val="false"/>
                <w:bCs w:val="false"/>
                <w:sz w:val="19"/>
                <w:szCs w:val="19"/>
              </w:rPr>
              <w:t xml:space="preserve">handbook</w:t>
            </w:r>
          </w:p>
        </w:tc>
        <w:tc>
          <w:tcPr>
            <w:tcW w:type="dxa" w:w="3200"/>
            <w:tcMar>
              <w:top w:type="dxa" w:w="80"/>
              <w:left w:type="dxa" w:w="100"/>
              <w:bottom w:type="dxa" w:w="80"/>
              <w:right w:type="dxa" w:w="100"/>
            </w:tcMar>
          </w:tcPr>
          <w:p>
            <w:r>
              <w:rPr>
                <w:b w:val="false"/>
                <w:bCs w:val="false"/>
                <w:sz w:val="19"/>
                <w:szCs w:val="19"/>
              </w:rPr>
              <w:t xml:space="preserve">frankie_handbook_kb.json + vectors</w:t>
            </w:r>
          </w:p>
        </w:tc>
        <w:tc>
          <w:tcPr>
            <w:tcW w:type="dxa" w:w="3300"/>
            <w:tcMar>
              <w:top w:type="dxa" w:w="80"/>
              <w:left w:type="dxa" w:w="100"/>
              <w:bottom w:type="dxa" w:w="80"/>
              <w:right w:type="dxa" w:w="100"/>
            </w:tcMar>
          </w:tcPr>
          <w:p>
            <w:r>
              <w:rPr>
                <w:b w:val="false"/>
                <w:bCs w:val="false"/>
                <w:sz w:val="19"/>
                <w:szCs w:val="19"/>
              </w:rPr>
              <w:t xml:space="preserve">134</w:t>
            </w:r>
          </w:p>
        </w:tc>
        <w:tc>
          <w:tcPr>
            <w:tcW w:type="dxa" w:w="1760"/>
            <w:tcMar>
              <w:top w:type="dxa" w:w="80"/>
              <w:left w:type="dxa" w:w="100"/>
              <w:bottom w:type="dxa" w:w="80"/>
              <w:right w:type="dxa" w:w="100"/>
            </w:tcMar>
          </w:tcPr>
          <w:p>
            <w:r>
              <w:rPr>
                <w:b w:val="false"/>
                <w:bCs w:val="false"/>
                <w:sz w:val="19"/>
                <w:szCs w:val="19"/>
              </w:rPr>
              <w:t xml:space="preserve">Eager, priority-boosted (×1.4) — curated member guidance, given priority over raw supplier-report evidence for "how do I…" queries</w:t>
            </w:r>
          </w:p>
        </w:tc>
      </w:tr>
      <w:tr>
        <w:tc>
          <w:tcPr>
            <w:tcW w:type="dxa" w:w="1200"/>
            <w:tcMar>
              <w:top w:type="dxa" w:w="80"/>
              <w:left w:type="dxa" w:w="100"/>
              <w:bottom w:type="dxa" w:w="80"/>
              <w:right w:type="dxa" w:w="100"/>
            </w:tcMar>
          </w:tcPr>
          <w:p>
            <w:r>
              <w:rPr>
                <w:b w:val="false"/>
                <w:bCs w:val="false"/>
                <w:sz w:val="19"/>
                <w:szCs w:val="19"/>
              </w:rPr>
              <w:t xml:space="preserve">supplier</w:t>
            </w:r>
          </w:p>
        </w:tc>
        <w:tc>
          <w:tcPr>
            <w:tcW w:type="dxa" w:w="3200"/>
            <w:tcMar>
              <w:top w:type="dxa" w:w="80"/>
              <w:left w:type="dxa" w:w="100"/>
              <w:bottom w:type="dxa" w:w="80"/>
              <w:right w:type="dxa" w:w="100"/>
            </w:tcMar>
          </w:tcPr>
          <w:p>
            <w:r>
              <w:rPr>
                <w:b w:val="false"/>
                <w:bCs w:val="false"/>
                <w:sz w:val="19"/>
                <w:szCs w:val="19"/>
              </w:rPr>
              <w:t xml:space="preserve">frankie7_supplier_kb.json + vectors</w:t>
            </w:r>
          </w:p>
        </w:tc>
        <w:tc>
          <w:tcPr>
            <w:tcW w:type="dxa" w:w="3300"/>
            <w:tcMar>
              <w:top w:type="dxa" w:w="80"/>
              <w:left w:type="dxa" w:w="100"/>
              <w:bottom w:type="dxa" w:w="80"/>
              <w:right w:type="dxa" w:w="100"/>
            </w:tcMar>
          </w:tcPr>
          <w:p>
            <w:r>
              <w:rPr>
                <w:b w:val="false"/>
                <w:bCs w:val="false"/>
                <w:sz w:val="19"/>
                <w:szCs w:val="19"/>
              </w:rPr>
              <w:t xml:space="preserve">2,164</w:t>
            </w:r>
          </w:p>
        </w:tc>
        <w:tc>
          <w:tcPr>
            <w:tcW w:type="dxa" w:w="1760"/>
            <w:tcMar>
              <w:top w:type="dxa" w:w="80"/>
              <w:left w:type="dxa" w:w="100"/>
              <w:bottom w:type="dxa" w:w="80"/>
              <w:right w:type="dxa" w:w="100"/>
            </w:tcMar>
          </w:tcPr>
          <w:p>
            <w:r>
              <w:rPr>
                <w:b w:val="false"/>
                <w:bCs w:val="false"/>
                <w:sz w:val="19"/>
                <w:szCs w:val="19"/>
              </w:rPr>
              <w:t xml:space="preserve">Eager</w:t>
            </w:r>
          </w:p>
        </w:tc>
      </w:tr>
      <w:tr>
        <w:tc>
          <w:tcPr>
            <w:tcW w:type="dxa" w:w="1200"/>
            <w:tcMar>
              <w:top w:type="dxa" w:w="80"/>
              <w:left w:type="dxa" w:w="100"/>
              <w:bottom w:type="dxa" w:w="80"/>
              <w:right w:type="dxa" w:w="100"/>
            </w:tcMar>
          </w:tcPr>
          <w:p>
            <w:r>
              <w:rPr>
                <w:b w:val="false"/>
                <w:bCs w:val="false"/>
                <w:sz w:val="19"/>
                <w:szCs w:val="19"/>
              </w:rPr>
              <w:t xml:space="preserve">toolkit</w:t>
            </w:r>
          </w:p>
        </w:tc>
        <w:tc>
          <w:tcPr>
            <w:tcW w:type="dxa" w:w="3200"/>
            <w:tcMar>
              <w:top w:type="dxa" w:w="80"/>
              <w:left w:type="dxa" w:w="100"/>
              <w:bottom w:type="dxa" w:w="80"/>
              <w:right w:type="dxa" w:w="100"/>
            </w:tcMar>
          </w:tcPr>
          <w:p>
            <w:r>
              <w:rPr>
                <w:b w:val="false"/>
                <w:bCs w:val="false"/>
                <w:sz w:val="19"/>
                <w:szCs w:val="19"/>
              </w:rPr>
              <w:t xml:space="preserve">frankie_toolkit_kb.json + vectors</w:t>
            </w:r>
          </w:p>
        </w:tc>
        <w:tc>
          <w:tcPr>
            <w:tcW w:type="dxa" w:w="3300"/>
            <w:tcMar>
              <w:top w:type="dxa" w:w="80"/>
              <w:left w:type="dxa" w:w="100"/>
              <w:bottom w:type="dxa" w:w="80"/>
              <w:right w:type="dxa" w:w="100"/>
            </w:tcMar>
          </w:tcPr>
          <w:p>
            <w:r>
              <w:rPr>
                <w:b w:val="false"/>
                <w:bCs w:val="false"/>
                <w:sz w:val="19"/>
                <w:szCs w:val="19"/>
              </w:rPr>
              <w:t xml:space="preserve">1,580</w:t>
            </w:r>
          </w:p>
        </w:tc>
        <w:tc>
          <w:tcPr>
            <w:tcW w:type="dxa" w:w="1760"/>
            <w:tcMar>
              <w:top w:type="dxa" w:w="80"/>
              <w:left w:type="dxa" w:w="100"/>
              <w:bottom w:type="dxa" w:w="80"/>
              <w:right w:type="dxa" w:w="100"/>
            </w:tcMar>
          </w:tcPr>
          <w:p>
            <w:r>
              <w:rPr>
                <w:b w:val="false"/>
                <w:bCs w:val="false"/>
                <w:sz w:val="19"/>
                <w:szCs w:val="19"/>
              </w:rPr>
              <w:t xml:space="preserve">Eager</w:t>
            </w:r>
          </w:p>
        </w:tc>
      </w:tr>
      <w:tr>
        <w:tc>
          <w:tcPr>
            <w:tcW w:type="dxa" w:w="1200"/>
            <w:tcMar>
              <w:top w:type="dxa" w:w="80"/>
              <w:left w:type="dxa" w:w="100"/>
              <w:bottom w:type="dxa" w:w="80"/>
              <w:right w:type="dxa" w:w="100"/>
            </w:tcMar>
          </w:tcPr>
          <w:p>
            <w:r>
              <w:rPr>
                <w:b w:val="false"/>
                <w:bCs w:val="false"/>
                <w:sz w:val="19"/>
                <w:szCs w:val="19"/>
              </w:rPr>
              <w:t xml:space="preserve">regs</w:t>
            </w:r>
          </w:p>
        </w:tc>
        <w:tc>
          <w:tcPr>
            <w:tcW w:type="dxa" w:w="3200"/>
            <w:tcMar>
              <w:top w:type="dxa" w:w="80"/>
              <w:left w:type="dxa" w:w="100"/>
              <w:bottom w:type="dxa" w:w="80"/>
              <w:right w:type="dxa" w:w="100"/>
            </w:tcMar>
          </w:tcPr>
          <w:p>
            <w:r>
              <w:rPr>
                <w:b w:val="false"/>
                <w:bCs w:val="false"/>
                <w:sz w:val="19"/>
                <w:szCs w:val="19"/>
              </w:rPr>
              <w:t xml:space="preserve">frankie_regs_kb.json + vectors</w:t>
            </w:r>
          </w:p>
        </w:tc>
        <w:tc>
          <w:tcPr>
            <w:tcW w:type="dxa" w:w="3300"/>
            <w:tcMar>
              <w:top w:type="dxa" w:w="80"/>
              <w:left w:type="dxa" w:w="100"/>
              <w:bottom w:type="dxa" w:w="80"/>
              <w:right w:type="dxa" w:w="100"/>
            </w:tcMar>
          </w:tcPr>
          <w:p>
            <w:r>
              <w:rPr>
                <w:b w:val="false"/>
                <w:bCs w:val="false"/>
                <w:sz w:val="19"/>
                <w:szCs w:val="19"/>
              </w:rPr>
              <w:t xml:space="preserve">1,666 of an original 11,593 — the live blob files are now the narrowed build itself (deployed this version, kb_version frankie_regs_v2_narrowed_plus_cyber: onr_sap 631, onr_tag 519, gda_guidance 463, cyber_security 53); the client-side REGS_CATEGORY_ALLOWLIST filter in retrieval.js still runs but is now a redundant no-op (§9)</w:t>
            </w:r>
          </w:p>
        </w:tc>
        <w:tc>
          <w:tcPr>
            <w:tcW w:type="dxa" w:w="1760"/>
            <w:tcMar>
              <w:top w:type="dxa" w:w="80"/>
              <w:left w:type="dxa" w:w="100"/>
              <w:bottom w:type="dxa" w:w="80"/>
              <w:right w:type="dxa" w:w="100"/>
            </w:tcMar>
          </w:tcPr>
          <w:p>
            <w:r>
              <w:rPr>
                <w:b w:val="false"/>
                <w:bCs w:val="false"/>
                <w:sz w:val="19"/>
                <w:szCs w:val="19"/>
              </w:rPr>
              <w:t xml:space="preserve">Eager</w:t>
            </w:r>
          </w:p>
        </w:tc>
      </w:tr>
      <w:tr>
        <w:tc>
          <w:tcPr>
            <w:tcW w:type="dxa" w:w="1200"/>
            <w:tcMar>
              <w:top w:type="dxa" w:w="80"/>
              <w:left w:type="dxa" w:w="100"/>
              <w:bottom w:type="dxa" w:w="80"/>
              <w:right w:type="dxa" w:w="100"/>
            </w:tcMar>
          </w:tcPr>
          <w:p>
            <w:r>
              <w:rPr>
                <w:b w:val="false"/>
                <w:bCs w:val="false"/>
                <w:sz w:val="19"/>
                <w:szCs w:val="19"/>
              </w:rPr>
              <w:t xml:space="preserve">reactors</w:t>
            </w:r>
          </w:p>
        </w:tc>
        <w:tc>
          <w:tcPr>
            <w:tcW w:type="dxa" w:w="3200"/>
            <w:tcMar>
              <w:top w:type="dxa" w:w="80"/>
              <w:left w:type="dxa" w:w="100"/>
              <w:bottom w:type="dxa" w:w="80"/>
              <w:right w:type="dxa" w:w="100"/>
            </w:tcMar>
          </w:tcPr>
          <w:p>
            <w:r>
              <w:rPr>
                <w:b w:val="false"/>
                <w:bCs w:val="false"/>
                <w:sz w:val="19"/>
                <w:szCs w:val="19"/>
              </w:rPr>
              <w:t xml:space="preserve">frankie_reactors_kb.json (no vectors — keyword + graph only)</w:t>
            </w:r>
          </w:p>
        </w:tc>
        <w:tc>
          <w:tcPr>
            <w:tcW w:type="dxa" w:w="3300"/>
            <w:tcMar>
              <w:top w:type="dxa" w:w="80"/>
              <w:left w:type="dxa" w:w="100"/>
              <w:bottom w:type="dxa" w:w="80"/>
              <w:right w:type="dxa" w:w="100"/>
            </w:tcMar>
          </w:tcPr>
          <w:p>
            <w:r>
              <w:rPr>
                <w:b w:val="false"/>
                <w:bCs w:val="false"/>
                <w:sz w:val="19"/>
                <w:szCs w:val="19"/>
              </w:rPr>
              <w:t xml:space="preserve">61,374</w:t>
            </w:r>
          </w:p>
        </w:tc>
        <w:tc>
          <w:tcPr>
            <w:tcW w:type="dxa" w:w="1760"/>
            <w:tcMar>
              <w:top w:type="dxa" w:w="80"/>
              <w:left w:type="dxa" w:w="100"/>
              <w:bottom w:type="dxa" w:w="80"/>
              <w:right w:type="dxa" w:w="100"/>
            </w:tcMar>
          </w:tcPr>
          <w:p>
            <w:r>
              <w:rPr>
                <w:b w:val="false"/>
                <w:bCs w:val="false"/>
                <w:sz w:val="19"/>
                <w:szCs w:val="19"/>
              </w:rPr>
              <w:t xml:space="preserve">Lazy — retired from default chat retrieval for the F4N-member soft launch (see below); reachable via NucColpedia’s Reactor Documents tab instead (§7)</w:t>
            </w:r>
          </w:p>
        </w:tc>
      </w:tr>
    </w:tbl>
    <w:p>
      <w:pPr>
        <w:spacing w:after="160"/>
      </w:pPr>
      <w:r>
        <w:rPr>
          <w:i/>
          <w:iCs/>
          <w:color w:val="65758A"/>
        </w:rPr>
        <w:t xml:space="preserve">The live "Brain" status readout separately reports 76,845 chunks / 5-of-5 partitions loaded, and 15,471 vectors across 4-of-4 vector-bearing partitions — quoted here as directly observed rather than reconciled against the per-partition figures above, since getKbStats() computes its own aggregate.</w:t>
      </w:r>
    </w:p>
    <w:p>
      <w:pPr>
        <w:pStyle w:val="Heading2"/>
        <w:spacing w:after="120" w:before="260"/>
      </w:pPr>
      <w:r>
        <w:t>Regs partition — narrowed at the source as of this version</w:t>
      </w:r>
    </w:p>
    <w:p>
      <w:pPr>
        <w:spacing w:after="140"/>
      </w:pPr>
      <w:r>
        <w:t xml:space="preserve">retrieval.js previously fetched the full frankie_regs_kb.json (31.39 MiB, 11,593 chunks) and frankie_regs_vectors.json (326.51 MiB) from blob on every page load, then filtered client-side at runtime down to UK-relevant categories via a hardcoded REGS_CATEGORY_ALLOWLIST (onr_sap, onr_tag, gda_guidance, cyber_security) — discarding ~86% of the downloaded payload every session, a gap a code comment already flagged as planned work (“folding this into the regs KB build itself is part of the corpus rebuild plan”). That build had already been done and was sitting unused locally: frankie_regs_kb_NARROWED.json/vectors (1,666 chunks/vectors, ~5.3MB + ~47MB, built 2026-09-08, proper build-script output with build metadata and dupes-removed count, exactly matching the live client-side-filtered chunk count and categories). Rene deployed these to Azure Blob himself, overwriting the existing frankie_regs_kb.json/vectors blobs — same filenames the partition config already expects, so no code change was needed — cutting the regs partition’s payload from ~31MB/326MB to ~5.3MB/47MB per session. The client-side allowlist filter still runs but now filters already-filtered data, a harmless no-op (§9). A stale code comment directly above REGS_CATEGORY_ALLOWLIST — it says the filter “drops… cyber_security,” but the allowlist actually keeps it — was also found in passing, not yet fixed (§9).</w:t>
      </w:r>
    </w:p>
    <w:p>
      <w:pPr>
        <w:pStyle w:val="Heading2"/>
        <w:spacing w:after="120" w:before="260"/>
      </w:pPr>
      <w:r>
        <w:t>Reactors partition — retired from chat by default, now reachable two ways</w:t>
      </w:r>
    </w:p>
    <w:p>
      <w:pPr>
        <w:spacing w:after="140"/>
      </w:pPr>
      <w:r>
        <w:t>js/retrieval.js’s searchKnowledgeBase() no longer hardcodes const nuclear = false. As of this version, a new isNuclearModeEnabled() helper checks a site-wide Supabase flag (nr_site_settings key nuclear_mode_enabled, fail-closed — off unless SCC has explicitly turned it on) and combines it with the original isNuclearQuery()/NUCLEAR_SIGNALS keyword detector: const nuclear = (await isNuclearModeEnabled()) &amp;&amp; isNuclearQuery(query). SCC controls the flag from scc.html’s existing Website Features panel (a separate, legacy-repo file — see §2’s “Where it actually lives now”); while off, chat behaves exactly as it did at v12. The same 61,374-chunk KB is also still reachable, independently of this flag, through NucColpedia’s Reactor Documents tab (§7, added at v12).</w:t>
      </w:r>
    </w:p>
    <w:p>
      <w:pPr>
        <w:pStyle w:val="Heading2"/>
        <w:spacing w:after="120" w:before="260"/>
      </w:pPr>
      <w:r>
        <w:t xml:space="preserve">Entity Graph</w:t>
      </w:r>
    </w:p>
    <w:p>
      <w:pPr>
        <w:spacing w:after="140"/>
      </w:pPr>
      <w:r>
        <w:t xml:space="preserve">frankie_graph.json (an entity index built separately, ~15.8MB) is loaded alongside the KB. Query text is scanned for known entities — SAP codes, TAG codes, NUREG numbers, reactor names/aliases (AP1000, ABWR, UK EPR, etc.), F4N pillar names, materials, components, standards, regulatory bodies — and any chunk the graph pins to a matched entity gets a flat +3.0 score boost (GRAPH_BOOST) on top of its keyword/vector score.</w:t>
      </w:r>
    </w:p>
    <w:p>
      <w:pPr>
        <w:pStyle w:val="Heading2"/>
        <w:spacing w:after="120" w:before="260"/>
      </w:pPr>
      <w:r>
        <w:t xml:space="preserve">Scoring</w:t>
      </w:r>
    </w:p>
    <w:p>
      <w:pPr>
        <w:pStyle w:val="ListParagraph"/>
        <w:numPr>
          <w:ilvl w:val="0"/>
          <w:numId w:val="1"/>
        </w:numPr>
        <w:spacing w:after="60"/>
      </w:pPr>
      <w:r>
        <w:t xml:space="preserve">Hybrid: 60% vector cosine similarity + 40% keyword (per-word, term-frequency) when an OpenAI embedding is available for the query; keyword-only fallback otherwise</w:t>
      </w:r>
    </w:p>
    <w:p>
      <w:pPr>
        <w:pStyle w:val="ListParagraph"/>
        <w:numPr>
          <w:ilvl w:val="0"/>
          <w:numId w:val="1"/>
        </w:numPr>
        <w:spacing w:after="60"/>
      </w:pPr>
      <w:r>
        <w:t xml:space="preserve">Anonymised supplier-report evidence chunks (F4N/Reports/BE, F4N/Reports/NSS source folders) are demoted ×0.55 relative to guidance content, so genuine how-to guidance outranks someone else’s report excerpt unless the report is a much stronger match</w:t>
      </w:r>
    </w:p>
    <w:p>
      <w:pPr>
        <w:pStyle w:val="ListParagraph"/>
        <w:numPr>
          <w:ilvl w:val="0"/>
          <w:numId w:val="1"/>
        </w:numPr>
        <w:spacing w:after="60"/>
      </w:pPr>
      <w:r>
        <w:t xml:space="preserve">Handbook chunks are boosted ×1.4 for the same reason, the other direction</w:t>
      </w:r>
    </w:p>
    <w:p>
      <w:pPr>
        <w:pStyle w:val="ListParagraph"/>
        <w:numPr>
          <w:ilvl w:val="0"/>
          <w:numId w:val="1"/>
        </w:numPr>
        <w:spacing w:after="60"/>
      </w:pPr>
      <w:r>
        <w:t xml:space="preserve">Tier gating: a free-tier viewer has reference_only and non-company/both-audience chunks filtered out before scoring; gated hits are still counted (up to 3) for an upsell prompt without their content being shown</w:t>
      </w:r>
    </w:p>
    <w:p>
      <w:pPr>
        <w:pStyle w:val="ListParagraph"/>
        <w:numPr>
          <w:ilvl w:val="0"/>
          <w:numId w:val="1"/>
        </w:numPr>
        <w:spacing w:after="60"/>
      </w:pPr>
      <w:r>
        <w:t xml:space="preserve">Multi-word queries are matched per word (OR), not as a literal phrase — worth calling out because the identical bug class (literal-phrase substring matching silently returning zero results on any multi-word query) was found and fixed twice this version in other search surfaces: Plant Explorer’s full-text search and the new Reactor Documents search (§7)</w:t>
      </w:r>
    </w:p>
    <w:p>
      <w:pPr>
        <w:pStyle w:val="Heading2"/>
        <w:spacing w:after="120" w:before="260"/>
      </w:pPr>
      <w:r>
        <w:t xml:space="preserve">KB Build Process</w:t>
      </w:r>
    </w:p>
    <w:p>
      <w:pPr>
        <w:spacing w:after="140"/>
      </w:pPr>
      <w:r>
        <w:t xml:space="preserve">Each partition has its own dedicated build script under Feed_Frankie/Pythons/ (e.g. build_frankie_reactors_kb.py, build_frankie_handbook_kb.py). The reactors build auto-discovers every subfolder of Feed_Frankie/Reactors/ (skips a documented IGNORE_DIRS list of pipeline working folders), stage-1 filters files by keyword relevance score before full extraction, tags every chunk with reactor_type/doc_category/discipline, and writes a build meta block (chunk counts, dupes removed, reactor breakdown) into the output JSON alongside the chunks themselves.</w:t>
      </w:r>
    </w:p>
    <w:p>
      <w:pPr>
        <w:pStyle w:val="Heading1"/>
        <w:spacing w:after="160" w:before="360"/>
      </w:pPr>
      <w:r>
        <w:t xml:space="preserve">5. File Structure</w:t>
      </w:r>
    </w:p>
    <w:p>
      <w:pPr>
        <w:spacing w:after="140"/>
      </w:pPr>
      <w:r>
        <w:t xml:space="preserve">Regenerated directly from the current frankie/ folder (backup/.bak/.backup-* files omitted — the repo carries several dated snapshot copies of files taken before risky edits, per its own working convention).</w:t>
      </w:r>
    </w:p>
    <w:p>
      <w:pPr>
        <w:pStyle w:val="Heading2"/>
        <w:spacing w:after="120" w:before="260"/>
      </w:pPr>
      <w:r>
        <w:t xml:space="preserve">Root</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2600"/>
        <w:gridCol w:w="6860"/>
      </w:tblGrid>
      <w:tr>
        <w:trPr>
          <w:tblHeader/>
        </w:trPr>
        <w:tc>
          <w:tcPr>
            <w:tcW w:type="dxa" w:w="2600"/>
            <w:shd w:fill="10243A" w:val="clear"/>
            <w:tcMar>
              <w:top w:type="dxa" w:w="80"/>
              <w:left w:type="dxa" w:w="100"/>
              <w:bottom w:type="dxa" w:w="80"/>
              <w:right w:type="dxa" w:w="100"/>
            </w:tcMar>
          </w:tcPr>
          <w:p>
            <w:r>
              <w:rPr>
                <w:b/>
                <w:bCs/>
                <w:color w:val="FFFFFF"/>
                <w:sz w:val="19"/>
                <w:szCs w:val="19"/>
              </w:rPr>
              <w:t xml:space="preserve">File</w:t>
            </w:r>
          </w:p>
        </w:tc>
        <w:tc>
          <w:tcPr>
            <w:tcW w:type="dxa" w:w="6860"/>
            <w:shd w:fill="10243A" w:val="clear"/>
            <w:tcMar>
              <w:top w:type="dxa" w:w="80"/>
              <w:left w:type="dxa" w:w="100"/>
              <w:bottom w:type="dxa" w:w="80"/>
              <w:right w:type="dxa" w:w="100"/>
            </w:tcMar>
          </w:tcPr>
          <w:p>
            <w:r>
              <w:rPr>
                <w:b/>
                <w:bCs/>
                <w:color w:val="FFFFFF"/>
                <w:sz w:val="19"/>
                <w:szCs w:val="19"/>
              </w:rPr>
              <w:t xml:space="preserve">Purpose</w:t>
            </w:r>
          </w:p>
        </w:tc>
      </w:tr>
      <w:tr>
        <w:tc>
          <w:tcPr>
            <w:tcW w:type="dxa" w:w="2600"/>
            <w:tcMar>
              <w:top w:type="dxa" w:w="80"/>
              <w:left w:type="dxa" w:w="100"/>
              <w:bottom w:type="dxa" w:w="80"/>
              <w:right w:type="dxa" w:w="100"/>
            </w:tcMar>
          </w:tcPr>
          <w:p>
            <w:r>
              <w:rPr>
                <w:b w:val="false"/>
                <w:bCs w:val="false"/>
                <w:sz w:val="19"/>
                <w:szCs w:val="19"/>
              </w:rPr>
              <w:t xml:space="preserve">index.html</w:t>
            </w:r>
          </w:p>
        </w:tc>
        <w:tc>
          <w:tcPr>
            <w:tcW w:type="dxa" w:w="6860"/>
            <w:tcMar>
              <w:top w:type="dxa" w:w="80"/>
              <w:left w:type="dxa" w:w="100"/>
              <w:bottom w:type="dxa" w:w="80"/>
              <w:right w:type="dxa" w:w="100"/>
            </w:tcMar>
          </w:tcPr>
          <w:p>
            <w:r>
              <w:rPr>
                <w:b w:val="false"/>
                <w:bCs w:val="false"/>
                <w:sz w:val="19"/>
                <w:szCs w:val="19"/>
              </w:rPr>
              <w:t xml:space="preserve">App shell. Supabase auth gate at the top (visibility hidden → redirect if no session). CSP meta tag. Loads every CSS/JS module. Sidebar nav + hero landing + chat + right rail all live here.</w:t>
            </w:r>
          </w:p>
        </w:tc>
      </w:tr>
      <w:tr>
        <w:tc>
          <w:tcPr>
            <w:tcW w:type="dxa" w:w="2600"/>
            <w:tcMar>
              <w:top w:type="dxa" w:w="80"/>
              <w:left w:type="dxa" w:w="100"/>
              <w:bottom w:type="dxa" w:w="80"/>
              <w:right w:type="dxa" w:w="100"/>
            </w:tcMar>
          </w:tcPr>
          <w:p>
            <w:r>
              <w:rPr>
                <w:b w:val="false"/>
                <w:bCs w:val="false"/>
                <w:sz w:val="19"/>
                <w:szCs w:val="19"/>
              </w:rPr>
              <w:t xml:space="preserve">CHANGELOG.md</w:t>
            </w:r>
          </w:p>
        </w:tc>
        <w:tc>
          <w:tcPr>
            <w:tcW w:type="dxa" w:w="6860"/>
            <w:tcMar>
              <w:top w:type="dxa" w:w="80"/>
              <w:left w:type="dxa" w:w="100"/>
              <w:bottom w:type="dxa" w:w="80"/>
              <w:right w:type="dxa" w:w="100"/>
            </w:tcMar>
          </w:tcPr>
          <w:p>
            <w:r>
              <w:rPr>
                <w:b w:val="false"/>
                <w:bCs w:val="false"/>
                <w:sz w:val="19"/>
                <w:szCs w:val="19"/>
              </w:rPr>
              <w:t xml:space="preserve">Dated change log, entries through 2026-08-05. Later changes (partition rebuild, this version’s own work) are documented in code comments and session handover docs instead — see §1.</w:t>
            </w:r>
          </w:p>
        </w:tc>
      </w:tr>
      <w:tr>
        <w:tc>
          <w:tcPr>
            <w:tcW w:type="dxa" w:w="2600"/>
            <w:tcMar>
              <w:top w:type="dxa" w:w="80"/>
              <w:left w:type="dxa" w:w="100"/>
              <w:bottom w:type="dxa" w:w="80"/>
              <w:right w:type="dxa" w:w="100"/>
            </w:tcMar>
          </w:tcPr>
          <w:p>
            <w:r>
              <w:rPr>
                <w:b w:val="false"/>
                <w:bCs w:val="false"/>
                <w:sz w:val="19"/>
                <w:szCs w:val="19"/>
              </w:rPr>
              <w:t xml:space="preserve">kb/ (local)</w:t>
            </w:r>
          </w:p>
        </w:tc>
        <w:tc>
          <w:tcPr>
            <w:tcW w:type="dxa" w:w="6860"/>
            <w:tcMar>
              <w:top w:type="dxa" w:w="80"/>
              <w:left w:type="dxa" w:w="100"/>
              <w:bottom w:type="dxa" w:w="80"/>
              <w:right w:type="dxa" w:w="100"/>
            </w:tcMar>
          </w:tcPr>
          <w:p>
            <w:r>
              <w:rPr>
                <w:b w:val="false"/>
                <w:bCs w:val="false"/>
                <w:sz w:val="19"/>
                <w:szCs w:val="19"/>
              </w:rPr>
              <w:t xml:space="preserve">A handful of small static files only (assessment_data.json, be_evidence_map.json, faq-answers.json, handbook_url_map.json) plus a stray full copy of frankie_graph.json. This version’s faq-answers.json content-accuracy rewrite (§7) started from this local copy, but the corrected file was deployed by Rene straight to the frankie-kb blob container via the Azure Portal, not through this repo — the local copy is not automatically kept in sync. The local frankie_regs_kb_NARROWED.json/vectors previously described here as “stray… not what the deployed app fetches” were, this version, the actual source Rene uploaded to replace the live regs blob files (§4/§7) — so the local kb/ folder was the origin of what’s now live, even though the folder itself is still not what the client fetches at runtime; every partition/vector/graph file the client uses comes from the Worker’s /kb/* route (Azure Blob), not this folder. Treat this folder as legacy/staging, not a live data source.</w:t>
            </w:r>
          </w:p>
        </w:tc>
      </w:tr>
      <w:tr>
        <w:tc>
          <w:tcPr>
            <w:tcW w:type="dxa" w:w="2600"/>
            <w:tcMar>
              <w:top w:type="dxa" w:w="80"/>
              <w:left w:type="dxa" w:w="100"/>
              <w:bottom w:type="dxa" w:w="80"/>
              <w:right w:type="dxa" w:w="100"/>
            </w:tcMar>
          </w:tcPr>
          <w:p>
            <w:r>
              <w:rPr>
                <w:b w:val="false"/>
                <w:bCs w:val="false"/>
                <w:sz w:val="19"/>
                <w:szCs w:val="19"/>
              </w:rPr>
              <w:t xml:space="preserve">data/nuccolpedia_data.json</w:t>
            </w:r>
          </w:p>
        </w:tc>
        <w:tc>
          <w:tcPr>
            <w:tcW w:type="dxa" w:w="6860"/>
            <w:tcMar>
              <w:top w:type="dxa" w:w="80"/>
              <w:left w:type="dxa" w:w="100"/>
              <w:bottom w:type="dxa" w:w="80"/>
              <w:right w:type="dxa" w:w="100"/>
            </w:tcMar>
          </w:tcPr>
          <w:p>
            <w:r>
              <w:rPr>
                <w:b w:val="false"/>
                <w:bCs w:val="false"/>
                <w:sz w:val="19"/>
                <w:szCs w:val="19"/>
              </w:rPr>
              <w:t xml:space="preserve">~1.1MB, 924 curated research-link entries (category/country/doctype/topics) — fetched same-origin, unrelated to the Worker-gated KB partitions.</w:t>
            </w:r>
          </w:p>
        </w:tc>
      </w:tr>
      <w:tr>
        <w:tc>
          <w:tcPr>
            <w:tcW w:type="dxa" w:w="2600"/>
            <w:tcMar>
              <w:top w:type="dxa" w:w="80"/>
              <w:left w:type="dxa" w:w="100"/>
              <w:bottom w:type="dxa" w:w="80"/>
              <w:right w:type="dxa" w:w="100"/>
            </w:tcMar>
          </w:tcPr>
          <w:p>
            <w:r>
              <w:rPr>
                <w:b w:val="false"/>
                <w:bCs w:val="false"/>
                <w:sz w:val="19"/>
                <w:szCs w:val="19"/>
              </w:rPr>
              <w:t xml:space="preserve">images/plant-explorer/plant_tree_v2.json</w:t>
            </w:r>
          </w:p>
        </w:tc>
        <w:tc>
          <w:tcPr>
            <w:tcW w:type="dxa" w:w="6860"/>
            <w:tcMar>
              <w:top w:type="dxa" w:w="80"/>
              <w:left w:type="dxa" w:w="100"/>
              <w:bottom w:type="dxa" w:w="80"/>
              <w:right w:type="dxa" w:w="100"/>
            </w:tcMar>
          </w:tcPr>
          <w:p>
            <w:r>
              <w:rPr>
                <w:b w:val="false"/>
                <w:bCs w:val="false"/>
                <w:sz w:val="19"/>
                <w:szCs w:val="19"/>
              </w:rPr>
              <w:t xml:space="preserve">~12MB, fetched same-origin (no auth token needed). The real reactor-mapped Plant Explorer tree — 8,361+ subcomponents, 100% with reactors[]/instances[] across 18 designs. Regenerated from Reactor_BOM_DSE_Mapping_v3.xlsx via regen_tree.py (see §7). Deliberately decoupled from the chat’s older PlantDrawer feature, which still reads a generic, non-reactor-mapped tree via the Worker.</w:t>
            </w:r>
          </w:p>
        </w:tc>
      </w:tr>
    </w:tbl>
    <w:p>
      <w:pPr>
        <w:pStyle w:val="Heading2"/>
        <w:spacing w:after="120" w:before="260"/>
      </w:pPr>
      <w:r>
        <w:t xml:space="preserve">js/ — JavaScript Modules (current, non-exhaustive by design — ~50 files)</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2900"/>
        <w:gridCol w:w="6560"/>
      </w:tblGrid>
      <w:tr>
        <w:trPr>
          <w:tblHeader/>
        </w:trPr>
        <w:tc>
          <w:tcPr>
            <w:tcW w:type="dxa" w:w="2900"/>
            <w:shd w:fill="10243A" w:val="clear"/>
            <w:tcMar>
              <w:top w:type="dxa" w:w="80"/>
              <w:left w:type="dxa" w:w="100"/>
              <w:bottom w:type="dxa" w:w="80"/>
              <w:right w:type="dxa" w:w="100"/>
            </w:tcMar>
          </w:tcPr>
          <w:p>
            <w:r>
              <w:rPr>
                <w:b/>
                <w:bCs/>
                <w:color w:val="FFFFFF"/>
                <w:sz w:val="19"/>
                <w:szCs w:val="19"/>
              </w:rPr>
              <w:t xml:space="preserve">Module</w:t>
            </w:r>
          </w:p>
        </w:tc>
        <w:tc>
          <w:tcPr>
            <w:tcW w:type="dxa" w:w="6560"/>
            <w:shd w:fill="10243A" w:val="clear"/>
            <w:tcMar>
              <w:top w:type="dxa" w:w="80"/>
              <w:left w:type="dxa" w:w="100"/>
              <w:bottom w:type="dxa" w:w="80"/>
              <w:right w:type="dxa" w:w="100"/>
            </w:tcMar>
          </w:tcPr>
          <w:p>
            <w:r>
              <w:rPr>
                <w:b/>
                <w:bCs/>
                <w:color w:val="FFFFFF"/>
                <w:sz w:val="19"/>
                <w:szCs w:val="19"/>
              </w:rPr>
              <w:t xml:space="preserve">Purpose</w:t>
            </w:r>
          </w:p>
        </w:tc>
      </w:tr>
      <w:tr>
        <w:tc>
          <w:tcPr>
            <w:tcW w:type="dxa" w:w="2900"/>
            <w:tcMar>
              <w:top w:type="dxa" w:w="80"/>
              <w:left w:type="dxa" w:w="100"/>
              <w:bottom w:type="dxa" w:w="80"/>
              <w:right w:type="dxa" w:w="100"/>
            </w:tcMar>
          </w:tcPr>
          <w:p>
            <w:r>
              <w:rPr>
                <w:b w:val="false"/>
                <w:bCs w:val="false"/>
                <w:sz w:val="19"/>
                <w:szCs w:val="19"/>
              </w:rPr>
              <w:t xml:space="preserve">app.js</w:t>
            </w:r>
          </w:p>
        </w:tc>
        <w:tc>
          <w:tcPr>
            <w:tcW w:type="dxa" w:w="6560"/>
            <w:tcMar>
              <w:top w:type="dxa" w:w="80"/>
              <w:left w:type="dxa" w:w="100"/>
              <w:bottom w:type="dxa" w:w="80"/>
              <w:right w:type="dxa" w:w="100"/>
            </w:tcMar>
          </w:tcPr>
          <w:p>
            <w:r>
              <w:rPr>
                <w:b w:val="false"/>
                <w:bCs w:val="false"/>
                <w:sz w:val="19"/>
                <w:szCs w:val="19"/>
              </w:rPr>
              <w:t xml:space="preserve">Main entry point. Query orchestration — retrieval → preprocessing → model routing → streaming.</w:t>
            </w:r>
          </w:p>
        </w:tc>
      </w:tr>
      <w:tr>
        <w:tc>
          <w:tcPr>
            <w:tcW w:type="dxa" w:w="2900"/>
            <w:tcMar>
              <w:top w:type="dxa" w:w="80"/>
              <w:left w:type="dxa" w:w="100"/>
              <w:bottom w:type="dxa" w:w="80"/>
              <w:right w:type="dxa" w:w="100"/>
            </w:tcMar>
          </w:tcPr>
          <w:p>
            <w:r>
              <w:rPr>
                <w:b w:val="false"/>
                <w:bCs w:val="false"/>
                <w:sz w:val="19"/>
                <w:szCs w:val="19"/>
              </w:rPr>
              <w:t xml:space="preserve">retrieval.js</w:t>
            </w:r>
          </w:p>
        </w:tc>
        <w:tc>
          <w:tcPr>
            <w:tcW w:type="dxa" w:w="6560"/>
            <w:tcMar>
              <w:top w:type="dxa" w:w="80"/>
              <w:left w:type="dxa" w:w="100"/>
              <w:bottom w:type="dxa" w:w="80"/>
              <w:right w:type="dxa" w:w="100"/>
            </w:tcMar>
          </w:tcPr>
          <w:p>
            <w:r>
              <w:rPr>
                <w:b w:val="false"/>
                <w:bCs w:val="false"/>
                <w:sz w:val="19"/>
                <w:szCs w:val="19"/>
              </w:rPr>
              <w:t xml:space="preserve">Multi-partition hybrid search, entity graph boosting, tier gating. See §4.</w:t>
            </w:r>
          </w:p>
        </w:tc>
      </w:tr>
      <w:tr>
        <w:tc>
          <w:tcPr>
            <w:tcW w:type="dxa" w:w="2900"/>
            <w:tcMar>
              <w:top w:type="dxa" w:w="80"/>
              <w:left w:type="dxa" w:w="100"/>
              <w:bottom w:type="dxa" w:w="80"/>
              <w:right w:type="dxa" w:w="100"/>
            </w:tcMar>
          </w:tcPr>
          <w:p>
            <w:r>
              <w:rPr>
                <w:b w:val="false"/>
                <w:bCs w:val="false"/>
                <w:sz w:val="19"/>
                <w:szCs w:val="19"/>
              </w:rPr>
              <w:t xml:space="preserve">config.js</w:t>
            </w:r>
          </w:p>
        </w:tc>
        <w:tc>
          <w:tcPr>
            <w:tcW w:type="dxa" w:w="6560"/>
            <w:tcMar>
              <w:top w:type="dxa" w:w="80"/>
              <w:left w:type="dxa" w:w="100"/>
              <w:bottom w:type="dxa" w:w="80"/>
              <w:right w:type="dxa" w:w="100"/>
            </w:tcMar>
          </w:tcPr>
          <w:p>
            <w:r>
              <w:rPr>
                <w:b w:val="false"/>
                <w:bCs w:val="false"/>
                <w:sz w:val="19"/>
                <w:szCs w:val="19"/>
              </w:rPr>
              <w:t xml:space="preserve">ConfigManager — typed localStorage accessors, self-healing model-ID defaults (see §3), API keys always resolve to the Worker.</w:t>
            </w:r>
          </w:p>
        </w:tc>
      </w:tr>
      <w:tr>
        <w:tc>
          <w:tcPr>
            <w:tcW w:type="dxa" w:w="2900"/>
            <w:tcMar>
              <w:top w:type="dxa" w:w="80"/>
              <w:left w:type="dxa" w:w="100"/>
              <w:bottom w:type="dxa" w:w="80"/>
              <w:right w:type="dxa" w:w="100"/>
            </w:tcMar>
          </w:tcPr>
          <w:p>
            <w:r>
              <w:rPr>
                <w:b w:val="false"/>
                <w:bCs w:val="false"/>
                <w:sz w:val="19"/>
                <w:szCs w:val="19"/>
              </w:rPr>
              <w:t xml:space="preserve">claude.js / groq.js</w:t>
            </w:r>
          </w:p>
        </w:tc>
        <w:tc>
          <w:tcPr>
            <w:tcW w:type="dxa" w:w="6560"/>
            <w:tcMar>
              <w:top w:type="dxa" w:w="80"/>
              <w:left w:type="dxa" w:w="100"/>
              <w:bottom w:type="dxa" w:w="80"/>
              <w:right w:type="dxa" w:w="100"/>
            </w:tcMar>
          </w:tcPr>
          <w:p>
            <w:r>
              <w:rPr>
                <w:b w:val="false"/>
                <w:bCs w:val="false"/>
                <w:sz w:val="19"/>
                <w:szCs w:val="19"/>
              </w:rPr>
              <w:t xml:space="preserve">API wrappers — call the Worker, not the upstream API directly. groq.js never throws; always resolves so chat never crashes on a preprocessing failure.</w:t>
            </w:r>
          </w:p>
        </w:tc>
      </w:tr>
      <w:tr>
        <w:tc>
          <w:tcPr>
            <w:tcW w:type="dxa" w:w="2900"/>
            <w:tcMar>
              <w:top w:type="dxa" w:w="80"/>
              <w:left w:type="dxa" w:w="100"/>
              <w:bottom w:type="dxa" w:w="80"/>
              <w:right w:type="dxa" w:w="100"/>
            </w:tcMar>
          </w:tcPr>
          <w:p>
            <w:r>
              <w:rPr>
                <w:b w:val="false"/>
                <w:bCs w:val="false"/>
                <w:sz w:val="19"/>
                <w:szCs w:val="19"/>
              </w:rPr>
              <w:t xml:space="preserve">ui.js</w:t>
            </w:r>
          </w:p>
        </w:tc>
        <w:tc>
          <w:tcPr>
            <w:tcW w:type="dxa" w:w="6560"/>
            <w:tcMar>
              <w:top w:type="dxa" w:w="80"/>
              <w:left w:type="dxa" w:w="100"/>
              <w:bottom w:type="dxa" w:w="80"/>
              <w:right w:type="dxa" w:w="100"/>
            </w:tcMar>
          </w:tcPr>
          <w:p>
            <w:r>
              <w:rPr>
                <w:b w:val="false"/>
                <w:bCs w:val="false"/>
                <w:sz w:val="19"/>
                <w:szCs w:val="19"/>
              </w:rPr>
              <w:t xml:space="preserve">Rail (source-card) rendering (updateRail()), suggestion panel, chat bubbles.</w:t>
            </w:r>
          </w:p>
        </w:tc>
      </w:tr>
      <w:tr>
        <w:tc>
          <w:tcPr>
            <w:tcW w:type="dxa" w:w="2900"/>
            <w:tcMar>
              <w:top w:type="dxa" w:w="80"/>
              <w:left w:type="dxa" w:w="100"/>
              <w:bottom w:type="dxa" w:w="80"/>
              <w:right w:type="dxa" w:w="100"/>
            </w:tcMar>
          </w:tcPr>
          <w:p>
            <w:r>
              <w:rPr>
                <w:b w:val="false"/>
                <w:bCs w:val="false"/>
                <w:sz w:val="19"/>
                <w:szCs w:val="19"/>
              </w:rPr>
              <w:t xml:space="preserve">hero-landing.js</w:t>
            </w:r>
          </w:p>
        </w:tc>
        <w:tc>
          <w:tcPr>
            <w:tcW w:type="dxa" w:w="6560"/>
            <w:tcMar>
              <w:top w:type="dxa" w:w="80"/>
              <w:left w:type="dxa" w:w="100"/>
              <w:bottom w:type="dxa" w:w="80"/>
              <w:right w:type="dxa" w:w="100"/>
            </w:tcMar>
          </w:tcPr>
          <w:p>
            <w:r>
              <w:rPr>
                <w:b w:val="false"/>
                <w:bCs w:val="false"/>
                <w:sz w:val="19"/>
                <w:szCs w:val="19"/>
              </w:rPr>
              <w:t xml:space="preserve">New this version-cycle (2026-08-05). window.FrankieHero.showChat()/.showHero() — toggles the hero screen vs. chat UI and (as of this version) the right-hand Sources rail’s visibility and the .app grid layout together (see §7).</w:t>
            </w:r>
          </w:p>
        </w:tc>
      </w:tr>
      <w:tr>
        <w:tc>
          <w:tcPr>
            <w:tcW w:type="dxa" w:w="2900"/>
            <w:tcMar>
              <w:top w:type="dxa" w:w="80"/>
              <w:left w:type="dxa" w:w="100"/>
              <w:bottom w:type="dxa" w:w="80"/>
              <w:right w:type="dxa" w:w="100"/>
            </w:tcMar>
          </w:tcPr>
          <w:p>
            <w:r>
              <w:rPr>
                <w:b w:val="false"/>
                <w:bCs w:val="false"/>
                <w:sz w:val="19"/>
                <w:szCs w:val="19"/>
              </w:rPr>
              <w:t xml:space="preserve">drawer-manager.js</w:t>
            </w:r>
          </w:p>
        </w:tc>
        <w:tc>
          <w:tcPr>
            <w:tcW w:type="dxa" w:w="6560"/>
            <w:tcMar>
              <w:top w:type="dxa" w:w="80"/>
              <w:left w:type="dxa" w:w="100"/>
              <w:bottom w:type="dxa" w:w="80"/>
              <w:right w:type="dxa" w:w="100"/>
            </w:tcMar>
          </w:tcPr>
          <w:p>
            <w:r>
              <w:rPr>
                <w:b w:val="false"/>
                <w:bCs w:val="false"/>
                <w:sz w:val="19"/>
                <w:szCs w:val="19"/>
              </w:rPr>
              <w:t xml:space="preserve">New 2026-08-04. Enforces one open drawer at a time across every *-drawer family by watching for any drawer root gaining an --open class and force-closing the rest.</w:t>
            </w:r>
          </w:p>
        </w:tc>
      </w:tr>
      <w:tr>
        <w:tc>
          <w:tcPr>
            <w:tcW w:type="dxa" w:w="2900"/>
            <w:tcMar>
              <w:top w:type="dxa" w:w="80"/>
              <w:left w:type="dxa" w:w="100"/>
              <w:bottom w:type="dxa" w:w="80"/>
              <w:right w:type="dxa" w:w="100"/>
            </w:tcMar>
          </w:tcPr>
          <w:p>
            <w:r>
              <w:rPr>
                <w:b w:val="false"/>
                <w:bCs w:val="false"/>
                <w:sz w:val="19"/>
                <w:szCs w:val="19"/>
              </w:rPr>
              <w:t xml:space="preserve">drawer-splash.js</w:t>
            </w:r>
          </w:p>
        </w:tc>
        <w:tc>
          <w:tcPr>
            <w:tcW w:type="dxa" w:w="6560"/>
            <w:tcMar>
              <w:top w:type="dxa" w:w="80"/>
              <w:left w:type="dxa" w:w="100"/>
              <w:bottom w:type="dxa" w:w="80"/>
              <w:right w:type="dxa" w:w="100"/>
            </w:tcMar>
          </w:tcPr>
          <w:p>
            <w:r>
              <w:rPr>
                <w:b w:val="false"/>
                <w:bCs w:val="false"/>
                <w:sz w:val="19"/>
                <w:szCs w:val="19"/>
              </w:rPr>
              <w:t xml:space="preserve">New 2026-08-05. Shared first-open intro screen for every tool drawer — DrawerSplashKit.attach(el, config), remembered per-tool via localStorage, reopenable via an ℹ️ button.</w:t>
            </w:r>
          </w:p>
        </w:tc>
      </w:tr>
      <w:tr>
        <w:tc>
          <w:tcPr>
            <w:tcW w:type="dxa" w:w="2900"/>
            <w:tcMar>
              <w:top w:type="dxa" w:w="80"/>
              <w:left w:type="dxa" w:w="100"/>
              <w:bottom w:type="dxa" w:w="80"/>
              <w:right w:type="dxa" w:w="100"/>
            </w:tcMar>
          </w:tcPr>
          <w:p>
            <w:r>
              <w:rPr>
                <w:b w:val="false"/>
                <w:bCs w:val="false"/>
                <w:sz w:val="19"/>
                <w:szCs w:val="19"/>
              </w:rPr>
              <w:t xml:space="preserve">source-chunk-drawer.js</w:t>
            </w:r>
          </w:p>
        </w:tc>
        <w:tc>
          <w:tcPr>
            <w:tcW w:type="dxa" w:w="6560"/>
            <w:tcMar>
              <w:top w:type="dxa" w:w="80"/>
              <w:left w:type="dxa" w:w="100"/>
              <w:bottom w:type="dxa" w:w="80"/>
              <w:right w:type="dxa" w:w="100"/>
            </w:tcMar>
          </w:tcPr>
          <w:p>
            <w:r>
              <w:rPr>
                <w:b w:val="false"/>
                <w:bCs w:val="false"/>
                <w:sz w:val="19"/>
                <w:szCs w:val="19"/>
              </w:rPr>
              <w:t xml:space="preserve">Shows the raw retrieved KB chunk + its metadata for any source type with no original document to deep-link to. Originally chat-rail-only; reused as-is by the new Reactor Documents search results (§7).</w:t>
            </w:r>
          </w:p>
        </w:tc>
      </w:tr>
      <w:tr>
        <w:tc>
          <w:tcPr>
            <w:tcW w:type="dxa" w:w="2900"/>
            <w:tcMar>
              <w:top w:type="dxa" w:w="80"/>
              <w:left w:type="dxa" w:w="100"/>
              <w:bottom w:type="dxa" w:w="80"/>
              <w:right w:type="dxa" w:w="100"/>
            </w:tcMar>
          </w:tcPr>
          <w:p>
            <w:r>
              <w:rPr>
                <w:b w:val="false"/>
                <w:bCs w:val="false"/>
                <w:sz w:val="19"/>
                <w:szCs w:val="19"/>
              </w:rPr>
              <w:t xml:space="preserve">nuccolpedia-drawer.js</w:t>
            </w:r>
          </w:p>
        </w:tc>
        <w:tc>
          <w:tcPr>
            <w:tcW w:type="dxa" w:w="6560"/>
            <w:tcMar>
              <w:top w:type="dxa" w:w="80"/>
              <w:left w:type="dxa" w:w="100"/>
              <w:bottom w:type="dxa" w:w="80"/>
              <w:right w:type="dxa" w:w="100"/>
            </w:tcMar>
          </w:tcPr>
          <w:p>
            <w:r>
              <w:rPr>
                <w:b w:val="false"/>
                <w:bCs w:val="false"/>
                <w:sz w:val="19"/>
                <w:szCs w:val="19"/>
              </w:rPr>
              <w:t xml:space="preserve">NucColpedia — the 924-link research library, plus (new this version) a second "Reactor Documents" tab searching the reactors KB partition. See §7.</w:t>
            </w:r>
          </w:p>
        </w:tc>
      </w:tr>
      <w:tr>
        <w:tc>
          <w:tcPr>
            <w:tcW w:type="dxa" w:w="2900"/>
            <w:tcMar>
              <w:top w:type="dxa" w:w="80"/>
              <w:left w:type="dxa" w:w="100"/>
              <w:bottom w:type="dxa" w:w="80"/>
              <w:right w:type="dxa" w:w="100"/>
            </w:tcMar>
          </w:tcPr>
          <w:p>
            <w:r>
              <w:rPr>
                <w:b w:val="false"/>
                <w:bCs w:val="false"/>
                <w:sz w:val="19"/>
                <w:szCs w:val="19"/>
              </w:rPr>
              <w:t xml:space="preserve">reactors-kb-search.js</w:t>
            </w:r>
          </w:p>
        </w:tc>
        <w:tc>
          <w:tcPr>
            <w:tcW w:type="dxa" w:w="6560"/>
            <w:tcMar>
              <w:top w:type="dxa" w:w="80"/>
              <w:left w:type="dxa" w:w="100"/>
              <w:bottom w:type="dxa" w:w="80"/>
              <w:right w:type="dxa" w:w="100"/>
            </w:tcMar>
          </w:tcPr>
          <w:p>
            <w:r>
              <w:rPr>
                <w:b w:val="false"/>
                <w:bCs w:val="false"/>
                <w:sz w:val="19"/>
                <w:szCs w:val="19"/>
              </w:rPr>
              <w:t xml:space="preserve">New this version. Standalone two-stage search engine over the reactors partition, independent of retrieval.js by design so it can’t affect default chat retrieval. See §7.</w:t>
            </w:r>
          </w:p>
        </w:tc>
      </w:tr>
      <w:tr>
        <w:tc>
          <w:tcPr>
            <w:tcW w:type="dxa" w:w="2900"/>
            <w:tcMar>
              <w:top w:type="dxa" w:w="80"/>
              <w:left w:type="dxa" w:w="100"/>
              <w:bottom w:type="dxa" w:w="80"/>
              <w:right w:type="dxa" w:w="100"/>
            </w:tcMar>
          </w:tcPr>
          <w:p>
            <w:r>
              <w:rPr>
                <w:b w:val="false"/>
                <w:bCs w:val="false"/>
                <w:sz w:val="19"/>
                <w:szCs w:val="19"/>
              </w:rPr>
              <w:t xml:space="preserve">plant-explorer-drawer.js</w:t>
            </w:r>
          </w:p>
        </w:tc>
        <w:tc>
          <w:tcPr>
            <w:tcW w:type="dxa" w:w="6560"/>
            <w:tcMar>
              <w:top w:type="dxa" w:w="80"/>
              <w:left w:type="dxa" w:w="100"/>
              <w:bottom w:type="dxa" w:w="80"/>
              <w:right w:type="dxa" w:w="100"/>
            </w:tcMar>
          </w:tcPr>
          <w:p>
            <w:r>
              <w:rPr>
                <w:b w:val="false"/>
                <w:bCs w:val="false"/>
                <w:sz w:val="19"/>
                <w:szCs w:val="19"/>
              </w:rPr>
              <w:t xml:space="preserve">Full Plant Explorer — zone map + per-reactor cutaway images ("layer 2"), building drill-down, search. Reads images/plant-explorer/plant_tree_v2.json directly. See §7.</w:t>
            </w:r>
          </w:p>
        </w:tc>
      </w:tr>
      <w:tr>
        <w:tc>
          <w:tcPr>
            <w:tcW w:type="dxa" w:w="2900"/>
            <w:tcMar>
              <w:top w:type="dxa" w:w="80"/>
              <w:left w:type="dxa" w:w="100"/>
              <w:bottom w:type="dxa" w:w="80"/>
              <w:right w:type="dxa" w:w="100"/>
            </w:tcMar>
          </w:tcPr>
          <w:p>
            <w:r>
              <w:rPr>
                <w:b w:val="false"/>
                <w:bCs w:val="false"/>
                <w:sz w:val="19"/>
                <w:szCs w:val="19"/>
              </w:rPr>
              <w:t xml:space="preserve">plant-drawer.js</w:t>
            </w:r>
          </w:p>
        </w:tc>
        <w:tc>
          <w:tcPr>
            <w:tcW w:type="dxa" w:w="6560"/>
            <w:tcMar>
              <w:top w:type="dxa" w:w="80"/>
              <w:left w:type="dxa" w:w="100"/>
              <w:bottom w:type="dxa" w:w="80"/>
              <w:right w:type="dxa" w:w="100"/>
            </w:tcMar>
          </w:tcPr>
          <w:p>
            <w:r>
              <w:rPr>
                <w:b w:val="false"/>
                <w:bCs w:val="false"/>
                <w:sz w:val="19"/>
                <w:szCs w:val="19"/>
              </w:rPr>
              <w:t xml:space="preserve">Separate, older "quick search" plant drawer that auto-opens from a chat plant/component question. Reads the generic (non-reactor-mapped) tree via the Worker — a deliberate, currently-unresolved fork from plant-explorer-drawer.js’s data source.</w:t>
            </w:r>
          </w:p>
        </w:tc>
      </w:tr>
      <w:tr>
        <w:tc>
          <w:tcPr>
            <w:tcW w:type="dxa" w:w="2900"/>
            <w:tcMar>
              <w:top w:type="dxa" w:w="80"/>
              <w:left w:type="dxa" w:w="100"/>
              <w:bottom w:type="dxa" w:w="80"/>
              <w:right w:type="dxa" w:w="100"/>
            </w:tcMar>
          </w:tcPr>
          <w:p>
            <w:r>
              <w:rPr>
                <w:b w:val="false"/>
                <w:bCs w:val="false"/>
                <w:sz w:val="19"/>
                <w:szCs w:val="19"/>
              </w:rPr>
              <w:t xml:space="preserve">handbook-drawer.js / handbook-links.js</w:t>
            </w:r>
          </w:p>
        </w:tc>
        <w:tc>
          <w:tcPr>
            <w:tcW w:type="dxa" w:w="6560"/>
            <w:tcMar>
              <w:top w:type="dxa" w:w="80"/>
              <w:left w:type="dxa" w:w="100"/>
              <w:bottom w:type="dxa" w:w="80"/>
              <w:right w:type="dxa" w:w="100"/>
            </w:tcMar>
          </w:tcPr>
          <w:p>
            <w:r>
              <w:rPr>
                <w:b w:val="false"/>
                <w:bCs w:val="false"/>
                <w:sz w:val="19"/>
                <w:szCs w:val="19"/>
              </w:rPr>
              <w:t xml:space="preserve">Inline Business/Nuclear Excellence Handbook viewer and deep-link matching from chat citations into it.</w:t>
            </w:r>
          </w:p>
        </w:tc>
      </w:tr>
      <w:tr>
        <w:tc>
          <w:tcPr>
            <w:tcW w:type="dxa" w:w="2900"/>
            <w:tcMar>
              <w:top w:type="dxa" w:w="80"/>
              <w:left w:type="dxa" w:w="100"/>
              <w:bottom w:type="dxa" w:w="80"/>
              <w:right w:type="dxa" w:w="100"/>
            </w:tcMar>
          </w:tcPr>
          <w:p>
            <w:r>
              <w:rPr>
                <w:b w:val="false"/>
                <w:bCs w:val="false"/>
                <w:sz w:val="19"/>
                <w:szCs w:val="19"/>
              </w:rPr>
              <w:t xml:space="preserve">evidence-vault-drawer.js, website-review.js, iso19443-drawer.js, social-value-drawer.js, due-diligence-drawer.js</w:t>
            </w:r>
          </w:p>
        </w:tc>
        <w:tc>
          <w:tcPr>
            <w:tcW w:type="dxa" w:w="6560"/>
            <w:tcMar>
              <w:top w:type="dxa" w:w="80"/>
              <w:left w:type="dxa" w:w="100"/>
              <w:bottom w:type="dxa" w:w="80"/>
              <w:right w:type="dxa" w:w="100"/>
            </w:tcMar>
          </w:tcPr>
          <w:p>
            <w:r>
              <w:rPr>
                <w:b w:val="false"/>
                <w:bCs w:val="false"/>
                <w:sz w:val="19"/>
                <w:szCs w:val="19"/>
              </w:rPr>
              <w:t xml:space="preserve">Compliance &amp; Evidence tool group — unchanged in purpose since v9, see §6/§8 for what moved (Worker-routed calls, CSP fixes).</w:t>
            </w:r>
          </w:p>
        </w:tc>
      </w:tr>
      <w:tr>
        <w:tc>
          <w:tcPr>
            <w:tcW w:type="dxa" w:w="2900"/>
            <w:tcMar>
              <w:top w:type="dxa" w:w="80"/>
              <w:left w:type="dxa" w:w="100"/>
              <w:bottom w:type="dxa" w:w="80"/>
              <w:right w:type="dxa" w:w="100"/>
            </w:tcMar>
          </w:tcPr>
          <w:p>
            <w:r>
              <w:rPr>
                <w:b w:val="false"/>
                <w:bCs w:val="false"/>
                <w:sz w:val="19"/>
                <w:szCs w:val="19"/>
              </w:rPr>
              <w:t xml:space="preserve">toolbox-talk-drawer.js, sop-builder-drawer.js, safety-culture-drawer.js, cqp-drawer.js, sqdcp-drawer.js, ncr-drawer.js, strategy-drawer.js</w:t>
            </w:r>
          </w:p>
        </w:tc>
        <w:tc>
          <w:tcPr>
            <w:tcW w:type="dxa" w:w="6560"/>
            <w:tcMar>
              <w:top w:type="dxa" w:w="80"/>
              <w:left w:type="dxa" w:w="100"/>
              <w:bottom w:type="dxa" w:w="80"/>
              <w:right w:type="dxa" w:w="100"/>
            </w:tcMar>
          </w:tcPr>
          <w:p>
            <w:r>
              <w:rPr>
                <w:b w:val="false"/>
                <w:bCs w:val="false"/>
                <w:sz w:val="19"/>
                <w:szCs w:val="19"/>
              </w:rPr>
              <w:t xml:space="preserve">Toolbox Builder group, F9–F15 from v9, unchanged in scope.</w:t>
            </w:r>
          </w:p>
        </w:tc>
      </w:tr>
      <w:tr>
        <w:tc>
          <w:tcPr>
            <w:tcW w:type="dxa" w:w="2900"/>
            <w:tcMar>
              <w:top w:type="dxa" w:w="80"/>
              <w:left w:type="dxa" w:w="100"/>
              <w:bottom w:type="dxa" w:w="80"/>
              <w:right w:type="dxa" w:w="100"/>
            </w:tcMar>
          </w:tcPr>
          <w:p>
            <w:r>
              <w:rPr>
                <w:b w:val="false"/>
                <w:bCs w:val="false"/>
                <w:sz w:val="19"/>
                <w:szCs w:val="19"/>
              </w:rPr>
              <w:t xml:space="preserve">assessment-drawer.js</w:t>
            </w:r>
          </w:p>
        </w:tc>
        <w:tc>
          <w:tcPr>
            <w:tcW w:type="dxa" w:w="6560"/>
            <w:tcMar>
              <w:top w:type="dxa" w:w="80"/>
              <w:left w:type="dxa" w:w="100"/>
              <w:bottom w:type="dxa" w:w="80"/>
              <w:right w:type="dxa" w:w="100"/>
            </w:tcMar>
          </w:tcPr>
          <w:p>
            <w:r>
              <w:rPr>
                <w:b w:val="false"/>
                <w:bCs w:val="false"/>
                <w:sz w:val="19"/>
                <w:szCs w:val="19"/>
              </w:rPr>
              <w:t xml:space="preserve">Business Excellence + Fit for Nuclear self-assessment, one drawer/one splash for both modes.</w:t>
            </w:r>
          </w:p>
        </w:tc>
      </w:tr>
      <w:tr>
        <w:tc>
          <w:tcPr>
            <w:tcW w:type="dxa" w:w="2900"/>
            <w:tcMar>
              <w:top w:type="dxa" w:w="80"/>
              <w:left w:type="dxa" w:w="100"/>
              <w:bottom w:type="dxa" w:w="80"/>
              <w:right w:type="dxa" w:w="100"/>
            </w:tcMar>
          </w:tcPr>
          <w:p>
            <w:r>
              <w:rPr>
                <w:b w:val="false"/>
                <w:bCs w:val="false"/>
                <w:sz w:val="19"/>
                <w:szCs w:val="19"/>
              </w:rPr>
              <w:t xml:space="preserve">faq-drawer.js</w:t>
            </w:r>
          </w:p>
        </w:tc>
        <w:tc>
          <w:tcPr>
            <w:tcW w:type="dxa" w:w="6560"/>
            <w:tcMar>
              <w:top w:type="dxa" w:w="80"/>
              <w:left w:type="dxa" w:w="100"/>
              <w:bottom w:type="dxa" w:w="80"/>
              <w:right w:type="dxa" w:w="100"/>
            </w:tcMar>
          </w:tcPr>
          <w:p>
            <w:r>
              <w:rPr>
                <w:b w:val="false"/>
                <w:bCs w:val="false"/>
                <w:sz w:val="19"/>
                <w:szCs w:val="19"/>
              </w:rPr>
              <w:t xml:space="preserve">Common Questions — pre-baked answers, zero-token-cost fast path, falls back to the live pipeline if unmatched.</w:t>
            </w:r>
          </w:p>
        </w:tc>
      </w:tr>
      <w:tr>
        <w:tc>
          <w:tcPr>
            <w:tcW w:type="dxa" w:w="2900"/>
            <w:tcMar>
              <w:top w:type="dxa" w:w="80"/>
              <w:left w:type="dxa" w:w="100"/>
              <w:bottom w:type="dxa" w:w="80"/>
              <w:right w:type="dxa" w:w="100"/>
            </w:tcMar>
          </w:tcPr>
          <w:p>
            <w:r>
              <w:rPr>
                <w:b w:val="false"/>
                <w:bCs w:val="false"/>
                <w:sz w:val="19"/>
                <w:szCs w:val="19"/>
              </w:rPr>
              <w:t xml:space="preserve">braincheck.js / braincheck-ui.js</w:t>
            </w:r>
          </w:p>
        </w:tc>
        <w:tc>
          <w:tcPr>
            <w:tcW w:type="dxa" w:w="6560"/>
            <w:tcMar>
              <w:top w:type="dxa" w:w="80"/>
              <w:left w:type="dxa" w:w="100"/>
              <w:bottom w:type="dxa" w:w="80"/>
              <w:right w:type="dxa" w:w="100"/>
            </w:tcMar>
          </w:tcPr>
          <w:p>
            <w:r>
              <w:rPr>
                <w:b w:val="false"/>
                <w:bCs w:val="false"/>
                <w:sz w:val="19"/>
                <w:szCs w:val="19"/>
              </w:rPr>
              <w:t xml:space="preserve">KB stats + live system-status panel (the "All systems go" pill).</w:t>
            </w:r>
          </w:p>
        </w:tc>
      </w:tr>
    </w:tbl>
    <w:p>
      <w:pPr>
        <w:pStyle w:val="Heading2"/>
        <w:spacing w:after="120" w:before="260"/>
      </w:pPr>
      <w:r>
        <w:t xml:space="preserve">css/ — one file per tool, plus</w:t>
      </w:r>
    </w:p>
    <w:p>
      <w:pPr>
        <w:pStyle w:val="ListParagraph"/>
        <w:numPr>
          <w:ilvl w:val="0"/>
          <w:numId w:val="1"/>
        </w:numPr>
        <w:spacing w:after="60"/>
      </w:pPr>
      <w:r>
        <w:t xml:space="preserve">styles.css — base styles, shared .assess-* drawer shell, sidebar nav, right rail, hero grid</w:t>
      </w:r>
    </w:p>
    <w:p>
      <w:pPr>
        <w:pStyle w:val="ListParagraph"/>
        <w:numPr>
          <w:ilvl w:val="0"/>
          <w:numId w:val="1"/>
        </w:numPr>
        <w:spacing w:after="60"/>
      </w:pPr>
      <w:r>
        <w:t xml:space="preserve">drawer-splash.css — shared intro-screen styling for every tool</w:t>
      </w:r>
    </w:p>
    <w:p>
      <w:pPr>
        <w:pStyle w:val="ListParagraph"/>
        <w:numPr>
          <w:ilvl w:val="0"/>
          <w:numId w:val="1"/>
        </w:numPr>
        <w:spacing w:after="60"/>
      </w:pPr>
      <w:r>
        <w:t xml:space="preserve">hero-landing.css — the pre-chat hero screen</w:t>
      </w:r>
    </w:p>
    <w:p>
      <w:pPr>
        <w:pStyle w:val="ListParagraph"/>
        <w:numPr>
          <w:ilvl w:val="0"/>
          <w:numId w:val="1"/>
        </w:numPr>
        <w:spacing w:after="60"/>
      </w:pPr>
      <w:r>
        <w:t xml:space="preserve">nuccolpedia.css — both NucColpedia tabs (library + Reactor Documents), including the tab strip added this version</w:t>
      </w:r>
    </w:p>
    <w:p>
      <w:pPr>
        <w:pStyle w:val="ListParagraph"/>
        <w:numPr>
          <w:ilvl w:val="0"/>
          <w:numId w:val="1"/>
        </w:numPr>
        <w:spacing w:after="60"/>
      </w:pPr>
      <w:r>
        <w:t xml:space="preserve">plant-explorer.css — the one drawer deliberately excluded from the full-width panel treatment (§8) — stays a full-screen canvas for the zone map/cutaways</w:t>
      </w:r>
    </w:p>
    <w:p>
      <w:pPr>
        <w:pStyle w:val="Heading1"/>
        <w:spacing w:after="160" w:before="360"/>
      </w:pPr>
      <w:r>
        <w:t xml:space="preserve">6. Complete Feature Inventory</w:t>
      </w:r>
    </w:p>
    <w:p>
      <w:pPr>
        <w:spacing w:after="140"/>
      </w:pPr>
      <w:r>
        <w:t xml:space="preserve">v9’s F1–F15 numbering is preserved below for continuity, but the sidebar itself is no longer organised by that numbering — it is grouped into five nav sections, reproduced here exactly as index.html defines them today.</w:t>
      </w:r>
    </w:p>
    <w:p>
      <w:pPr>
        <w:pStyle w:val="Heading2"/>
        <w:spacing w:after="120" w:before="260"/>
      </w:pPr>
      <w:r>
        <w:t xml:space="preserve">Current sidebar structure</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2400"/>
        <w:gridCol w:w="7060"/>
      </w:tblGrid>
      <w:tr>
        <w:trPr>
          <w:tblHeader/>
        </w:trPr>
        <w:tc>
          <w:tcPr>
            <w:tcW w:type="dxa" w:w="2400"/>
            <w:shd w:fill="10243A" w:val="clear"/>
            <w:tcMar>
              <w:top w:type="dxa" w:w="80"/>
              <w:left w:type="dxa" w:w="100"/>
              <w:bottom w:type="dxa" w:w="80"/>
              <w:right w:type="dxa" w:w="100"/>
            </w:tcMar>
          </w:tcPr>
          <w:p>
            <w:r>
              <w:rPr>
                <w:b/>
                <w:bCs/>
                <w:color w:val="FFFFFF"/>
                <w:sz w:val="19"/>
                <w:szCs w:val="19"/>
              </w:rPr>
              <w:t xml:space="preserve">Section</w:t>
            </w:r>
          </w:p>
        </w:tc>
        <w:tc>
          <w:tcPr>
            <w:tcW w:type="dxa" w:w="7060"/>
            <w:shd w:fill="10243A" w:val="clear"/>
            <w:tcMar>
              <w:top w:type="dxa" w:w="80"/>
              <w:left w:type="dxa" w:w="100"/>
              <w:bottom w:type="dxa" w:w="80"/>
              <w:right w:type="dxa" w:w="100"/>
            </w:tcMar>
          </w:tcPr>
          <w:p>
            <w:r>
              <w:rPr>
                <w:b/>
                <w:bCs/>
                <w:color w:val="FFFFFF"/>
                <w:sz w:val="19"/>
                <w:szCs w:val="19"/>
              </w:rPr>
              <w:t xml:space="preserve">Items</w:t>
            </w:r>
          </w:p>
        </w:tc>
      </w:tr>
      <w:tr>
        <w:tc>
          <w:tcPr>
            <w:tcW w:type="dxa" w:w="2400"/>
            <w:tcMar>
              <w:top w:type="dxa" w:w="80"/>
              <w:left w:type="dxa" w:w="100"/>
              <w:bottom w:type="dxa" w:w="80"/>
              <w:right w:type="dxa" w:w="100"/>
            </w:tcMar>
          </w:tcPr>
          <w:p>
            <w:r>
              <w:rPr>
                <w:b w:val="false"/>
                <w:bCs w:val="false"/>
                <w:sz w:val="19"/>
                <w:szCs w:val="19"/>
              </w:rPr>
              <w:t xml:space="preserve">Frankie Chat</w:t>
            </w:r>
          </w:p>
        </w:tc>
        <w:tc>
          <w:tcPr>
            <w:tcW w:type="dxa" w:w="7060"/>
            <w:tcMar>
              <w:top w:type="dxa" w:w="80"/>
              <w:left w:type="dxa" w:w="100"/>
              <w:bottom w:type="dxa" w:w="80"/>
              <w:right w:type="dxa" w:w="100"/>
            </w:tcMar>
          </w:tcPr>
          <w:p>
            <w:r>
              <w:rPr>
                <w:b w:val="false"/>
                <w:bCs w:val="false"/>
                <w:sz w:val="19"/>
                <w:szCs w:val="19"/>
              </w:rPr>
              <w:t xml:space="preserve">Chat with Frankie · Common Questions (FAQ drawer)</w:t>
            </w:r>
          </w:p>
        </w:tc>
      </w:tr>
      <w:tr>
        <w:tc>
          <w:tcPr>
            <w:tcW w:type="dxa" w:w="2400"/>
            <w:tcMar>
              <w:top w:type="dxa" w:w="80"/>
              <w:left w:type="dxa" w:w="100"/>
              <w:bottom w:type="dxa" w:w="80"/>
              <w:right w:type="dxa" w:w="100"/>
            </w:tcMar>
          </w:tcPr>
          <w:p>
            <w:r>
              <w:rPr>
                <w:b w:val="false"/>
                <w:bCs w:val="false"/>
                <w:sz w:val="19"/>
                <w:szCs w:val="19"/>
              </w:rPr>
              <w:t xml:space="preserve">References</w:t>
            </w:r>
          </w:p>
        </w:tc>
        <w:tc>
          <w:tcPr>
            <w:tcW w:type="dxa" w:w="7060"/>
            <w:tcMar>
              <w:top w:type="dxa" w:w="80"/>
              <w:left w:type="dxa" w:w="100"/>
              <w:bottom w:type="dxa" w:w="80"/>
              <w:right w:type="dxa" w:w="100"/>
            </w:tcMar>
          </w:tcPr>
          <w:p>
            <w:r>
              <w:rPr>
                <w:b w:val="false"/>
                <w:bCs w:val="false"/>
                <w:sz w:val="19"/>
                <w:szCs w:val="19"/>
              </w:rPr>
              <w:t xml:space="preserve">Plant Explorer · NucColpedia (now two tabs — Research Library + Reactor Documents)</w:t>
            </w:r>
          </w:p>
        </w:tc>
      </w:tr>
      <w:tr>
        <w:tc>
          <w:tcPr>
            <w:tcW w:type="dxa" w:w="2400"/>
            <w:tcMar>
              <w:top w:type="dxa" w:w="80"/>
              <w:left w:type="dxa" w:w="100"/>
              <w:bottom w:type="dxa" w:w="80"/>
              <w:right w:type="dxa" w:w="100"/>
            </w:tcMar>
          </w:tcPr>
          <w:p>
            <w:r>
              <w:rPr>
                <w:b w:val="false"/>
                <w:bCs w:val="false"/>
                <w:sz w:val="19"/>
                <w:szCs w:val="19"/>
              </w:rPr>
              <w:t xml:space="preserve">Assessments</w:t>
            </w:r>
          </w:p>
        </w:tc>
        <w:tc>
          <w:tcPr>
            <w:tcW w:type="dxa" w:w="7060"/>
            <w:tcMar>
              <w:top w:type="dxa" w:w="80"/>
              <w:left w:type="dxa" w:w="100"/>
              <w:bottom w:type="dxa" w:w="80"/>
              <w:right w:type="dxa" w:w="100"/>
            </w:tcMar>
          </w:tcPr>
          <w:p>
            <w:r>
              <w:rPr>
                <w:b w:val="false"/>
                <w:bCs w:val="false"/>
                <w:sz w:val="19"/>
                <w:szCs w:val="19"/>
              </w:rPr>
              <w:t xml:space="preserve">Evidence Vault · Business Excellence · Fit for Nuclear</w:t>
            </w:r>
          </w:p>
        </w:tc>
      </w:tr>
      <w:tr>
        <w:tc>
          <w:tcPr>
            <w:tcW w:type="dxa" w:w="2400"/>
            <w:tcMar>
              <w:top w:type="dxa" w:w="80"/>
              <w:left w:type="dxa" w:w="100"/>
              <w:bottom w:type="dxa" w:w="80"/>
              <w:right w:type="dxa" w:w="100"/>
            </w:tcMar>
          </w:tcPr>
          <w:p>
            <w:r>
              <w:rPr>
                <w:b w:val="false"/>
                <w:bCs w:val="false"/>
                <w:sz w:val="19"/>
                <w:szCs w:val="19"/>
              </w:rPr>
              <w:t xml:space="preserve">Tools</w:t>
            </w:r>
          </w:p>
        </w:tc>
        <w:tc>
          <w:tcPr>
            <w:tcW w:type="dxa" w:w="7060"/>
            <w:tcMar>
              <w:top w:type="dxa" w:w="80"/>
              <w:left w:type="dxa" w:w="100"/>
              <w:bottom w:type="dxa" w:w="80"/>
              <w:right w:type="dxa" w:w="100"/>
            </w:tcMar>
          </w:tcPr>
          <w:p>
            <w:r>
              <w:rPr>
                <w:b w:val="false"/>
                <w:bCs w:val="false"/>
                <w:sz w:val="19"/>
                <w:szCs w:val="19"/>
              </w:rPr>
              <w:t xml:space="preserve">Website Review · Social Value Finder · Supplier Intel</w:t>
            </w:r>
          </w:p>
        </w:tc>
      </w:tr>
      <w:tr>
        <w:tc>
          <w:tcPr>
            <w:tcW w:type="dxa" w:w="2400"/>
            <w:tcMar>
              <w:top w:type="dxa" w:w="80"/>
              <w:left w:type="dxa" w:w="100"/>
              <w:bottom w:type="dxa" w:w="80"/>
              <w:right w:type="dxa" w:w="100"/>
            </w:tcMar>
          </w:tcPr>
          <w:p>
            <w:r>
              <w:rPr>
                <w:b w:val="false"/>
                <w:bCs w:val="false"/>
                <w:sz w:val="19"/>
                <w:szCs w:val="19"/>
              </w:rPr>
              <w:t xml:space="preserve">Compliance and Training</w:t>
            </w:r>
          </w:p>
        </w:tc>
        <w:tc>
          <w:tcPr>
            <w:tcW w:type="dxa" w:w="7060"/>
            <w:tcMar>
              <w:top w:type="dxa" w:w="80"/>
              <w:left w:type="dxa" w:w="100"/>
              <w:bottom w:type="dxa" w:w="80"/>
              <w:right w:type="dxa" w:w="100"/>
            </w:tcMar>
          </w:tcPr>
          <w:p>
            <w:r>
              <w:rPr>
                <w:b w:val="false"/>
                <w:bCs w:val="false"/>
                <w:sz w:val="19"/>
                <w:szCs w:val="19"/>
              </w:rPr>
              <w:t xml:space="preserve">ISO 19443 Position · Cyber Essentials Quiz · GDPR Quiz · Export Control Quiz · Modern Slavery Quiz</w:t>
            </w:r>
          </w:p>
        </w:tc>
      </w:tr>
      <w:tr>
        <w:tc>
          <w:tcPr>
            <w:tcW w:type="dxa" w:w="2400"/>
            <w:tcMar>
              <w:top w:type="dxa" w:w="80"/>
              <w:left w:type="dxa" w:w="100"/>
              <w:bottom w:type="dxa" w:w="80"/>
              <w:right w:type="dxa" w:w="100"/>
            </w:tcMar>
          </w:tcPr>
          <w:p>
            <w:r>
              <w:rPr>
                <w:b w:val="false"/>
                <w:bCs w:val="false"/>
                <w:sz w:val="19"/>
                <w:szCs w:val="19"/>
              </w:rPr>
              <w:t xml:space="preserve">Tool Box</w:t>
            </w:r>
          </w:p>
        </w:tc>
        <w:tc>
          <w:tcPr>
            <w:tcW w:type="dxa" w:w="7060"/>
            <w:tcMar>
              <w:top w:type="dxa" w:w="80"/>
              <w:left w:type="dxa" w:w="100"/>
              <w:bottom w:type="dxa" w:w="80"/>
              <w:right w:type="dxa" w:w="100"/>
            </w:tcMar>
          </w:tcPr>
          <w:p>
            <w:r>
              <w:rPr>
                <w:b w:val="false"/>
                <w:bCs w:val="false"/>
                <w:sz w:val="19"/>
                <w:szCs w:val="19"/>
              </w:rPr>
              <w:t xml:space="preserve">Toolbox Talk · SOP Builder · Safety Culture · Quality Plan · SQDCP Wizard · NCR Investigation · Strategy Builder</w:t>
            </w:r>
          </w:p>
        </w:tc>
      </w:tr>
    </w:tbl>
    <w:p>
      <w:pPr>
        <w:pStyle w:val="Heading2"/>
        <w:spacing w:after="120" w:before="260"/>
      </w:pPr>
      <w:r>
        <w:t xml:space="preserve">Core Intelligence &amp; Assessment (F1–F5) — status unchanged, implementation details updated</w:t>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900"/>
        <w:gridCol w:w="2500"/>
        <w:gridCol w:w="5660"/>
      </w:tblGrid>
      <w:tr>
        <w:trPr>
          <w:tblHeader/>
        </w:trPr>
        <w:tc>
          <w:tcPr>
            <w:tcW w:type="dxa" w:w="900"/>
            <w:shd w:fill="10243A" w:val="clear"/>
            <w:tcMar>
              <w:top w:type="dxa" w:w="80"/>
              <w:left w:type="dxa" w:w="100"/>
              <w:bottom w:type="dxa" w:w="80"/>
              <w:right w:type="dxa" w:w="100"/>
            </w:tcMar>
          </w:tcPr>
          <w:p>
            <w:r>
              <w:rPr>
                <w:b/>
                <w:bCs/>
                <w:color w:val="FFFFFF"/>
                <w:sz w:val="19"/>
                <w:szCs w:val="19"/>
              </w:rPr>
              <w:t xml:space="preserve">ID</w:t>
            </w:r>
          </w:p>
        </w:tc>
        <w:tc>
          <w:tcPr>
            <w:tcW w:type="dxa" w:w="2500"/>
            <w:shd w:fill="10243A" w:val="clear"/>
            <w:tcMar>
              <w:top w:type="dxa" w:w="80"/>
              <w:left w:type="dxa" w:w="100"/>
              <w:bottom w:type="dxa" w:w="80"/>
              <w:right w:type="dxa" w:w="100"/>
            </w:tcMar>
          </w:tcPr>
          <w:p>
            <w:r>
              <w:rPr>
                <w:b/>
                <w:bCs/>
                <w:color w:val="FFFFFF"/>
                <w:sz w:val="19"/>
                <w:szCs w:val="19"/>
              </w:rPr>
              <w:t xml:space="preserve">Feature</w:t>
            </w:r>
          </w:p>
        </w:tc>
        <w:tc>
          <w:tcPr>
            <w:tcW w:type="dxa" w:w="5660"/>
            <w:shd w:fill="10243A" w:val="clear"/>
            <w:tcMar>
              <w:top w:type="dxa" w:w="80"/>
              <w:left w:type="dxa" w:w="100"/>
              <w:bottom w:type="dxa" w:w="80"/>
              <w:right w:type="dxa" w:w="100"/>
            </w:tcMar>
          </w:tcPr>
          <w:p>
            <w:r>
              <w:rPr>
                <w:b/>
                <w:bCs/>
                <w:color w:val="FFFFFF"/>
                <w:sz w:val="19"/>
                <w:szCs w:val="19"/>
              </w:rPr>
              <w:t xml:space="preserve">What changed since v9</w:t>
            </w:r>
          </w:p>
        </w:tc>
      </w:tr>
      <w:tr>
        <w:tc>
          <w:tcPr>
            <w:tcW w:type="dxa" w:w="900"/>
            <w:tcMar>
              <w:top w:type="dxa" w:w="80"/>
              <w:left w:type="dxa" w:w="100"/>
              <w:bottom w:type="dxa" w:w="80"/>
              <w:right w:type="dxa" w:w="100"/>
            </w:tcMar>
          </w:tcPr>
          <w:p>
            <w:r>
              <w:rPr>
                <w:b w:val="false"/>
                <w:bCs w:val="false"/>
                <w:sz w:val="19"/>
                <w:szCs w:val="19"/>
              </w:rPr>
              <w:t xml:space="preserve">F1</w:t>
            </w:r>
          </w:p>
        </w:tc>
        <w:tc>
          <w:tcPr>
            <w:tcW w:type="dxa" w:w="2500"/>
            <w:tcMar>
              <w:top w:type="dxa" w:w="80"/>
              <w:left w:type="dxa" w:w="100"/>
              <w:bottom w:type="dxa" w:w="80"/>
              <w:right w:type="dxa" w:w="100"/>
            </w:tcMar>
          </w:tcPr>
          <w:p>
            <w:r>
              <w:rPr>
                <w:b w:val="false"/>
                <w:bCs w:val="false"/>
                <w:sz w:val="19"/>
                <w:szCs w:val="19"/>
              </w:rPr>
              <w:t xml:space="preserve">Evidence Vault</w:t>
            </w:r>
          </w:p>
        </w:tc>
        <w:tc>
          <w:tcPr>
            <w:tcW w:type="dxa" w:w="5660"/>
            <w:tcMar>
              <w:top w:type="dxa" w:w="80"/>
              <w:left w:type="dxa" w:w="100"/>
              <w:bottom w:type="dxa" w:w="80"/>
              <w:right w:type="dxa" w:w="100"/>
            </w:tcMar>
          </w:tcPr>
          <w:p>
            <w:r>
              <w:rPr>
                <w:b w:val="false"/>
                <w:bCs w:val="false"/>
                <w:sz w:val="19"/>
                <w:szCs w:val="19"/>
              </w:rPr>
              <w:t xml:space="preserve">Still starts fresh each session (open to-do carried forward, §9)</w:t>
            </w:r>
          </w:p>
        </w:tc>
      </w:tr>
      <w:tr>
        <w:tc>
          <w:tcPr>
            <w:tcW w:type="dxa" w:w="900"/>
            <w:tcMar>
              <w:top w:type="dxa" w:w="80"/>
              <w:left w:type="dxa" w:w="100"/>
              <w:bottom w:type="dxa" w:w="80"/>
              <w:right w:type="dxa" w:w="100"/>
            </w:tcMar>
          </w:tcPr>
          <w:p>
            <w:r>
              <w:rPr>
                <w:b w:val="false"/>
                <w:bCs w:val="false"/>
                <w:sz w:val="19"/>
                <w:szCs w:val="19"/>
              </w:rPr>
              <w:t xml:space="preserve">F2</w:t>
            </w:r>
          </w:p>
        </w:tc>
        <w:tc>
          <w:tcPr>
            <w:tcW w:type="dxa" w:w="2500"/>
            <w:tcMar>
              <w:top w:type="dxa" w:w="80"/>
              <w:left w:type="dxa" w:w="100"/>
              <w:bottom w:type="dxa" w:w="80"/>
              <w:right w:type="dxa" w:w="100"/>
            </w:tcMar>
          </w:tcPr>
          <w:p>
            <w:r>
              <w:rPr>
                <w:b w:val="false"/>
                <w:bCs w:val="false"/>
                <w:sz w:val="19"/>
                <w:szCs w:val="19"/>
              </w:rPr>
              <w:t xml:space="preserve">Website Reviewer</w:t>
            </w:r>
          </w:p>
        </w:tc>
        <w:tc>
          <w:tcPr>
            <w:tcW w:type="dxa" w:w="5660"/>
            <w:tcMar>
              <w:top w:type="dxa" w:w="80"/>
              <w:left w:type="dxa" w:w="100"/>
              <w:bottom w:type="dxa" w:w="80"/>
              <w:right w:type="dxa" w:w="100"/>
            </w:tcMar>
          </w:tcPr>
          <w:p>
            <w:r>
              <w:rPr>
                <w:b w:val="false"/>
                <w:bCs w:val="false"/>
                <w:sz w:val="19"/>
                <w:szCs w:val="19"/>
              </w:rPr>
              <w:t xml:space="preserve">Rewired 2026-08-04 to call the Worker’s /fetch and /claude/v1/messages routes instead of corsproxy.io and a client-stored Claude key directly — those direct calls were silently CSP-blocked</w:t>
            </w:r>
          </w:p>
        </w:tc>
      </w:tr>
      <w:tr>
        <w:tc>
          <w:tcPr>
            <w:tcW w:type="dxa" w:w="900"/>
            <w:tcMar>
              <w:top w:type="dxa" w:w="80"/>
              <w:left w:type="dxa" w:w="100"/>
              <w:bottom w:type="dxa" w:w="80"/>
              <w:right w:type="dxa" w:w="100"/>
            </w:tcMar>
          </w:tcPr>
          <w:p>
            <w:r>
              <w:rPr>
                <w:b w:val="false"/>
                <w:bCs w:val="false"/>
                <w:sz w:val="19"/>
                <w:szCs w:val="19"/>
              </w:rPr>
              <w:t xml:space="preserve">F3</w:t>
            </w:r>
          </w:p>
        </w:tc>
        <w:tc>
          <w:tcPr>
            <w:tcW w:type="dxa" w:w="2500"/>
            <w:tcMar>
              <w:top w:type="dxa" w:w="80"/>
              <w:left w:type="dxa" w:w="100"/>
              <w:bottom w:type="dxa" w:w="80"/>
              <w:right w:type="dxa" w:w="100"/>
            </w:tcMar>
          </w:tcPr>
          <w:p>
            <w:r>
              <w:rPr>
                <w:b w:val="false"/>
                <w:bCs w:val="false"/>
                <w:sz w:val="19"/>
                <w:szCs w:val="19"/>
              </w:rPr>
              <w:t xml:space="preserve">ISO 19443 Position</w:t>
            </w:r>
          </w:p>
        </w:tc>
        <w:tc>
          <w:tcPr>
            <w:tcW w:type="dxa" w:w="5660"/>
            <w:tcMar>
              <w:top w:type="dxa" w:w="80"/>
              <w:left w:type="dxa" w:w="100"/>
              <w:bottom w:type="dxa" w:w="80"/>
              <w:right w:type="dxa" w:w="100"/>
            </w:tcMar>
          </w:tcPr>
          <w:p>
            <w:r>
              <w:rPr>
                <w:b w:val="false"/>
                <w:bCs w:val="false"/>
                <w:sz w:val="19"/>
                <w:szCs w:val="19"/>
              </w:rPr>
              <w:t xml:space="preserve">Unchanged in scope; SCC backend POST integration still open (§9)</w:t>
            </w:r>
          </w:p>
        </w:tc>
      </w:tr>
      <w:tr>
        <w:tc>
          <w:tcPr>
            <w:tcW w:type="dxa" w:w="900"/>
            <w:tcMar>
              <w:top w:type="dxa" w:w="80"/>
              <w:left w:type="dxa" w:w="100"/>
              <w:bottom w:type="dxa" w:w="80"/>
              <w:right w:type="dxa" w:w="100"/>
            </w:tcMar>
          </w:tcPr>
          <w:p>
            <w:r>
              <w:rPr>
                <w:b w:val="false"/>
                <w:bCs w:val="false"/>
                <w:sz w:val="19"/>
                <w:szCs w:val="19"/>
              </w:rPr>
              <w:t xml:space="preserve">F4</w:t>
            </w:r>
          </w:p>
        </w:tc>
        <w:tc>
          <w:tcPr>
            <w:tcW w:type="dxa" w:w="2500"/>
            <w:tcMar>
              <w:top w:type="dxa" w:w="80"/>
              <w:left w:type="dxa" w:w="100"/>
              <w:bottom w:type="dxa" w:w="80"/>
              <w:right w:type="dxa" w:w="100"/>
            </w:tcMar>
          </w:tcPr>
          <w:p>
            <w:r>
              <w:rPr>
                <w:b w:val="false"/>
                <w:bCs w:val="false"/>
                <w:sz w:val="19"/>
                <w:szCs w:val="19"/>
              </w:rPr>
              <w:t xml:space="preserve">Social Value Finder</w:t>
            </w:r>
          </w:p>
        </w:tc>
        <w:tc>
          <w:tcPr>
            <w:tcW w:type="dxa" w:w="5660"/>
            <w:tcMar>
              <w:top w:type="dxa" w:w="80"/>
              <w:left w:type="dxa" w:w="100"/>
              <w:bottom w:type="dxa" w:w="80"/>
              <w:right w:type="dxa" w:w="100"/>
            </w:tcMar>
          </w:tcPr>
          <w:p>
            <w:r>
              <w:rPr>
                <w:b w:val="false"/>
                <w:bCs w:val="false"/>
                <w:sz w:val="19"/>
                <w:szCs w:val="19"/>
              </w:rPr>
              <w:t xml:space="preserve">Unchanged</w:t>
            </w:r>
          </w:p>
        </w:tc>
      </w:tr>
      <w:tr>
        <w:tc>
          <w:tcPr>
            <w:tcW w:type="dxa" w:w="900"/>
            <w:tcMar>
              <w:top w:type="dxa" w:w="80"/>
              <w:left w:type="dxa" w:w="100"/>
              <w:bottom w:type="dxa" w:w="80"/>
              <w:right w:type="dxa" w:w="100"/>
            </w:tcMar>
          </w:tcPr>
          <w:p>
            <w:r>
              <w:rPr>
                <w:b w:val="false"/>
                <w:bCs w:val="false"/>
                <w:sz w:val="19"/>
                <w:szCs w:val="19"/>
              </w:rPr>
              <w:t xml:space="preserve">F5</w:t>
            </w:r>
          </w:p>
        </w:tc>
        <w:tc>
          <w:tcPr>
            <w:tcW w:type="dxa" w:w="2500"/>
            <w:tcMar>
              <w:top w:type="dxa" w:w="80"/>
              <w:left w:type="dxa" w:w="100"/>
              <w:bottom w:type="dxa" w:w="80"/>
              <w:right w:type="dxa" w:w="100"/>
            </w:tcMar>
          </w:tcPr>
          <w:p>
            <w:r>
              <w:rPr>
                <w:b w:val="false"/>
                <w:bCs w:val="false"/>
                <w:sz w:val="19"/>
                <w:szCs w:val="19"/>
              </w:rPr>
              <w:t xml:space="preserve">RAG Chat Engine</w:t>
            </w:r>
          </w:p>
        </w:tc>
        <w:tc>
          <w:tcPr>
            <w:tcW w:type="dxa" w:w="5660"/>
            <w:tcMar>
              <w:top w:type="dxa" w:w="80"/>
              <w:left w:type="dxa" w:w="100"/>
              <w:bottom w:type="dxa" w:w="80"/>
              <w:right w:type="dxa" w:w="100"/>
            </w:tcMar>
          </w:tcPr>
          <w:p>
            <w:r>
              <w:rPr>
                <w:b w:val="false"/>
                <w:bCs w:val="false"/>
                <w:sz w:val="19"/>
                <w:szCs w:val="19"/>
              </w:rPr>
              <w:t xml:space="preserve">Retrieval completely rebuilt — see §4</w:t>
            </w:r>
          </w:p>
        </w:tc>
      </w:tr>
    </w:tbl>
    <w:p>
      <w:pPr>
        <w:pStyle w:val="Heading2"/>
        <w:spacing w:after="120" w:before="260"/>
      </w:pPr>
      <w:r>
        <w:t xml:space="preserve">Additional tools now live (beyond v9’s inventory)</w:t>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5060"/>
      </w:tblGrid>
      <w:tr>
        <w:trPr>
          <w:tblHeader/>
        </w:trPr>
        <w:tc>
          <w:tcPr>
            <w:tcW w:type="dxa" w:w="2600"/>
            <w:shd w:fill="10243A" w:val="clear"/>
            <w:tcMar>
              <w:top w:type="dxa" w:w="80"/>
              <w:left w:type="dxa" w:w="100"/>
              <w:bottom w:type="dxa" w:w="80"/>
              <w:right w:type="dxa" w:w="100"/>
            </w:tcMar>
          </w:tcPr>
          <w:p>
            <w:r>
              <w:rPr>
                <w:b/>
                <w:bCs/>
                <w:color w:val="FFFFFF"/>
                <w:sz w:val="19"/>
                <w:szCs w:val="19"/>
              </w:rPr>
              <w:t xml:space="preserve">Tool</w:t>
            </w:r>
          </w:p>
        </w:tc>
        <w:tc>
          <w:tcPr>
            <w:tcW w:type="dxa" w:w="1400"/>
            <w:shd w:fill="10243A" w:val="clear"/>
            <w:tcMar>
              <w:top w:type="dxa" w:w="80"/>
              <w:left w:type="dxa" w:w="100"/>
              <w:bottom w:type="dxa" w:w="80"/>
              <w:right w:type="dxa" w:w="100"/>
            </w:tcMar>
          </w:tcPr>
          <w:p>
            <w:r>
              <w:rPr>
                <w:b/>
                <w:bCs/>
                <w:color w:val="FFFFFF"/>
                <w:sz w:val="19"/>
                <w:szCs w:val="19"/>
              </w:rPr>
              <w:t xml:space="preserve">Added</w:t>
            </w:r>
          </w:p>
        </w:tc>
        <w:tc>
          <w:tcPr>
            <w:tcW w:type="dxa" w:w="5060"/>
            <w:shd w:fill="10243A" w:val="clear"/>
            <w:tcMar>
              <w:top w:type="dxa" w:w="80"/>
              <w:left w:type="dxa" w:w="100"/>
              <w:bottom w:type="dxa" w:w="80"/>
              <w:right w:type="dxa" w:w="100"/>
            </w:tcMar>
          </w:tcPr>
          <w:p>
            <w:r>
              <w:rPr>
                <w:b/>
                <w:bCs/>
                <w:color w:val="FFFFFF"/>
                <w:sz w:val="19"/>
                <w:szCs w:val="19"/>
              </w:rPr>
              <w:t xml:space="preserve">Notes</w:t>
            </w:r>
          </w:p>
        </w:tc>
      </w:tr>
      <w:tr>
        <w:tc>
          <w:tcPr>
            <w:tcW w:type="dxa" w:w="2600"/>
            <w:tcMar>
              <w:top w:type="dxa" w:w="80"/>
              <w:left w:type="dxa" w:w="100"/>
              <w:bottom w:type="dxa" w:w="80"/>
              <w:right w:type="dxa" w:w="100"/>
            </w:tcMar>
          </w:tcPr>
          <w:p>
            <w:r>
              <w:rPr>
                <w:b w:val="false"/>
                <w:bCs w:val="false"/>
                <w:sz w:val="19"/>
                <w:szCs w:val="19"/>
              </w:rPr>
              <w:t xml:space="preserve">Hero landing page</w:t>
            </w:r>
          </w:p>
        </w:tc>
        <w:tc>
          <w:tcPr>
            <w:tcW w:type="dxa" w:w="1400"/>
            <w:tcMar>
              <w:top w:type="dxa" w:w="80"/>
              <w:left w:type="dxa" w:w="100"/>
              <w:bottom w:type="dxa" w:w="80"/>
              <w:right w:type="dxa" w:w="100"/>
            </w:tcMar>
          </w:tcPr>
          <w:p>
            <w:r>
              <w:rPr>
                <w:b w:val="false"/>
                <w:bCs w:val="false"/>
                <w:sz w:val="19"/>
                <w:szCs w:val="19"/>
              </w:rPr>
              <w:t xml:space="preserve">2026-08-05</w:t>
            </w:r>
          </w:p>
        </w:tc>
        <w:tc>
          <w:tcPr>
            <w:tcW w:type="dxa" w:w="5060"/>
            <w:tcMar>
              <w:top w:type="dxa" w:w="80"/>
              <w:left w:type="dxa" w:w="100"/>
              <w:bottom w:type="dxa" w:w="80"/>
              <w:right w:type="dxa" w:w="100"/>
            </w:tcMar>
          </w:tcPr>
          <w:p>
            <w:r>
              <w:rPr>
                <w:b w:val="false"/>
                <w:bCs w:val="false"/>
                <w:sz w:val="19"/>
                <w:szCs w:val="19"/>
              </w:rPr>
              <w:t xml:space="preserve">Frankie no longer opens straight into chat — opens on a "Hi, I’m Frankie" hero screen with live status and an "Open Frankie Chat →" button. Chat/composer/rail stay in the DOM, hidden, until opened.</w:t>
            </w:r>
          </w:p>
        </w:tc>
      </w:tr>
      <w:tr>
        <w:tc>
          <w:tcPr>
            <w:tcW w:type="dxa" w:w="2600"/>
            <w:tcMar>
              <w:top w:type="dxa" w:w="80"/>
              <w:left w:type="dxa" w:w="100"/>
              <w:bottom w:type="dxa" w:w="80"/>
              <w:right w:type="dxa" w:w="100"/>
            </w:tcMar>
          </w:tcPr>
          <w:p>
            <w:r>
              <w:rPr>
                <w:b w:val="false"/>
                <w:bCs w:val="false"/>
                <w:sz w:val="19"/>
                <w:szCs w:val="19"/>
              </w:rPr>
              <w:t xml:space="preserve">Drawer intro splashes</w:t>
            </w:r>
          </w:p>
        </w:tc>
        <w:tc>
          <w:tcPr>
            <w:tcW w:type="dxa" w:w="1400"/>
            <w:tcMar>
              <w:top w:type="dxa" w:w="80"/>
              <w:left w:type="dxa" w:w="100"/>
              <w:bottom w:type="dxa" w:w="80"/>
              <w:right w:type="dxa" w:w="100"/>
            </w:tcMar>
          </w:tcPr>
          <w:p>
            <w:r>
              <w:rPr>
                <w:b w:val="false"/>
                <w:bCs w:val="false"/>
                <w:sz w:val="19"/>
                <w:szCs w:val="19"/>
              </w:rPr>
              <w:t xml:space="preserve">2026-08-05</w:t>
            </w:r>
          </w:p>
        </w:tc>
        <w:tc>
          <w:tcPr>
            <w:tcW w:type="dxa" w:w="5060"/>
            <w:tcMar>
              <w:top w:type="dxa" w:w="80"/>
              <w:left w:type="dxa" w:w="100"/>
              <w:bottom w:type="dxa" w:w="80"/>
              <w:right w:type="dxa" w:w="100"/>
            </w:tcMar>
          </w:tcPr>
          <w:p>
            <w:r>
              <w:rPr>
                <w:b w:val="false"/>
                <w:bCs w:val="false"/>
                <w:sz w:val="19"/>
                <w:szCs w:val="19"/>
              </w:rPr>
              <w:t xml:space="preserve">Every tool drawer’s first open shows a branded intro screen (what it does, checklist, illustration); remembered per-tool, reopenable via an ℹ️ button.</w:t>
            </w:r>
          </w:p>
        </w:tc>
      </w:tr>
      <w:tr>
        <w:tc>
          <w:tcPr>
            <w:tcW w:type="dxa" w:w="2600"/>
            <w:tcMar>
              <w:top w:type="dxa" w:w="80"/>
              <w:left w:type="dxa" w:w="100"/>
              <w:bottom w:type="dxa" w:w="80"/>
              <w:right w:type="dxa" w:w="100"/>
            </w:tcMar>
          </w:tcPr>
          <w:p>
            <w:r>
              <w:rPr>
                <w:b w:val="false"/>
                <w:bCs w:val="false"/>
                <w:sz w:val="19"/>
                <w:szCs w:val="19"/>
              </w:rPr>
              <w:t xml:space="preserve">NucColpedia — Research Library</w:t>
            </w:r>
          </w:p>
        </w:tc>
        <w:tc>
          <w:tcPr>
            <w:tcW w:type="dxa" w:w="1400"/>
            <w:tcMar>
              <w:top w:type="dxa" w:w="80"/>
              <w:left w:type="dxa" w:w="100"/>
              <w:bottom w:type="dxa" w:w="80"/>
              <w:right w:type="dxa" w:w="100"/>
            </w:tcMar>
          </w:tcPr>
          <w:p>
            <w:r>
              <w:rPr>
                <w:b w:val="false"/>
                <w:bCs w:val="false"/>
                <w:sz w:val="19"/>
                <w:szCs w:val="19"/>
              </w:rPr>
              <w:t xml:space="preserve">2026-08-04</w:t>
            </w:r>
          </w:p>
        </w:tc>
        <w:tc>
          <w:tcPr>
            <w:tcW w:type="dxa" w:w="5060"/>
            <w:tcMar>
              <w:top w:type="dxa" w:w="80"/>
              <w:left w:type="dxa" w:w="100"/>
              <w:bottom w:type="dxa" w:w="80"/>
              <w:right w:type="dxa" w:w="100"/>
            </w:tcMar>
          </w:tcPr>
          <w:p>
            <w:r>
              <w:rPr>
                <w:b w:val="false"/>
                <w:bCs w:val="false"/>
                <w:sz w:val="19"/>
                <w:szCs w:val="19"/>
              </w:rPr>
              <w:t xml:space="preserve">924 external research links, searchable/filterable by category/country/doctype/topic.</w:t>
            </w:r>
          </w:p>
        </w:tc>
      </w:tr>
      <w:tr>
        <w:tc>
          <w:tcPr>
            <w:tcW w:type="dxa" w:w="2600"/>
            <w:tcMar>
              <w:top w:type="dxa" w:w="80"/>
              <w:left w:type="dxa" w:w="100"/>
              <w:bottom w:type="dxa" w:w="80"/>
              <w:right w:type="dxa" w:w="100"/>
            </w:tcMar>
          </w:tcPr>
          <w:p>
            <w:r>
              <w:rPr>
                <w:b w:val="false"/>
                <w:bCs w:val="false"/>
                <w:sz w:val="19"/>
                <w:szCs w:val="19"/>
              </w:rPr>
              <w:t xml:space="preserve">NucColpedia — Reactor Documents</w:t>
            </w:r>
          </w:p>
        </w:tc>
        <w:tc>
          <w:tcPr>
            <w:tcW w:type="dxa" w:w="1400"/>
            <w:tcMar>
              <w:top w:type="dxa" w:w="80"/>
              <w:left w:type="dxa" w:w="100"/>
              <w:bottom w:type="dxa" w:w="80"/>
              <w:right w:type="dxa" w:w="100"/>
            </w:tcMar>
          </w:tcPr>
          <w:p>
            <w:r>
              <w:rPr>
                <w:b w:val="false"/>
                <w:bCs w:val="false"/>
                <w:sz w:val="19"/>
                <w:szCs w:val="19"/>
              </w:rPr>
              <w:t xml:space="preserve">This version</w:t>
            </w:r>
          </w:p>
        </w:tc>
        <w:tc>
          <w:tcPr>
            <w:tcW w:type="dxa" w:w="5060"/>
            <w:tcMar>
              <w:top w:type="dxa" w:w="80"/>
              <w:left w:type="dxa" w:w="100"/>
              <w:bottom w:type="dxa" w:w="80"/>
              <w:right w:type="dxa" w:w="100"/>
            </w:tcMar>
          </w:tcPr>
          <w:p>
            <w:r>
              <w:rPr>
                <w:b w:val="false"/>
                <w:bCs w:val="false"/>
                <w:sz w:val="19"/>
                <w:szCs w:val="19"/>
              </w:rPr>
              <w:t xml:space="preserve">New tab, new tool: search-and-snippet access to the 61,374-chunk reactors KB, retired from default chat. Full detail in §7.</w:t>
            </w:r>
          </w:p>
        </w:tc>
      </w:tr>
      <w:tr>
        <w:tc>
          <w:tcPr>
            <w:tcW w:type="dxa" w:w="2600"/>
            <w:tcMar>
              <w:top w:type="dxa" w:w="80"/>
              <w:left w:type="dxa" w:w="100"/>
              <w:bottom w:type="dxa" w:w="80"/>
              <w:right w:type="dxa" w:w="100"/>
            </w:tcMar>
          </w:tcPr>
          <w:p>
            <w:r>
              <w:rPr>
                <w:b w:val="false"/>
                <w:bCs w:val="false"/>
                <w:sz w:val="19"/>
                <w:szCs w:val="19"/>
              </w:rPr>
              <w:t xml:space="preserve">Plant Explorer — layer 2 cutaways</w:t>
            </w:r>
          </w:p>
        </w:tc>
        <w:tc>
          <w:tcPr>
            <w:tcW w:type="dxa" w:w="1400"/>
            <w:tcMar>
              <w:top w:type="dxa" w:w="80"/>
              <w:left w:type="dxa" w:w="100"/>
              <w:bottom w:type="dxa" w:w="80"/>
              <w:right w:type="dxa" w:w="100"/>
            </w:tcMar>
          </w:tcPr>
          <w:p>
            <w:r>
              <w:rPr>
                <w:b w:val="false"/>
                <w:bCs w:val="false"/>
                <w:sz w:val="19"/>
                <w:szCs w:val="19"/>
              </w:rPr>
              <w:t xml:space="preserve">2026-08-04</w:t>
            </w:r>
          </w:p>
        </w:tc>
        <w:tc>
          <w:tcPr>
            <w:tcW w:type="dxa" w:w="5060"/>
            <w:tcMar>
              <w:top w:type="dxa" w:w="80"/>
              <w:left w:type="dxa" w:w="100"/>
              <w:bottom w:type="dxa" w:w="80"/>
              <w:right w:type="dxa" w:w="100"/>
            </w:tcMar>
          </w:tcPr>
          <w:p>
            <w:r>
              <w:rPr>
                <w:b w:val="false"/>
                <w:bCs w:val="false"/>
                <w:sz w:val="19"/>
                <w:szCs w:val="19"/>
              </w:rPr>
              <w:t xml:space="preserve">Per-reactor cutaway diagrams with clickable buildings and numbered equipment callouts, on top of the original flat zone map.</w:t>
            </w:r>
          </w:p>
        </w:tc>
      </w:tr>
      <w:tr>
        <w:tc>
          <w:tcPr>
            <w:tcW w:type="dxa" w:w="2600"/>
            <w:tcMar>
              <w:top w:type="dxa" w:w="80"/>
              <w:left w:type="dxa" w:w="100"/>
              <w:bottom w:type="dxa" w:w="80"/>
              <w:right w:type="dxa" w:w="100"/>
            </w:tcMar>
          </w:tcPr>
          <w:p>
            <w:r>
              <w:rPr>
                <w:b w:val="false"/>
                <w:bCs w:val="false"/>
                <w:sz w:val="19"/>
                <w:szCs w:val="19"/>
              </w:rPr>
              <w:t xml:space="preserve">Plant Explorer ⇄ chat integration</w:t>
            </w:r>
          </w:p>
        </w:tc>
        <w:tc>
          <w:tcPr>
            <w:tcW w:type="dxa" w:w="1400"/>
            <w:tcMar>
              <w:top w:type="dxa" w:w="80"/>
              <w:left w:type="dxa" w:w="100"/>
              <w:bottom w:type="dxa" w:w="80"/>
              <w:right w:type="dxa" w:w="100"/>
            </w:tcMar>
          </w:tcPr>
          <w:p>
            <w:r>
              <w:rPr>
                <w:b w:val="false"/>
                <w:bCs w:val="false"/>
                <w:sz w:val="19"/>
                <w:szCs w:val="19"/>
              </w:rPr>
              <w:t xml:space="preserve">This version</w:t>
            </w:r>
          </w:p>
        </w:tc>
        <w:tc>
          <w:tcPr>
            <w:tcW w:type="dxa" w:w="5060"/>
            <w:tcMar>
              <w:top w:type="dxa" w:w="80"/>
              <w:left w:type="dxa" w:w="100"/>
              <w:bottom w:type="dxa" w:w="80"/>
              <w:right w:type="dxa" w:w="100"/>
            </w:tcMar>
          </w:tcPr>
          <w:p>
            <w:r>
              <w:rPr>
                <w:b w:val="false"/>
                <w:bCs w:val="false"/>
                <w:sz w:val="19"/>
                <w:szCs w:val="19"/>
              </w:rPr>
              <w:t xml:space="preserve">A plant/component chat question now auto-opens a quick-search drawer with a "Reopen Plant Explorer →" link plus an "Open full explorer →" escalation path into the full tool, carrying the search term across. Three real bugs fixed getting there — see §7.</w:t>
            </w:r>
          </w:p>
        </w:tc>
      </w:tr>
      <w:tr>
        <w:tc>
          <w:tcPr>
            <w:tcW w:type="dxa" w:w="2600"/>
            <w:tcMar>
              <w:top w:type="dxa" w:w="80"/>
              <w:left w:type="dxa" w:w="100"/>
              <w:bottom w:type="dxa" w:w="80"/>
              <w:right w:type="dxa" w:w="100"/>
            </w:tcMar>
          </w:tcPr>
          <w:p>
            <w:r>
              <w:rPr>
                <w:b w:val="false"/>
                <w:bCs w:val="false"/>
                <w:sz w:val="19"/>
                <w:szCs w:val="19"/>
              </w:rPr>
              <w:t xml:space="preserve">Single-drawer enforcement</w:t>
            </w:r>
          </w:p>
        </w:tc>
        <w:tc>
          <w:tcPr>
            <w:tcW w:type="dxa" w:w="1400"/>
            <w:tcMar>
              <w:top w:type="dxa" w:w="80"/>
              <w:left w:type="dxa" w:w="100"/>
              <w:bottom w:type="dxa" w:w="80"/>
              <w:right w:type="dxa" w:w="100"/>
            </w:tcMar>
          </w:tcPr>
          <w:p>
            <w:r>
              <w:rPr>
                <w:b w:val="false"/>
                <w:bCs w:val="false"/>
                <w:sz w:val="19"/>
                <w:szCs w:val="19"/>
              </w:rPr>
              <w:t xml:space="preserve">2026-08-04</w:t>
            </w:r>
          </w:p>
        </w:tc>
        <w:tc>
          <w:tcPr>
            <w:tcW w:type="dxa" w:w="5060"/>
            <w:tcMar>
              <w:top w:type="dxa" w:w="80"/>
              <w:left w:type="dxa" w:w="100"/>
              <w:bottom w:type="dxa" w:w="80"/>
              <w:right w:type="dxa" w:w="100"/>
            </w:tcMar>
          </w:tcPr>
          <w:p>
            <w:r>
              <w:rPr>
                <w:b w:val="false"/>
                <w:bCs w:val="false"/>
                <w:sz w:val="19"/>
                <w:szCs w:val="19"/>
              </w:rPr>
              <w:t xml:space="preserve">drawer-manager.js — opening a second tool force-closes whichever was already open, instead of stacking overlays.</w:t>
            </w:r>
          </w:p>
        </w:tc>
      </w:tr>
      <w:tr>
        <w:tc>
          <w:tcPr>
            <w:tcW w:type="dxa" w:w="2600"/>
            <w:tcMar>
              <w:top w:type="dxa" w:w="80"/>
              <w:left w:type="dxa" w:w="100"/>
              <w:bottom w:type="dxa" w:w="80"/>
              <w:right w:type="dxa" w:w="100"/>
            </w:tcMar>
          </w:tcPr>
          <w:p>
            <w:r>
              <w:rPr>
                <w:b w:val="false"/>
                <w:bCs w:val="false"/>
                <w:sz w:val="19"/>
                <w:szCs w:val="19"/>
              </w:rPr>
              <w:t xml:space="preserve">Plant Database drawer</w:t>
            </w:r>
          </w:p>
        </w:tc>
        <w:tc>
          <w:tcPr>
            <w:tcW w:type="dxa" w:w="1400"/>
            <w:tcMar>
              <w:top w:type="dxa" w:w="80"/>
              <w:left w:type="dxa" w:w="100"/>
              <w:bottom w:type="dxa" w:w="80"/>
              <w:right w:type="dxa" w:w="100"/>
            </w:tcMar>
          </w:tcPr>
          <w:p>
            <w:r>
              <w:rPr>
                <w:b w:val="false"/>
                <w:bCs w:val="false"/>
                <w:sz w:val="19"/>
                <w:szCs w:val="19"/>
              </w:rPr>
              <w:t xml:space="preserve">This version (v11)</w:t>
            </w:r>
          </w:p>
        </w:tc>
        <w:tc>
          <w:tcPr>
            <w:tcW w:type="dxa" w:w="5060"/>
            <w:tcMar>
              <w:top w:type="dxa" w:w="80"/>
              <w:left w:type="dxa" w:w="100"/>
              <w:bottom w:type="dxa" w:w="80"/>
              <w:right w:type="dxa" w:w="100"/>
            </w:tcMar>
          </w:tcPr>
          <w:p>
            <w:r>
              <w:rPr>
                <w:b w:val="false"/>
                <w:bCs w:val="false"/>
                <w:sz w:val="19"/>
                <w:szCs w:val="19"/>
              </w:rPr>
              <w:t xml:space="preserve">New — plant-db-drawer.js + plant-db.css. Searchable/filterable table view of the 171-pair Data Structure Extract taxonomy (frankie/data/dse_dictionary.json, 1,285 rows), opened via a new "🗂️ Plant Database" toolbar button inside Plant Explorer. Closes Open To-Do #4 from v10 using option (b) from the three discussed there — hosted JSON + searchable table, no production sign-off needed, raw workbook never exposed.</w:t>
            </w:r>
          </w:p>
        </w:tc>
      </w:tr>
      <w:tr>
        <w:tc>
          <w:tcPr>
            <w:tcW w:type="dxa" w:w="2600"/>
            <w:tcMar>
              <w:top w:type="dxa" w:w="80"/>
              <w:left w:type="dxa" w:w="100"/>
              <w:bottom w:type="dxa" w:w="80"/>
              <w:right w:type="dxa" w:w="100"/>
            </w:tcMar>
          </w:tcPr>
          <w:p>
            <w:r>
              <w:rPr>
                <w:b w:val="false"/>
                <w:bCs w:val="false"/>
                <w:sz w:val="19"/>
                <w:szCs w:val="19"/>
              </w:rPr>
              <w:t xml:space="preserve">Reactor Documents → Plant Explorer cross-link</w:t>
            </w:r>
          </w:p>
        </w:tc>
        <w:tc>
          <w:tcPr>
            <w:tcW w:type="dxa" w:w="1400"/>
            <w:tcMar>
              <w:top w:type="dxa" w:w="80"/>
              <w:left w:type="dxa" w:w="100"/>
              <w:bottom w:type="dxa" w:w="80"/>
              <w:right w:type="dxa" w:w="100"/>
            </w:tcMar>
          </w:tcPr>
          <w:p>
            <w:r>
              <w:rPr>
                <w:b w:val="false"/>
                <w:bCs w:val="false"/>
                <w:sz w:val="19"/>
                <w:szCs w:val="19"/>
              </w:rPr>
              <w:t xml:space="preserve">This version (v11)</w:t>
            </w:r>
          </w:p>
        </w:tc>
        <w:tc>
          <w:tcPr>
            <w:tcW w:type="dxa" w:w="5060"/>
            <w:tcMar>
              <w:top w:type="dxa" w:w="80"/>
              <w:left w:type="dxa" w:w="100"/>
              <w:bottom w:type="dxa" w:w="80"/>
              <w:right w:type="dxa" w:w="100"/>
            </w:tcMar>
          </w:tcPr>
          <w:p>
            <w:r>
              <w:rPr>
                <w:b w:val="false"/>
                <w:bCs w:val="false"/>
                <w:sz w:val="19"/>
                <w:szCs w:val="19"/>
              </w:rPr>
              <w:t xml:space="preserve">New — a "🏭 View in Plant Explorer →" button on every NucColpedia Reactor Documents result card, using the card’s existing reactor_type field to open Plant Explorer pre-filtered to that reactor. Closes Open To-Do #6 from v10. Fixed one real bug along the way: PlantExplorerDrawer.open()’s reset-to-target logic was gated on the wrong variable (hasReactorOption instead of reactorType), so an invalid reactor type on an already-open drawer silently did nothing instead of falling back to "All 18 designs."</w:t>
            </w:r>
          </w:p>
        </w:tc>
      </w:tr>
    </w:tbl>
    <w:p>
      <w:pPr>
        <w:pStyle w:val="Heading1"/>
        <w:spacing w:after="160" w:before="360"/>
      </w:pPr>
      <w:r>
        <w:t xml:space="preserve">7. Key Feature Detail — This Version’s Work</w:t>
      </w:r>
    </w:p>
    <w:p>
      <w:pPr>
        <w:pStyle w:val="Heading2"/>
        <w:spacing w:after="120" w:before="260"/>
      </w:pPr>
      <w:r>
        <w:t xml:space="preserve">Compound-Question &amp; Under-Ranked-Content Retrieval Fixes</w:t>
      </w:r>
    </w:p>
    <w:p>
      <w:pPr>
        <w:spacing w:after="140"/>
      </w:pPr>
      <w:r>
        <w:t xml:space="preserve">Five commits this session, in order, touching js/retrieval.js, js/preprocessing.js, js/app.js and js/claude.js. No KB/vector/graph file changed — every fix below is pure retrieval/scoring/prompt-construction logic.</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1500"/>
        <w:gridCol w:w="7960"/>
      </w:tblGrid>
      <w:tr>
        <w:trPr>
          <w:tblHeader/>
        </w:trPr>
        <w:tc>
          <w:tcPr>
            <w:tcW w:type="dxa" w:w="1500"/>
            <w:shd w:fill="10243A" w:val="clear"/>
            <w:tcMar>
              <w:top w:type="dxa" w:w="80"/>
              <w:left w:type="dxa" w:w="100"/>
              <w:bottom w:type="dxa" w:w="80"/>
              <w:right w:type="dxa" w:w="100"/>
            </w:tcMar>
          </w:tcPr>
          <w:p>
            <w:r>
              <w:rPr>
                <w:b/>
                <w:bCs/>
                <w:color w:val="FFFFFF"/>
                <w:sz w:val="19"/>
                <w:szCs w:val="19"/>
              </w:rPr>
              <w:t xml:space="preserve">Commit</w:t>
            </w:r>
          </w:p>
        </w:tc>
        <w:tc>
          <w:tcPr>
            <w:tcW w:type="dxa" w:w="7960"/>
            <w:shd w:fill="10243A" w:val="clear"/>
            <w:tcMar>
              <w:top w:type="dxa" w:w="80"/>
              <w:left w:type="dxa" w:w="100"/>
              <w:bottom w:type="dxa" w:w="80"/>
              <w:right w:type="dxa" w:w="100"/>
            </w:tcMar>
          </w:tcPr>
          <w:p>
            <w:r>
              <w:rPr>
                <w:b/>
                <w:bCs/>
                <w:color w:val="FFFFFF"/>
                <w:sz w:val="19"/>
                <w:szCs w:val="19"/>
              </w:rPr>
              <w:t xml:space="preserve">What it did</w:t>
            </w:r>
          </w:p>
        </w:tc>
      </w:tr>
      <w:tr>
        <w:tc>
          <w:tcPr>
            <w:tcW w:type="dxa" w:w="1500"/>
            <w:tcMar>
              <w:top w:type="dxa" w:w="80"/>
              <w:left w:type="dxa" w:w="100"/>
              <w:bottom w:type="dxa" w:w="80"/>
              <w:right w:type="dxa" w:w="100"/>
            </w:tcMar>
          </w:tcPr>
          <w:p>
            <w:r>
              <w:rPr>
                <w:b w:val="false"/>
                <w:bCs w:val="false"/>
                <w:sz w:val="19"/>
                <w:szCs w:val="19"/>
              </w:rPr>
              <w:t xml:space="preserve">524e037</w:t>
            </w:r>
          </w:p>
        </w:tc>
        <w:tc>
          <w:tcPr>
            <w:tcW w:type="dxa" w:w="7960"/>
            <w:tcMar>
              <w:top w:type="dxa" w:w="80"/>
              <w:left w:type="dxa" w:w="100"/>
              <w:bottom w:type="dxa" w:w="80"/>
              <w:right w:type="dxa" w:w="100"/>
            </w:tcMar>
          </w:tcPr>
          <w:p>
            <w:r>
              <w:rPr>
                <w:b w:val="false"/>
                <w:bCs w:val="false"/>
                <w:sz w:val="19"/>
                <w:szCs w:val="19"/>
              </w:rPr>
              <w:t xml:space="preserve">Split compound questions into clauses (splitQueryClauses()) so each gets its own retrieval slot — first, narrow fix.</w:t>
            </w:r>
          </w:p>
        </w:tc>
      </w:tr>
      <w:tr>
        <w:tc>
          <w:tcPr>
            <w:tcW w:type="dxa" w:w="1500"/>
            <w:tcMar>
              <w:top w:type="dxa" w:w="80"/>
              <w:left w:type="dxa" w:w="100"/>
              <w:bottom w:type="dxa" w:w="80"/>
              <w:right w:type="dxa" w:w="100"/>
            </w:tcMar>
          </w:tcPr>
          <w:p>
            <w:r>
              <w:rPr>
                <w:b w:val="false"/>
                <w:bCs w:val="false"/>
                <w:sz w:val="19"/>
                <w:szCs w:val="19"/>
              </w:rPr>
              <w:t xml:space="preserve">890f10a</w:t>
            </w:r>
          </w:p>
        </w:tc>
        <w:tc>
          <w:tcPr>
            <w:tcW w:type="dxa" w:w="7960"/>
            <w:tcMar>
              <w:top w:type="dxa" w:w="80"/>
              <w:left w:type="dxa" w:w="100"/>
              <w:bottom w:type="dxa" w:w="80"/>
              <w:right w:type="dxa" w:w="100"/>
            </w:tcMar>
          </w:tcPr>
          <w:p>
            <w:r>
              <w:rPr>
                <w:b w:val="false"/>
                <w:bCs w:val="false"/>
                <w:sz w:val="19"/>
                <w:szCs w:val="19"/>
              </w:rPr>
              <w:t xml:space="preserve">Preserve clause-guaranteed chunks through app.js’s multi-query merge — superseded by 8fdf07e’s broader redesign.</w:t>
            </w:r>
          </w:p>
        </w:tc>
      </w:tr>
      <w:tr>
        <w:tc>
          <w:tcPr>
            <w:tcW w:type="dxa" w:w="1500"/>
            <w:tcMar>
              <w:top w:type="dxa" w:w="80"/>
              <w:left w:type="dxa" w:w="100"/>
              <w:bottom w:type="dxa" w:w="80"/>
              <w:right w:type="dxa" w:w="100"/>
            </w:tcMar>
          </w:tcPr>
          <w:p>
            <w:r>
              <w:rPr>
                <w:b w:val="false"/>
                <w:bCs w:val="false"/>
                <w:sz w:val="19"/>
                <w:szCs w:val="19"/>
              </w:rPr>
              <w:t xml:space="preserve">8fdf07e</w:t>
            </w:r>
          </w:p>
        </w:tc>
        <w:tc>
          <w:tcPr>
            <w:tcW w:type="dxa" w:w="7960"/>
            <w:tcMar>
              <w:top w:type="dxa" w:w="80"/>
              <w:left w:type="dxa" w:w="100"/>
              <w:bottom w:type="dxa" w:w="80"/>
              <w:right w:type="dxa" w:w="100"/>
            </w:tcMar>
          </w:tcPr>
          <w:p>
            <w:r>
              <w:rPr>
                <w:b w:val="false"/>
                <w:bCs w:val="false"/>
                <w:sz w:val="19"/>
                <w:szCs w:val="19"/>
              </w:rPr>
              <w:t xml:space="preserve">Full-pass redesign, per Rene’s explicit direction: preprocessing.js rewritten (deduped searchTerms, stopword-filtered word-picker); app.js’s flat top-5 slice replaced with a round-robin diversity merge; retrieval.js’s own compound-question push-past-cap block removed.</w:t>
            </w:r>
          </w:p>
        </w:tc>
      </w:tr>
      <w:tr>
        <w:tc>
          <w:tcPr>
            <w:tcW w:type="dxa" w:w="1500"/>
            <w:tcMar>
              <w:top w:type="dxa" w:w="80"/>
              <w:left w:type="dxa" w:w="100"/>
              <w:bottom w:type="dxa" w:w="80"/>
              <w:right w:type="dxa" w:w="100"/>
            </w:tcMar>
          </w:tcPr>
          <w:p>
            <w:r>
              <w:rPr>
                <w:b w:val="false"/>
                <w:bCs w:val="false"/>
                <w:sz w:val="19"/>
                <w:szCs w:val="19"/>
              </w:rPr>
              <w:t xml:space="preserve">f870761</w:t>
            </w:r>
          </w:p>
        </w:tc>
        <w:tc>
          <w:tcPr>
            <w:tcW w:type="dxa" w:w="7960"/>
            <w:tcMar>
              <w:top w:type="dxa" w:w="80"/>
              <w:left w:type="dxa" w:w="100"/>
              <w:bottom w:type="dxa" w:w="80"/>
              <w:right w:type="dxa" w:w="100"/>
            </w:tcMar>
          </w:tcPr>
          <w:p>
            <w:r>
              <w:rPr>
                <w:b w:val="false"/>
                <w:bCs w:val="false"/>
                <w:sz w:val="19"/>
                <w:szCs w:val="19"/>
              </w:rPr>
              <w:t xml:space="preserve">Fixed the round-robin merge’s over-eager pre-dedup; added RUBRIC_ENTITY_BOOST; fixed claude.js’s source-label fallback (SCC “Consultant” was showing as “Co-ordinator”).</w:t>
            </w:r>
          </w:p>
        </w:tc>
      </w:tr>
      <w:tr>
        <w:tc>
          <w:tcPr>
            <w:tcW w:type="dxa" w:w="1500"/>
            <w:tcMar>
              <w:top w:type="dxa" w:w="80"/>
              <w:left w:type="dxa" w:w="100"/>
              <w:bottom w:type="dxa" w:w="80"/>
              <w:right w:type="dxa" w:w="100"/>
            </w:tcMar>
          </w:tcPr>
          <w:p>
            <w:r>
              <w:rPr>
                <w:b w:val="false"/>
                <w:bCs w:val="false"/>
                <w:sz w:val="19"/>
                <w:szCs w:val="19"/>
              </w:rPr>
              <w:t xml:space="preserve">cf11da5</w:t>
            </w:r>
          </w:p>
        </w:tc>
        <w:tc>
          <w:tcPr>
            <w:tcW w:type="dxa" w:w="7960"/>
            <w:tcMar>
              <w:top w:type="dxa" w:w="80"/>
              <w:left w:type="dxa" w:w="100"/>
              <w:bottom w:type="dxa" w:w="80"/>
              <w:right w:type="dxa" w:w="100"/>
            </w:tcMar>
          </w:tcPr>
          <w:p>
            <w:r>
              <w:rPr>
                <w:b w:val="false"/>
                <w:bCs w:val="false"/>
                <w:sz w:val="19"/>
                <w:szCs w:val="19"/>
              </w:rPr>
              <w:t xml:space="preserve">Added GRANTING_CRITERIA_BOOST for the Triple 85 threshold chunk, under-ranked at #17 of 500 for a direct “granting criteria” query.</w:t>
            </w:r>
          </w:p>
        </w:tc>
      </w:tr>
    </w:tbl>
    <w:p>
      <w:pPr>
        <w:spacing w:after="140"/>
      </w:pPr>
      <w:r>
        <w:t xml:space="preserve">Trigger: Rene live-tested “What are the granting criteria and what does SQEP stand for?” and directly corrected an early answer (“this answer isnt really correct, it should know the scoring”). Two narrow fixes each solved their immediate symptom but left the next one undiscovered — prompting Rene’s explicit instruction: “can you do a full pass, rather than fixing the problem to look as a whole then fix.”</w:t>
      </w:r>
    </w:p>
    <w:p>
      <w:pPr>
        <w:spacing w:after="140"/>
      </w:pPr>
      <w:r>
        <w:t xml:space="preserve">Full-pass redesign (8fdf07e): preprocessing.js was rewritten — its searchTerms array previously included the original query twice (rewrittenQueries[0] was already a copy of query, never deduped), wasting 2 of app.js’s 3 parallel search slots on identical calls; its word-picker fallback had no stopword exclusion, so a word like “what” could occupy a slot ahead of the query’s actual subject. retrieval.js’s own “compound-question coverage” push-past-cap block was removed entirely, and app.js’s merge step — previously a flat allResults.sort().slice(0, maxSources) that let one search term’s results silently crowd out another’s — was replaced with a round-robin merge across each search term’s own results.</w:t>
      </w:r>
    </w:p>
    <w:p>
      <w:pPr>
        <w:spacing w:after="140"/>
      </w:pPr>
      <w:r>
        <w:t xml:space="preserve">Two more real bugs, found live-testing the redesign once deployed (f870761): the round-robin merge’s own pre-dedup step was over-eager — one shared claimed-set applied in fixed term order before round-robin ran let a later term’s results get stripped down before round-robin reached them, dropping a genuinely relevant chunk (the Fourth Granting Criterion, id b3b0d66ba2a6) out of the final five entirely. Fixed by removing the pre-dedup and relying solely on round-robin’s own claimed set. Separately: real hybrid (vector) scoring ranked the actual SQEP-definition rubric chunk (the 0/2/7/10 “Option Score” bands) #46 of 500 for “what does SQEP stand for?” — confirmed via direct searchKnowledgeBase() calls against the real embeddings, not simulated — because a scoring-rubric table reads semantically as an assessment artefact, not a definition. Fixed with RUBRIC_ENTITY_BOOST (+6.0, additive): boosts a hasScoringRubric() chunk only when the query and the chunk share the literal same F4N_ALIASES term — a looser “same pillar” version tried first pulled in unrelated rubric chunks and displaced the plain definition entirely, so it was tightened to require the exact same alias term on both sides.</w:t>
      </w:r>
    </w:p>
    <w:p>
      <w:pPr>
        <w:spacing w:after="140"/>
      </w:pPr>
      <w:r>
        <w:t xml:space="preserve">Also found and fixed in the same pass (f870761): claude.js’s source-label fallback chain (s.title || s.source || ‘KB’) never matched any field a chunk object actually carries — every chunk’s real keys are id/source_file/section/category/…, no .title or .source at all — so every source shown to Claude was labelled the bare string “KB” with no filename. A very plausible root cause for Rene’s live-observed “Supply Chain Co-ordinator” (a plausible-sounding guess) in place of the KB’s consistent “Supply Chain Consultant” (confirmed 30/30 matching chunks say “Consultant,” none say “Co-ordinator”) — one of the retrieved sources for that exact query was literally titled “F4N Supply Chain Consultant Training Manual,” but the model never saw the filename. Fixed by adding .source_file to the fallback chain and appending .section for extra grounding.</w:t>
      </w:r>
    </w:p>
    <w:p>
      <w:pPr>
        <w:spacing w:after="140"/>
      </w:pPr>
      <w:r>
        <w:t xml:space="preserve">Rene then asked to regression-test the two sub-questions independently (“try and ask the questions seporatly … you are asking 2 questions”) — both passed clean in the live chat UI: no compound-query artefacts leaking into single-topic retrieval, and the SCC label fix held.</w:t>
      </w:r>
    </w:p>
    <w:p>
      <w:pPr>
        <w:pStyle w:val="Heading2"/>
        <w:spacing w:after="120" w:before="260"/>
      </w:pPr>
      <w:r>
        <w:t xml:space="preserve">Granting-Criteria Threshold Under-Ranking (GRANTING_CRITERIA_BOOST)</w:t>
      </w:r>
    </w:p>
    <w:p>
      <w:pPr>
        <w:spacing w:after="140"/>
      </w:pPr>
      <w:r>
        <w:t xml:space="preserve">Rene then live-tested “What are the granting criteria?” directly and flagged that the answer hedged on the exact numbers despite the KB having them (“the triple 3 are in the criteria or should be”). Same root-cause pattern as RUBRIC_ENTITY_BOOST above: direct searchKnowledgeBase() calls against the real deployed KB found the chunk stating the numbers verbatim — “85%+ overall Business Excellence score / 85%+ QHSE score / 85%+ of action plan completed with evidence” (frankie7_supplier_kb.json, “Pre-Conditions That Must Be Met Before Initiating Pre-Granting”) — ranked #17 of 500. Its own text never uses the word “criteria”; it’s phrased as a checklist, so neither keyword nor vector scoring favoured it over chunks that merely talk about granting in general.</w:t>
      </w:r>
    </w:p>
    <w:p>
      <w:pPr>
        <w:spacing w:after="140"/>
      </w:pPr>
      <w:r>
        <w:t xml:space="preserve">Fixed with a second targeted boost, GRANTING_CRITERIA_BOOST (+6.0, additive, same magnitude as RUBRIC_ENTITY_BOOST): detects a chunk by its distinctive “NN%+” threshold-list signature (≥2 such thresholds — checked against the whole live KB, matches exactly the 2 chunks in the entire corpus that actually state the Triple 85 numbers, zero false positives) and fires only when the query is asking about granting criteria or names “Triple 85” directly. Simulated against real unboosted scores before deploying — both threshold chunks moved from rank 17/43 into the top 5. Deployed (cf11da5) and confirmed via 6 own regression checks run directly against searchKnowledgeBase() (SQEP, granting criteria, QHSE, action-plan submission, a plain percentage-phrased question, and an unrelated “tell me about the team” query — no false positives on any of them), plus a live chat re-test of both the standalone and the original compound query, both now stating the exact 85% figures.</w:t>
      </w:r>
    </w:p>
    <w:p>
      <w:pPr>
        <w:spacing w:after="140"/>
      </w:pPr>
      <w:r>
        <w:rPr>
          <w:i/>
          <w:iCs/>
        </w:rPr>
        <w:t xml:space="preserve">Also worth noting, not fixed — found while reading the pipeline closely for the work above: groq.js’s enhanceWithGroq() (listed in §3’s API Stack table as handling “query preprocessing: intent classification, query rewriting”) has no caller anywhere in app.js or preprocessing.js — grep across every js/*.js file in the repo found zero call sites. Preprocessing is, and has been, done entirely locally (regex intent detection, local word-picker/clause-splitter); §3’s table describes the code’s evident intent, not what actually executes. Not a regression from this session’s work — a pre-existing gap only surfaced because this session was reading these three files closely. New open item, §9.</w:t>
      </w:r>
    </w:p>
    <w:p>
      <w:pPr>
        <w:pStyle w:val="Heading1"/>
        <w:spacing w:after="160" w:before="360"/>
      </w:pPr>
      <w:r>
        <w:t xml:space="preserve">8. Technical Patterns</w:t>
      </w:r>
    </w:p>
    <w:p>
      <w:pPr>
        <w:pStyle w:val="Heading2"/>
        <w:spacing w:after="120" w:before="260"/>
      </w:pPr>
      <w:r>
        <w:t xml:space="preserve">Drawer Pattern (unchanged shape, two new shared behaviours)</w:t>
      </w:r>
    </w:p>
    <w:p>
      <w:pPr>
        <w:spacing w:after="140"/>
      </w:pPr>
      <w:r>
        <w:t xml:space="preserve">Every tool module is still an IIFE creating a drawer div once and appending it to body on first open, exposing one window.XxxDrawer global. Two things now sit on top of every drawer without each one needing its own code:</w:t>
      </w:r>
    </w:p>
    <w:p>
      <w:pPr>
        <w:pStyle w:val="ListParagraph"/>
        <w:numPr>
          <w:ilvl w:val="0"/>
          <w:numId w:val="1"/>
        </w:numPr>
        <w:spacing w:after="60"/>
      </w:pPr>
      <w:r>
        <w:t xml:space="preserve">drawer-manager.js — watches for any *-drawer root gaining an --open class and force-closes every other open one, the same way each drawer’s own close() does</w:t>
      </w:r>
    </w:p>
    <w:p>
      <w:pPr>
        <w:pStyle w:val="ListParagraph"/>
        <w:numPr>
          <w:ilvl w:val="0"/>
          <w:numId w:val="1"/>
        </w:numPr>
        <w:spacing w:after="60"/>
      </w:pPr>
      <w:r>
        <w:t xml:space="preserve">drawer-splash.js — DrawerSplashKit.attach(el, config) call added right after appendChild(el) in each drawer’s inject(); shows a first-open intro once per tool (localStorage-remembered), reopenable via an ℹ️ button next to the close button</w:t>
      </w:r>
    </w:p>
    <w:p>
      <w:pPr>
        <w:spacing w:after="160"/>
      </w:pPr>
      <w:r>
        <w:rPr>
          <w:i/>
          <w:iCs/>
          <w:color w:val="65758A"/>
        </w:rPr>
        <w:t xml:space="preserve">Gotcha worth documenting: a hidden-by-attribute element (el.hidden = true) only actually disappears if the CSS gives [hidden] enough specificity to beat that element’s own class-based display rule — the UA stylesheet’s bare [hidden]{display:none} loses to any plain .foo{display:flex} rule with equal or higher specificity. Hit and fixed twice this version (the reactor-search results’ chunk-drawer z-index, and the Sources rail’s hidden state) — worth checking for on any future hidden/shown element.</w:t>
      </w:r>
    </w:p>
    <w:p>
      <w:pPr>
        <w:pStyle w:val="Heading2"/>
        <w:spacing w:after="120" w:before="260"/>
      </w:pPr>
      <w:r>
        <w:t xml:space="preserve">API Call Pattern (changed — no longer direct-to-Anthropic)</w:t>
      </w:r>
    </w:p>
    <w:p>
      <w:pPr>
        <w:spacing w:after="140"/>
      </w:pPr>
      <w:r>
        <w:t xml:space="preserve">v9’s pattern called api.anthropic.com directly from the browser with a client-stored key. That is gone. Every Claude/Groq/embedding call now goes to the Worker:</w:t>
      </w:r>
    </w:p>
    <w:p>
      <w:pPr>
        <w:spacing w:after="140"/>
      </w:pPr>
      <w:r>
        <w:rPr>
          <w:rFonts w:ascii="Consolas" w:cs="Consolas" w:eastAsia="Consolas" w:hAnsi="Consolas"/>
          <w:sz w:val="18"/>
          <w:szCs w:val="18"/>
        </w:rPr>
        <w:t xml:space="preserve">fetch(`${WORKER_URL}/claude/v1/messages`, { headers: { Authorization: `Bearer ${frankieUserToken}` }, body: JSON.stringify({ model, max_tokens }) })</w:t>
      </w:r>
    </w:p>
    <w:p>
      <w:pPr>
        <w:pStyle w:val="ListParagraph"/>
        <w:numPr>
          <w:ilvl w:val="0"/>
          <w:numId w:val="1"/>
        </w:numPr>
        <w:spacing w:after="60"/>
      </w:pPr>
      <w:r>
        <w:t xml:space="preserve">frankieUserToken is a Supabase access token, not an API key — the Worker holds the real Claude/Groq/OpenAI keys as its own secrets and injects them server-side</w:t>
      </w:r>
    </w:p>
    <w:p>
      <w:pPr>
        <w:pStyle w:val="ListParagraph"/>
        <w:numPr>
          <w:ilvl w:val="0"/>
          <w:numId w:val="1"/>
        </w:numPr>
        <w:spacing w:after="60"/>
      </w:pPr>
      <w:r>
        <w:t xml:space="preserve">Same authHeaders() pattern is duplicated (not imported) in every module that needs it — claude.js, groq.js, retrieval.js, reactors-kb-search.js, and every drawer that hits the Worker — an established convention in this codebase, not an oversight</w:t>
      </w:r>
    </w:p>
    <w:p>
      <w:pPr>
        <w:pStyle w:val="Heading2"/>
        <w:spacing w:after="120" w:before="260"/>
      </w:pPr>
      <w:r>
        <w:t xml:space="preserve">Print Export — unchanged</w:t>
      </w:r>
    </w:p>
    <w:p>
      <w:pPr>
        <w:spacing w:after="140"/>
      </w:pPr>
      <w:r>
        <w:t xml:space="preserve">Tool Kit tools still generate a printable output via window.open() + inline-CSS document.write(), with @media print rules and company header/date/page-number via CSS counters.</w:t>
      </w:r>
    </w:p>
    <w:p>
      <w:pPr>
        <w:pStyle w:val="Heading1"/>
        <w:spacing w:after="160" w:before="360"/>
      </w:pPr>
      <w:r>
        <w:t xml:space="preserve">9. Open To-Dos</w:t>
      </w:r>
    </w:p>
    <w:p>
      <w:pPr>
        <w:pStyle w:val="Heading2"/>
        <w:spacing w:after="120" w:before="260"/>
      </w:pPr>
      <w:r>
        <w:t xml:space="preserve">Closed since v10</w:t>
      </w:r>
    </w:p>
    <w:p>
      <w:pPr>
        <w:pStyle w:val="ListParagraph"/>
        <w:numPr>
          <w:ilvl w:val="0"/>
          <w:numId w:val="1"/>
        </w:numPr>
        <w:spacing w:after="60"/>
      </w:pPr>
      <w:r>
        <w:t xml:space="preserve">131 ambiguous orphan rows — resolved (§7): dictionary location-uniqueness (27) + majority-vote precedent (104). Orphan backlog is now empty.</w:t>
      </w:r>
    </w:p>
    <w:p>
      <w:pPr>
        <w:pStyle w:val="ListParagraph"/>
        <w:numPr>
          <w:ilvl w:val="0"/>
          <w:numId w:val="1"/>
        </w:numPr>
        <w:spacing w:after="60"/>
      </w:pPr>
      <w:r>
        <w:t xml:space="preserve">Link to the underlying plant database — built: the new Plant Database drawer (§6), option (b) from v10’s three discussed approaches. Covers the 171-pair Data Structure Extract dictionary; the full raw workbook is deliberately not exposed.</w:t>
      </w:r>
    </w:p>
    <w:p>
      <w:pPr>
        <w:pStyle w:val="ListParagraph"/>
        <w:numPr>
          <w:ilvl w:val="0"/>
          <w:numId w:val="1"/>
        </w:numPr>
        <w:spacing w:after="60"/>
      </w:pPr>
      <w:r>
        <w:t xml:space="preserve">Cross-link Reactor Documents results to Plant Explorer — built: "🏭 View in Plant Explorer →" button on every result card (§6).</w:t>
      </w:r>
    </w:p>
    <w:p>
      <w:pPr>
        <w:pStyle w:val="ListParagraph"/>
        <w:numPr>
          <w:ilvl w:val="0"/>
          <w:numId w:val="1"/>
        </w:numPr>
        <w:spacing w:after="60"/>
      </w:pPr>
      <w:r>
        <w:t xml:space="preserve">_to_delete/ — removed from the repo (3 files, git rm). The rest of item 10’s untracked-directory list (Nuclear/, _misc_files/, Claude outputs/) is unreviewed and carried forward below.</w:t>
      </w:r>
    </w:p>
    <w:p>
      <w:pPr>
        <w:pStyle w:val="Heading2"/>
      </w:pPr>
      <w:r>
        <w:t>Closed since v11</w:t>
      </w:r>
    </w:p>
    <w:p>
      <w:pPr>
        <w:pStyle w:val="ListParagraph"/>
      </w:pPr>
      <w:r>
        <w:t>Repo housekeeping remainder (Open To-Do #8 from v11) — closed: Nuclear/ (8 duplicate training docx, confirmed identical to the canonical copy in Feed_Frankie/Training/Nuclear/ on Rene’s machine) and one unused profile picture removed from the site repo. Supplier portals.xlsx (confirmed as the live source for members.html’s Supplier Portals section) and the Members Area Carousel PDF (real marketing collateral, not a site asset) were checked and kept.</w:t>
      </w:r>
    </w:p>
    <w:p>
      <w:pPr>
        <w:pStyle w:val="ListParagraph"/>
      </w:pPr>
      <w:r>
        <w:t>A data-extraction bug, found within this session rather than carried from v11 — fixed the same version it was found: 6 phantom “Suppression Pool” rows across 5 non-BWR reactor designs, traced to a standard FSAR boilerplate section rather than real plant content, deleted (§7).</w:t>
      </w:r>
    </w:p>
    <w:p>
      <w:pPr>
        <w:pStyle w:val="Heading2"/>
      </w:pPr>
      <w:r>
        <w:t>Closed since v12</w:t>
      </w:r>
    </w:p>
    <w:p>
      <w:pPr>
        <w:pStyle w:val="ListParagraph"/>
      </w:pPr>
      <w:r>
        <w:t>Nuclear Engineering Mode for chat — built and shipped: a site-wide, SCC-controlled Supabase flag (nr_site_settings.nuclear_mode_enabled, fail-closed) now gates the previously-dormant isNuclearQuery() detector in retrieval.js, so the 61,374-chunk reactors KB can be opted into default chat retrieval without changing the F4N-member soft-launch default for anyone who hasn’t turned it on (§4). The toggle lives in scc.html’s existing Website Features panel alongside NuclearReady Profile and Frankie Link. A pre-existing bug in that same panel — the save toast always read “NuclearReady Profile…” regardless of which flag had actually changed — was found and fixed in passing.</w:t>
      </w:r>
    </w:p>
    <w:p>
      <w:pPr>
        <w:spacing w:after="140"/>
      </w:pPr>
      <w:r>
        <w:t xml:space="preserve">Everything else combines v9’s still-open items with what remains from v10, updated for this session’s progress. Ordered roughly by how directly it was raised/confirmed, not by imposed priority — needs Rene’s steer on sequencing.</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500"/>
        <w:gridCol w:w="2800"/>
        <w:gridCol w:w="6260"/>
      </w:tblGrid>
      <w:tr>
        <w:trPr>
          <w:tblHeader/>
        </w:trPr>
        <w:tc>
          <w:tcPr>
            <w:tcW w:type="dxa" w:w="500"/>
            <w:shd w:fill="10243A" w:val="clear"/>
            <w:tcMar>
              <w:top w:type="dxa" w:w="80"/>
              <w:left w:type="dxa" w:w="100"/>
              <w:bottom w:type="dxa" w:w="80"/>
              <w:right w:type="dxa" w:w="100"/>
            </w:tcMar>
          </w:tcPr>
          <w:p>
            <w:r>
              <w:rPr>
                <w:b/>
                <w:bCs/>
                <w:color w:val="FFFFFF"/>
                <w:sz w:val="19"/>
                <w:szCs w:val="19"/>
              </w:rPr>
              <w:t xml:space="preserve">#</w:t>
            </w:r>
          </w:p>
        </w:tc>
        <w:tc>
          <w:tcPr>
            <w:tcW w:type="dxa" w:w="2800"/>
            <w:shd w:fill="10243A" w:val="clear"/>
            <w:tcMar>
              <w:top w:type="dxa" w:w="80"/>
              <w:left w:type="dxa" w:w="100"/>
              <w:bottom w:type="dxa" w:w="80"/>
              <w:right w:type="dxa" w:w="100"/>
            </w:tcMar>
          </w:tcPr>
          <w:p>
            <w:r>
              <w:rPr>
                <w:b/>
                <w:bCs/>
                <w:color w:val="FFFFFF"/>
                <w:sz w:val="19"/>
                <w:szCs w:val="19"/>
              </w:rPr>
              <w:t xml:space="preserve">Item</w:t>
            </w:r>
          </w:p>
        </w:tc>
        <w:tc>
          <w:tcPr>
            <w:tcW w:type="dxa" w:w="6260"/>
            <w:shd w:fill="10243A" w:val="clear"/>
            <w:tcMar>
              <w:top w:type="dxa" w:w="80"/>
              <w:left w:type="dxa" w:w="100"/>
              <w:bottom w:type="dxa" w:w="80"/>
              <w:right w:type="dxa" w:w="100"/>
            </w:tcMar>
          </w:tcPr>
          <w:p>
            <w:r>
              <w:rPr>
                <w:b/>
                <w:bCs/>
                <w:color w:val="FFFFFF"/>
                <w:sz w:val="19"/>
                <w:szCs w:val="19"/>
              </w:rPr>
              <w:t xml:space="preserve">Detail</w:t>
            </w:r>
          </w:p>
        </w:tc>
      </w:tr>
      <w:tr>
        <w:tc>
          <w:tcPr>
            <w:tcW w:type="dxa" w:w="500"/>
            <w:tcMar>
              <w:top w:type="dxa" w:w="80"/>
              <w:left w:type="dxa" w:w="100"/>
              <w:bottom w:type="dxa" w:w="80"/>
              <w:right w:type="dxa" w:w="100"/>
            </w:tcMar>
          </w:tcPr>
          <w:p>
            <w:r>
              <w:rPr>
                <w:b w:val="false"/>
                <w:bCs w:val="false"/>
                <w:sz w:val="19"/>
                <w:szCs w:val="19"/>
              </w:rPr>
              <w:t xml:space="preserve">1</w:t>
            </w:r>
          </w:p>
        </w:tc>
        <w:tc>
          <w:tcPr>
            <w:tcW w:type="dxa" w:w="2800"/>
            <w:tcMar>
              <w:top w:type="dxa" w:w="80"/>
              <w:left w:type="dxa" w:w="100"/>
              <w:bottom w:type="dxa" w:w="80"/>
              <w:right w:type="dxa" w:w="100"/>
            </w:tcMar>
          </w:tcPr>
          <w:p>
            <w:r>
              <w:t>370 rows still blank in the BOM/DSE workbook (was 943 at v11)</w:t>
            </w:r>
          </w:p>
        </w:tc>
        <w:tc>
          <w:tcPr>
            <w:tcW w:type="dxa" w:w="6260"/>
            <w:tcMar>
              <w:top w:type="dxa" w:w="80"/>
              <w:left w:type="dxa" w:w="100"/>
              <w:bottom w:type="dxa" w:w="80"/>
              <w:right w:type="dxa" w:w="100"/>
            </w:tcMar>
          </w:tcPr>
          <w:p>
            <w:r>
              <w:t>370 rows still blank in the BOM/DSE workbook (was 943 at v11). Dominated by ~100 deferred BWR/passive-safety pool-family rows in Tanks (real systems — Suppression Pool, GDCS, ICS pools — just not yet resolved to a specific pair), ~46 deferred Instrumentation rows, and 86 rows with no Commodity Group at all, several of which read as design-philosophy statements (“Seismic Category I SSE Design”) rather than physical components and may be further deletion candidates, not classification candidates. Full detail with a specific reason per row: Reactors/needs_human_review_log.csv (291 rows).</w:t>
            </w:r>
          </w:p>
        </w:tc>
      </w:tr>
      <w:tr>
        <w:tc>
          <w:tcPr>
            <w:tcW w:type="dxa" w:w="500"/>
            <w:tcMar>
              <w:top w:type="dxa" w:w="80"/>
              <w:left w:type="dxa" w:w="100"/>
              <w:bottom w:type="dxa" w:w="80"/>
              <w:right w:type="dxa" w:w="100"/>
            </w:tcMar>
          </w:tcPr>
          <w:p>
            <w:r>
              <w:rPr>
                <w:b w:val="false"/>
                <w:bCs w:val="false"/>
                <w:sz w:val="19"/>
                <w:szCs w:val="19"/>
              </w:rPr>
              <w:t xml:space="preserve">2</w:t>
            </w:r>
          </w:p>
        </w:tc>
        <w:tc>
          <w:tcPr>
            <w:tcW w:type="dxa" w:w="2800"/>
            <w:tcMar>
              <w:top w:type="dxa" w:w="80"/>
              <w:left w:type="dxa" w:w="100"/>
              <w:bottom w:type="dxa" w:w="80"/>
              <w:right w:type="dxa" w:w="100"/>
            </w:tcMar>
          </w:tcPr>
          <w:p>
            <w:r>
              <w:rPr>
                <w:b w:val="false"/>
                <w:bCs w:val="false"/>
                <w:sz w:val="19"/>
                <w:szCs w:val="19"/>
              </w:rPr>
              <w:t xml:space="preserve">Materials Forgings/Plate &amp; Bar/Structural Steel bulk-mapping</w:t>
            </w:r>
          </w:p>
        </w:tc>
        <w:tc>
          <w:tcPr>
            <w:tcW w:type="dxa" w:w="6260"/>
            <w:tcMar>
              <w:top w:type="dxa" w:w="80"/>
              <w:left w:type="dxa" w:w="100"/>
              <w:bottom w:type="dxa" w:w="80"/>
              <w:right w:type="dxa" w:w="100"/>
            </w:tcMar>
          </w:tcPr>
          <w:p>
            <w:r>
              <w:rPr>
                <w:b w:val="false"/>
                <w:bCs w:val="false"/>
                <w:sz w:val="19"/>
                <w:szCs w:val="19"/>
              </w:rPr>
              <w:t xml:space="preserve">Unchanged from v10: no for Forgings/Plate &amp; Bar as a blanket rule (genuinely system-specific — handled instead this version via ~175 rows of name-by-name domain-term classification, see §7), Structural Steel bulk approach applied for the non-building-specific subset only (34 rows, plus 6 related SA-508 pressure-material rows). Any further bulk-mapping attempt on these three categories is open if Rene wants to revisit.</w:t>
            </w:r>
          </w:p>
        </w:tc>
      </w:tr>
      <w:tr>
        <w:tc>
          <w:tcPr>
            <w:tcW w:type="dxa" w:w="500"/>
            <w:tcMar>
              <w:top w:type="dxa" w:w="80"/>
              <w:left w:type="dxa" w:w="100"/>
              <w:bottom w:type="dxa" w:w="80"/>
              <w:right w:type="dxa" w:w="100"/>
            </w:tcMar>
          </w:tcPr>
          <w:p>
            <w:r>
              <w:rPr>
                <w:b w:val="false"/>
                <w:bCs w:val="false"/>
                <w:sz w:val="19"/>
                <w:szCs w:val="19"/>
              </w:rPr>
              <w:t xml:space="preserve">3</w:t>
            </w:r>
          </w:p>
        </w:tc>
        <w:tc>
          <w:tcPr>
            <w:tcW w:type="dxa" w:w="2800"/>
            <w:tcMar>
              <w:top w:type="dxa" w:w="80"/>
              <w:left w:type="dxa" w:w="100"/>
              <w:bottom w:type="dxa" w:w="80"/>
              <w:right w:type="dxa" w:w="100"/>
            </w:tcMar>
          </w:tcPr>
          <w:p>
            <w:r>
              <w:rPr>
                <w:b w:val="false"/>
                <w:bCs w:val="false"/>
                <w:sz w:val="19"/>
                <w:szCs w:val="19"/>
              </w:rPr>
              <w:t xml:space="preserve">Nuclear Engineering Mode for chat</w:t>
            </w:r>
          </w:p>
        </w:tc>
        <w:tc>
          <w:tcPr>
            <w:tcW w:type="dxa" w:w="6260"/>
            <w:tcMar>
              <w:top w:type="dxa" w:w="80"/>
              <w:left w:type="dxa" w:w="100"/>
              <w:bottom w:type="dxa" w:w="80"/>
              <w:right w:type="dxa" w:w="100"/>
            </w:tcMar>
          </w:tcPr>
          <w:p>
            <w:r>
              <w:rPr>
                <w:b w:val="false"/>
                <w:bCs w:val="false"/>
                <w:sz w:val="19"/>
                <w:szCs w:val="19"/>
              </w:rPr>
              <w:t xml:space="preserve">isNuclearQuery()/NUCLEAR_SIGNALS in retrieval.js were deliberately left in place, unused, for exactly this. Would need to be an explicit opt-in toggle, not a default-behaviour change, and needs sign-off before starting since it touches the main chat retrieval path.</w:t>
            </w:r>
          </w:p>
        </w:tc>
      </w:tr>
      <w:tr>
        <w:tc>
          <w:tcPr>
            <w:tcW w:type="dxa" w:w="500"/>
            <w:tcMar>
              <w:top w:type="dxa" w:w="80"/>
              <w:left w:type="dxa" w:w="100"/>
              <w:bottom w:type="dxa" w:w="80"/>
              <w:right w:type="dxa" w:w="100"/>
            </w:tcMar>
          </w:tcPr>
          <w:p>
            <w:r>
              <w:rPr>
                <w:b w:val="false"/>
                <w:bCs w:val="false"/>
                <w:sz w:val="19"/>
                <w:szCs w:val="19"/>
              </w:rPr>
              <w:t xml:space="preserve">4</w:t>
            </w:r>
          </w:p>
        </w:tc>
        <w:tc>
          <w:tcPr>
            <w:tcW w:type="dxa" w:w="2800"/>
            <w:tcMar>
              <w:top w:type="dxa" w:w="80"/>
              <w:left w:type="dxa" w:w="100"/>
              <w:bottom w:type="dxa" w:w="80"/>
              <w:right w:type="dxa" w:w="100"/>
            </w:tcMar>
          </w:tcPr>
          <w:p>
            <w:r>
              <w:rPr>
                <w:b w:val="false"/>
                <w:bCs w:val="false"/>
                <w:sz w:val="19"/>
                <w:szCs w:val="19"/>
              </w:rPr>
              <w:t xml:space="preserve">plant-drawer.js vs. plant-explorer-drawer.js data fork</w:t>
            </w:r>
          </w:p>
        </w:tc>
        <w:tc>
          <w:tcPr>
            <w:tcW w:type="dxa" w:w="6260"/>
            <w:tcMar>
              <w:top w:type="dxa" w:w="80"/>
              <w:left w:type="dxa" w:w="100"/>
              <w:bottom w:type="dxa" w:w="80"/>
              <w:right w:type="dxa" w:w="100"/>
            </w:tcMar>
          </w:tcPr>
          <w:p>
            <w:r>
              <w:rPr>
                <w:b w:val="false"/>
                <w:bCs w:val="false"/>
                <w:sz w:val="19"/>
                <w:szCs w:val="19"/>
              </w:rPr>
              <w:t xml:space="preserve">The chat’s quick-search plant feature still reads the older, generic (non-reactor-mapped) tree via the Worker, while the full explorer reads the reactor-mapped plant_tree_v2.json directly. A deliberate short-term trade-off, not yet resolved — rebuilding the live Worker KB endpoint with the v2 schema would let both share one source of truth again.</w:t>
            </w:r>
          </w:p>
        </w:tc>
      </w:tr>
      <w:tr>
        <w:tc>
          <w:tcPr>
            <w:tcW w:type="dxa" w:w="500"/>
            <w:tcMar>
              <w:top w:type="dxa" w:w="80"/>
              <w:left w:type="dxa" w:w="100"/>
              <w:bottom w:type="dxa" w:w="80"/>
              <w:right w:type="dxa" w:w="100"/>
            </w:tcMar>
          </w:tcPr>
          <w:p>
            <w:r>
              <w:rPr>
                <w:b w:val="false"/>
                <w:bCs w:val="false"/>
                <w:sz w:val="19"/>
                <w:szCs w:val="19"/>
              </w:rPr>
              <w:t xml:space="preserve">5</w:t>
            </w:r>
          </w:p>
        </w:tc>
        <w:tc>
          <w:tcPr>
            <w:tcW w:type="dxa" w:w="2800"/>
            <w:tcMar>
              <w:top w:type="dxa" w:w="80"/>
              <w:left w:type="dxa" w:w="100"/>
              <w:bottom w:type="dxa" w:w="80"/>
              <w:right w:type="dxa" w:w="100"/>
            </w:tcMar>
          </w:tcPr>
          <w:p>
            <w:r>
              <w:rPr>
                <w:b w:val="false"/>
                <w:bCs w:val="false"/>
                <w:sz w:val="19"/>
                <w:szCs w:val="19"/>
              </w:rPr>
              <w:t xml:space="preserve">Generic GW/SMR rollup sheets are inert in the live tool</w:t>
            </w:r>
          </w:p>
        </w:tc>
        <w:tc>
          <w:tcPr>
            <w:tcW w:type="dxa" w:w="6260"/>
            <w:tcMar>
              <w:top w:type="dxa" w:w="80"/>
              <w:left w:type="dxa" w:w="100"/>
              <w:bottom w:type="dxa" w:w="80"/>
              <w:right w:type="dxa" w:w="100"/>
            </w:tcMar>
          </w:tcPr>
          <w:p>
            <w:r>
              <w:t>Unchanged: regen_tree.py’s data path still only reads the 18 individual reactor sheets, never the rollup sheets, so the “Generic — GW/SMR” composite dropdown’s underlying wiring is still not connected to them (the composite view itself works, computed live from the reactor-mapped tree — only its descriptive header text was ever sourced from the rollup sheets). That header text was refreshed twice this version to stay in sync with the current tree (8,326→19,456→19,453 GW rows; 4,267→9,263→9,260 SMR rows) — a cosmetic fix, not the wiring fix this item is actually about.</w:t>
            </w:r>
          </w:p>
        </w:tc>
      </w:tr>
      <w:tr>
        <w:tc>
          <w:tcPr>
            <w:tcW w:type="dxa" w:w="500"/>
            <w:tcMar>
              <w:top w:type="dxa" w:w="80"/>
              <w:left w:type="dxa" w:w="100"/>
              <w:bottom w:type="dxa" w:w="80"/>
              <w:right w:type="dxa" w:w="100"/>
            </w:tcMar>
          </w:tcPr>
          <w:p>
            <w:r>
              <w:rPr>
                <w:b w:val="false"/>
                <w:bCs w:val="false"/>
                <w:sz w:val="19"/>
                <w:szCs w:val="19"/>
              </w:rPr>
              <w:t xml:space="preserve">6</w:t>
            </w:r>
          </w:p>
        </w:tc>
        <w:tc>
          <w:tcPr>
            <w:tcW w:type="dxa" w:w="2800"/>
            <w:tcMar>
              <w:top w:type="dxa" w:w="80"/>
              <w:left w:type="dxa" w:w="100"/>
              <w:bottom w:type="dxa" w:w="80"/>
              <w:right w:type="dxa" w:w="100"/>
            </w:tcMar>
          </w:tcPr>
          <w:p>
            <w:r>
              <w:rPr>
                <w:b w:val="false"/>
                <w:bCs w:val="false"/>
                <w:sz w:val="19"/>
                <w:szCs w:val="19"/>
              </w:rPr>
              <w:t xml:space="preserve">Evidence Vault — show existing uploads on reopen</w:t>
            </w:r>
          </w:p>
        </w:tc>
        <w:tc>
          <w:tcPr>
            <w:tcW w:type="dxa" w:w="6260"/>
            <w:tcMar>
              <w:top w:type="dxa" w:w="80"/>
              <w:left w:type="dxa" w:w="100"/>
              <w:bottom w:type="dxa" w:w="80"/>
              <w:right w:type="dxa" w:w="100"/>
            </w:tcMar>
          </w:tcPr>
          <w:p>
            <w:r>
              <w:rPr>
                <w:b w:val="false"/>
                <w:bCs w:val="false"/>
                <w:sz w:val="19"/>
                <w:szCs w:val="19"/>
              </w:rPr>
              <w:t xml:space="preserve">Carried from v9, unchanged: starts fresh every session. Needs: list files from the Supabase path on drawer open, render ticked items.</w:t>
            </w:r>
          </w:p>
        </w:tc>
      </w:tr>
      <w:tr>
        <w:tc>
          <w:tcPr>
            <w:tcW w:type="dxa" w:w="500"/>
            <w:tcMar>
              <w:top w:type="dxa" w:w="80"/>
              <w:left w:type="dxa" w:w="100"/>
              <w:bottom w:type="dxa" w:w="80"/>
              <w:right w:type="dxa" w:w="100"/>
            </w:tcMar>
          </w:tcPr>
          <w:p>
            <w:r>
              <w:rPr>
                <w:b w:val="false"/>
                <w:bCs w:val="false"/>
                <w:sz w:val="19"/>
                <w:szCs w:val="19"/>
              </w:rPr>
              <w:t xml:space="preserve">7</w:t>
            </w:r>
          </w:p>
        </w:tc>
        <w:tc>
          <w:tcPr>
            <w:tcW w:type="dxa" w:w="2800"/>
            <w:tcMar>
              <w:top w:type="dxa" w:w="80"/>
              <w:left w:type="dxa" w:w="100"/>
              <w:bottom w:type="dxa" w:w="80"/>
              <w:right w:type="dxa" w:w="100"/>
            </w:tcMar>
          </w:tcPr>
          <w:p>
            <w:r>
              <w:rPr>
                <w:b w:val="false"/>
                <w:bCs w:val="false"/>
                <w:sz w:val="19"/>
                <w:szCs w:val="19"/>
              </w:rPr>
              <w:t xml:space="preserve">ISO 19443 → SCC backend POST</w:t>
            </w:r>
          </w:p>
        </w:tc>
        <w:tc>
          <w:tcPr>
            <w:tcW w:type="dxa" w:w="6260"/>
            <w:tcMar>
              <w:top w:type="dxa" w:w="80"/>
              <w:left w:type="dxa" w:w="100"/>
              <w:bottom w:type="dxa" w:w="80"/>
              <w:right w:type="dxa" w:w="100"/>
            </w:tcMar>
          </w:tcPr>
          <w:p>
            <w:r>
              <w:rPr>
                <w:b w:val="false"/>
                <w:bCs w:val="false"/>
                <w:sz w:val="19"/>
                <w:szCs w:val="19"/>
              </w:rPr>
              <w:t xml:space="preserve">Carried from v9, unchanged: needs an SCC portal API endpoint, Azure AD/Entra SSO auth, company ID from session.</w:t>
            </w:r>
          </w:p>
        </w:tc>
      </w:tr>
      <w:tr>
        <w:tc>
          <w:tcPr>
            <w:tcW w:type="dxa" w:w="500"/>
          </w:tcPr>
          <w:p>
            <w:r>
              <w:t>8</w:t>
            </w:r>
          </w:p>
        </w:tc>
        <w:tc>
          <w:tcPr>
            <w:tcW w:type="dxa" w:w="2800"/>
          </w:tcPr>
          <w:p>
            <w:r>
              <w:t>Check other FSAR boilerplate sections for the same extraction-artifact pattern</w:t>
            </w:r>
          </w:p>
        </w:tc>
        <w:tc>
          <w:tcPr>
            <w:tcW w:type="dxa" w:w="6260"/>
          </w:tcPr>
          <w:p>
            <w:r>
              <w:t>The “6.5.5 Pressure Suppression Pool” bug (§7) was found by chance while verifying a second AI’s work, not by a systematic search. Every SRP-format FSAR has similarly-structured “state whether you use X” checklist sections (ice condensers, etc.) that could have produced the same kind of phantom row elsewhere in the workbook. Not yet checked.</w:t>
            </w:r>
          </w:p>
        </w:tc>
      </w:tr>
      <w:tr>
        <w:tc>
          <w:tcPr>
            <w:tcW w:type="dxa" w:w="500"/>
            <w:tcMar>
              <w:top w:type="dxa" w:w="80"/>
              <w:left w:type="dxa" w:w="100"/>
              <w:bottom w:type="dxa" w:w="80"/>
              <w:right w:type="dxa" w:w="100"/>
            </w:tcMar>
          </w:tcPr>
          <w:p>
            <w:r>
              <w:rPr>
                <w:b w:val="false"/>
                <w:bCs w:val="false"/>
                <w:sz w:val="19"/>
                <w:szCs w:val="19"/>
              </w:rPr>
              <w:t xml:space="preserve">9</w:t>
            </w:r>
          </w:p>
        </w:tc>
        <w:tc>
          <w:tcPr>
            <w:tcW w:type="dxa" w:w="2800"/>
            <w:tcMar>
              <w:top w:type="dxa" w:w="80"/>
              <w:left w:type="dxa" w:w="100"/>
              <w:bottom w:type="dxa" w:w="80"/>
              <w:right w:type="dxa" w:w="100"/>
            </w:tcMar>
          </w:tcPr>
          <w:p>
            <w:r>
              <w:t xml:space="preserve">nr_quiz_completions Supabase table still not created</w:t>
            </w:r>
          </w:p>
        </w:tc>
        <w:tc>
          <w:tcPr>
            <w:tcW w:type="dxa" w:w="6260"/>
            <w:tcMar>
              <w:top w:type="dxa" w:w="80"/>
              <w:left w:type="dxa" w:w="100"/>
              <w:bottom w:type="dxa" w:w="80"/>
              <w:right w:type="dxa" w:w="100"/>
            </w:tcMar>
          </w:tcPr>
          <w:p>
            <w:r>
              <w:t xml:space="preserve">Carried from v17, unchanged: confirmed via a live 404 on nr_quiz_completions?select=*&amp;order=completed_at.desc during v17’s SCC Training Register testing. Nothing this session addressed it; both the member-side quiz completion logging and the SCC-side Training Register (v17 §7) continue to show empty/error gracefully rather than real data until the SQL migration (frankie/sql/nr_quiz_completions.sql) is run against the live Supabase project (qkyvmtouwrzrcyagkheo).</w:t>
            </w:r>
          </w:p>
        </w:tc>
      </w:tr>
      <w:tr>
        <w:tc>
          <w:tcPr>
            <w:tcW w:type="dxa" w:w="500"/>
            <w:tcMar>
              <w:top w:type="dxa" w:w="80"/>
              <w:left w:type="dxa" w:w="100"/>
              <w:bottom w:type="dxa" w:w="80"/>
              <w:right w:type="dxa" w:w="100"/>
            </w:tcMar>
          </w:tcPr>
          <w:p>
            <w:r>
              <w:rPr>
                <w:b w:val="false"/>
                <w:bCs w:val="false"/>
                <w:sz w:val="19"/>
                <w:szCs w:val="19"/>
              </w:rPr>
              <w:t xml:space="preserve">10</w:t>
            </w:r>
          </w:p>
        </w:tc>
        <w:tc>
          <w:tcPr>
            <w:tcW w:type="dxa" w:w="2800"/>
            <w:tcMar>
              <w:top w:type="dxa" w:w="80"/>
              <w:left w:type="dxa" w:w="100"/>
              <w:bottom w:type="dxa" w:w="80"/>
              <w:right w:type="dxa" w:w="100"/>
            </w:tcMar>
          </w:tcPr>
          <w:p>
            <w:r>
              <w:t xml:space="preserve">Frankie’s live chat gives a wrong/evasive answer to portal-mechanics questions</w:t>
            </w:r>
          </w:p>
        </w:tc>
        <w:tc>
          <w:tcPr>
            <w:tcW w:type="dxa" w:w="6260"/>
            <w:tcMar>
              <w:top w:type="dxa" w:w="80"/>
              <w:left w:type="dxa" w:w="100"/>
              <w:bottom w:type="dxa" w:w="80"/>
              <w:right w:type="dxa" w:w="100"/>
            </w:tcMar>
          </w:tcPr>
          <w:p>
            <w:r>
              <w:t xml:space="preserve">New this version: e.g. asking “How do I create an action plan in the portal?” in the actual Frankie chat (not the FAQ sidebar) returns something like “I don’t have source data on how to use the F4N portal itself… contact the F4N programme team directly”, despite the real Portal User Guide (Feed_Frankie/Portal/NucCol Portal User Guide v1 040625.docx) existing as source material. Rene: “the corpus has the portal training guide and its not technical” — pointing at a retrieval/KB-partition/routing problem (the guide may never have been built into any of the 5 KB partitions, or a refusal/routing pattern may be intercepting portal-mechanics queries), not a missing-content problem. Distinct from the FAQ sidebar fix (§7), which only touched the hardcoded fast-path answers, not live chat retrieval. Not yet investigated — diagnosis has not started.</w:t>
            </w:r>
          </w:p>
        </w:tc>
      </w:tr>
      <w:tr>
        <w:tc>
          <w:tcPr>
            <w:tcW w:type="dxa" w:w="500"/>
            <w:tcMar>
              <w:top w:type="dxa" w:w="80"/>
              <w:left w:type="dxa" w:w="100"/>
              <w:bottom w:type="dxa" w:w="80"/>
              <w:right w:type="dxa" w:w="100"/>
            </w:tcMar>
          </w:tcPr>
          <w:p>
            <w:r>
              <w:rPr>
                <w:b w:val="false"/>
                <w:bCs w:val="false"/>
                <w:sz w:val="19"/>
                <w:szCs w:val="19"/>
              </w:rPr>
              <w:t xml:space="preserve">11</w:t>
            </w:r>
          </w:p>
        </w:tc>
        <w:tc>
          <w:tcPr>
            <w:tcW w:type="dxa" w:w="2800"/>
            <w:tcMar>
              <w:top w:type="dxa" w:w="80"/>
              <w:left w:type="dxa" w:w="100"/>
              <w:bottom w:type="dxa" w:w="80"/>
              <w:right w:type="dxa" w:w="100"/>
            </w:tcMar>
          </w:tcPr>
          <w:p>
            <w:r>
              <w:t xml:space="preserve">FAQ evidence-mapping gap — CFSI and SQEP evidence entries</w:t>
            </w:r>
          </w:p>
        </w:tc>
        <w:tc>
          <w:tcPr>
            <w:tcW w:type="dxa" w:w="6260"/>
            <w:tcMar>
              <w:top w:type="dxa" w:w="80"/>
              <w:left w:type="dxa" w:w="100"/>
              <w:bottom w:type="dxa" w:w="80"/>
              <w:right w:type="dxa" w:w="100"/>
            </w:tcMar>
          </w:tcPr>
          <w:p>
            <w:r>
              <w:t xml:space="preserve">New this version: two FAQ entries (evidence for CFSI, evidence for SQEP) were deliberately left without a specific confirmed pillar/section mapping in this session’s rewrite (§7), because no verified source ties them to one specific BE/F4N section. Kept generically useful rather than inventing a mapping — a genuine, acknowledged content gap, not an oversight. Revisit if/when a source confirms where they sit.</w:t>
            </w:r>
          </w:p>
        </w:tc>
      </w:tr>
      <w:tr>
        <w:tc>
          <w:tcPr>
            <w:tcW w:type="dxa" w:w="500"/>
            <w:tcMar>
              <w:top w:type="dxa" w:w="80"/>
              <w:left w:type="dxa" w:w="100"/>
              <w:bottom w:type="dxa" w:w="80"/>
              <w:right w:type="dxa" w:w="100"/>
            </w:tcMar>
          </w:tcPr>
          <w:p>
            <w:r>
              <w:rPr>
                <w:b w:val="false"/>
                <w:bCs w:val="false"/>
                <w:sz w:val="19"/>
                <w:szCs w:val="19"/>
              </w:rPr>
              <w:t xml:space="preserve">12</w:t>
            </w:r>
          </w:p>
        </w:tc>
        <w:tc>
          <w:tcPr>
            <w:tcW w:type="dxa" w:w="2800"/>
            <w:tcMar>
              <w:top w:type="dxa" w:w="80"/>
              <w:left w:type="dxa" w:w="100"/>
              <w:bottom w:type="dxa" w:w="80"/>
              <w:right w:type="dxa" w:w="100"/>
            </w:tcMar>
          </w:tcPr>
          <w:p>
            <w:r>
              <w:t xml:space="preserve">REGS_CATEGORY_ALLOWLIST client-side filter now a redundant no-op</w:t>
            </w:r>
          </w:p>
        </w:tc>
        <w:tc>
          <w:tcPr>
            <w:tcW w:type="dxa" w:w="6260"/>
            <w:tcMar>
              <w:top w:type="dxa" w:w="80"/>
              <w:left w:type="dxa" w:w="100"/>
              <w:bottom w:type="dxa" w:w="80"/>
              <w:right w:type="dxa" w:w="100"/>
            </w:tcMar>
          </w:tcPr>
          <w:p>
            <w:r>
              <w:t xml:space="preserve">New this version, low priority: the live regs KB blob files are now the narrowed build themselves (§4/§7), so the client-side REGS_CATEGORY_ALLOWLIST filter in retrieval.js runs against already-filtered data. Could be removed now that filtering is baked into the deployed file, but isn’t currently causing any problem.</w:t>
            </w:r>
          </w:p>
        </w:tc>
      </w:tr>
      <w:tr>
        <w:tc>
          <w:tcPr>
            <w:tcW w:type="dxa" w:w="500"/>
            <w:tcMar>
              <w:top w:type="dxa" w:w="80"/>
              <w:left w:type="dxa" w:w="100"/>
              <w:bottom w:type="dxa" w:w="80"/>
              <w:right w:type="dxa" w:w="100"/>
            </w:tcMar>
          </w:tcPr>
          <w:p>
            <w:r>
              <w:rPr>
                <w:b w:val="false"/>
                <w:bCs w:val="false"/>
                <w:sz w:val="19"/>
                <w:szCs w:val="19"/>
              </w:rPr>
              <w:t xml:space="preserve">13</w:t>
            </w:r>
          </w:p>
        </w:tc>
        <w:tc>
          <w:tcPr>
            <w:tcW w:type="dxa" w:w="2800"/>
            <w:tcMar>
              <w:top w:type="dxa" w:w="80"/>
              <w:left w:type="dxa" w:w="100"/>
              <w:bottom w:type="dxa" w:w="80"/>
              <w:right w:type="dxa" w:w="100"/>
            </w:tcMar>
          </w:tcPr>
          <w:p>
            <w:r>
              <w:t xml:space="preserve">Stale code comment above REGS_CATEGORY_ALLOWLIST</w:t>
            </w:r>
          </w:p>
        </w:tc>
        <w:tc>
          <w:tcPr>
            <w:tcW w:type="dxa" w:w="6260"/>
            <w:tcMar>
              <w:top w:type="dxa" w:w="80"/>
              <w:left w:type="dxa" w:w="100"/>
              <w:bottom w:type="dxa" w:w="80"/>
              <w:right w:type="dxa" w:w="100"/>
            </w:tcMar>
          </w:tcPr>
          <w:p>
            <w:r>
              <w:t xml:space="preserve">New this version, trivial: the comment says the filter “drops… cyber_security”, but the allowlist actually keeps cyber_security (matches the narrowed build’s kb_version: frankie_regs_v2_narrowed_plus_cyber tag). Found in passing (§7), not yet fixed.</w:t>
            </w:r>
          </w:p>
        </w:tc>
      </w:tr>
    </w:tbl>
    <w:p>
      <w:pPr>
        <w:pStyle w:val="Heading2"/>
      </w:pPr>
      <w:r>
        <w:t>Closed since v13</w:t>
      </w:r>
    </w:p>
    <w:p>
      <w:pPr>
        <w:pStyle w:val="ListParagraph"/>
      </w:pPr>
      <w:r>
        <w:t>Features B, C &amp; F — BE pilot built and live-tested: a shared nr_evidence_analysis table plus AI-analysis engine (Claude reads an uploaded PDF/image via the existing /claude/* Worker route and scores it against assessment-drawer.js’s own rubric) now backs an “AI review” button in the Evidence Vault drawer (Feature F, company-facing), an override control on scc.html’s Evidence tab (Feature B, SCC-facing), and a new Pre-OSV Pack tab grouping results into the 6 BE sections, sorted worst-score-first (Feature C). Live-tested against a real test company (TestCorp Ltd) across 4 Strategy &amp; Leadership questions — the AI correctly distinguished a genuinely weak strategic plan (scored 0) from strong evidence (scored 7, capped below 10 for lacking primary-source attachments) rather than rubber-stamping every upload.</w:t>
      </w:r>
    </w:p>
    <w:p>
      <w:pPr>
        <w:pStyle w:val="ListParagraph"/>
      </w:pPr>
      <w:r>
        <w:t>evOpenFile bug — fixed: both call sites (company Evidence tab, supplier-intel file list) assumed this function existed; it was never defined anywhere in scc.html, so opening a company’s evidence file silently failed. Found while testing the pilot above.</w:t>
      </w:r>
    </w:p>
    <w:p>
      <w:pPr>
        <w:pStyle w:val="Heading2"/>
      </w:pPr>
      <w:r>
        <w:t>Closed since v14</w:t>
      </w:r>
    </w:p>
    <w:p>
      <w:pPr>
        <w:pStyle w:val="ListParagraph"/>
      </w:pPr>
      <w:r>
        <w:t>Known Gap — No Per-Question Self-Assessment Persistence — resolved (§7): new nr_self_assessment_answers table persists every self-declared answer per question; the Results screen now shows the self-declared-vs-AI comparison this gap had blocked, at section level.</w:t>
      </w:r>
    </w:p>
    <w:p>
      <w:pPr>
        <w:pStyle w:val="ListParagraph"/>
      </w:pPr>
      <w:r>
        <w:t>Self-assessment/Evidence Vault cross-link — built (§7): bidirectional navigation between the two tools, uploaded-evidence visibility on the assessment screen, and the F4N Portal Score Guide.</w:t>
      </w:r>
    </w:p>
    <w:p>
      <w:pPr>
        <w:pStyle w:val="ListParagraph"/>
      </w:pPr>
      <w:r>
        <w:t>No sign-out control — fixed (§7): Frankie could authenticate but never de-authenticate.</w:t>
      </w:r>
    </w:p>
    <w:p>
      <w:pPr>
        <w:pStyle w:val="ListParagraph"/>
      </w:pPr>
      <w:r>
        <w:t>Evidence Vault delete buttons dead on initial render — fixed (§7): dead code referencing an undefined function, not a design choice.</w:t>
      </w:r>
    </w:p>
    <w:p>
      <w:pPr>
        <w:pStyle w:val="Heading2"/>
      </w:pPr>
      <w:r>
        <w:t>Closed since v15</w:t>
      </w:r>
    </w:p>
    <w:p>
      <w:pPr>
        <w:pStyle w:val="ListParagraph"/>
      </w:pPr>
      <w:r>
        <w:t>Feature E (Compliance Training Quizzes) — two of four topics built (§7): Cyber Essentials and GDPR, each ten real scenario questions with immediate feedback, reasoning, and a source citation. Export Control and Modern Slavery sourced but not yet authored into quiz questions.</w:t>
      </w:r>
    </w:p>
    <w:p>
      <w:pPr>
        <w:pStyle w:val="ListParagraph"/>
      </w:pPr>
      <w:r>
        <w:t>Feature D (SQEP) sourcing — real source material found and sorted (§7); the diagnostic itself remains unbuilt, blocked on the same scope-of-work table and structured requirement tagging noted below — sourcing was never the blocker, structuring is.</w:t>
      </w:r>
    </w:p>
    <w:p>
      <w:pPr>
        <w:pStyle w:val="ListParagraph"/>
      </w:pPr>
      <w:r>
        <w:t>“Learn about” companion view — built (§7), generic across topics, real content authored for Cyber Essentials.</w:t>
      </w:r>
    </w:p>
    <w:p>
      <w:pPr>
        <w:pStyle w:val="ListParagraph"/>
      </w:pPr>
      <w:r>
        <w:t>Menu restructure — built (§7): Assessments, Tools, and Compliance and Training replace the old Compliance &amp; Evidence grab-bag; Toolbox Builder renamed Tool Box.</w:t>
      </w:r>
    </w:p>
    <w:p>
      <w:pPr>
        <w:pStyle w:val="Heading2"/>
        <w:spacing w:after="120" w:before="260"/>
      </w:pPr>
      <w:r>
        <w:t xml:space="preserve">New this version (v19)</w:t>
      </w:r>
    </w:p>
    <w:p>
      <w:pPr>
        <w:pStyle w:val="ListParagraph"/>
      </w:pPr>
      <w:r>
        <w:t xml:space="preserve">Compound-question / under-ranked-content retrieval gap — closed: the SQEP-definition and granting-criteria under-ranking issues described in §7, fixed across 5 commits (524e037 → cf11da5), live-tested standalone and compound. Distinct from Open To-Do #10 below (the portal-mechanics chat bug) — not the same query, not touched this session, flagged explicitly so it isn’t assumed closed by proximity.</w:t>
      </w:r>
    </w:p>
    <w:p>
      <w:pPr>
        <w:pStyle w:val="ListParagraph"/>
      </w:pPr>
      <w:r>
        <w:t xml:space="preserve">groq.js dead code (§7): enhanceWithGroq() is not called anywhere in the live pipeline — preprocessing.js does query rewriting/intent detection locally instead. No functional impact (groq.js’s own FALLBACK_RESULT design means nothing would break if it were wired in or removed), but §3’s API Stack table currently describes Groq as doing work it doesn’t do. Low priority: either wire it in for real or remove it and correct §3’s table — Rene’s call.</w:t>
      </w:r>
    </w:p>
    <w:p>
      <w:pPr>
        <w:pStyle w:val="ListParagraph"/>
      </w:pPr>
      <w:r>
        <w:t xml:space="preserve">GRANTING_CRITERIA_BOOST phrasing coverage: a differently-worded version of the same underlying question (“What percentage do I need for Business Excellence?”) does not trigger the new boost — checked directly, no false positive, but also no boost, since it doesn’t contain “grant”+“criteri” or “triple 85.” Not a bug in the fix Rene actually tested and asked for; broader phrasing coverage is a possible future refinement if this comes up again.</w:t>
      </w:r>
    </w:p>
    <w:p>
      <w:pPr>
        <w:pStyle w:val="Heading1"/>
        <w:spacing w:after="160" w:before="360"/>
      </w:pPr>
      <w:r>
        <w:t xml:space="preserve">10. Planned Features — Next Phase (carried from v9, unchanged)</w:t>
      </w:r>
    </w:p>
    <w:p>
      <w:pPr>
        <w:spacing w:after="140"/>
      </w:pPr>
      <w:r>
        <w:t>As of v13, no evidence any of the following six had been started. This version changes that for three of them: B, C and F now have a working BE pilot (§9, “Closed since v13”). D and E remain unstarted (historical, as of v14) — as of v16, D has real source material but no build yet, and E has two of its four topics built (§7, §9); see the Feature D/E paragraphs and updated prerequisites below rather than treating this sentence as current status.</w:t>
      </w:r>
    </w:p>
    <w:p>
      <w:pPr>
        <w:pStyle w:val="Heading3"/>
        <w:spacing w:after="100" w:before="200"/>
      </w:pPr>
      <w:r>
        <w:t xml:space="preserve">Feature A — Guided Document Vault</w:t>
      </w:r>
    </w:p>
    <w:p>
      <w:pPr>
        <w:spacing w:after="140"/>
      </w:pPr>
      <w:r>
        <w:t xml:space="preserve">SCC-verified templates (Quality Manual, SQEP Matrix, CSIP, Risk Register, Document Control Procedure) that Frankie guides a company through section by section — targeted questions, not a blank prompt, Claude drafts from the answers, company reviews/edits/confirms. The Ownership Principle: Frankie reviews and asks hard questions but does not rewrite for the company.</w:t>
      </w:r>
    </w:p>
    <w:p>
      <w:pPr>
        <w:pStyle w:val="Heading3"/>
        <w:spacing w:after="100" w:before="200"/>
      </w:pPr>
      <w:r>
        <w:t xml:space="preserve">Feature B — Evidence Vault v2 (SCC Assessment Interface)</w:t>
      </w:r>
    </w:p>
    <w:p>
      <w:pPr>
        <w:spacing w:after="140"/>
      </w:pPr>
      <w:r>
        <w:t>AI-powered analysis of uploaded evidence on the SCC side — suggested score + rationale, evidence summary, prep notes, SCC override field — pre-populating a scoring interface so the SCC arrives at a meeting already informed. BE pilot built 2026-09-10 (§9): SCC now sees the suggested score + rationale on the Evidence tab with a working override field. F4N is not yet covered — nr_evidence_analysis itself remains BE-only. Self-assessment answer persistence (§7, §9) now covers both be and f4n assessment_type values, so this is purely an evidence-analysis gap, not a persistence one.</w:t>
      </w:r>
    </w:p>
    <w:p>
      <w:pPr>
        <w:pStyle w:val="Heading3"/>
        <w:spacing w:after="100" w:before="200"/>
      </w:pPr>
      <w:r>
        <w:t xml:space="preserve">Feature C — Pre-OSV &amp; Pre-Meeting Pack</w:t>
      </w:r>
    </w:p>
    <w:p>
      <w:pPr>
        <w:spacing w:after="140"/>
      </w:pPr>
      <w:r>
        <w:t>A personalised intelligence pack for both sides before any meeting/OSV — gap checklist and prep guide for the company, submission summary and flagged risk areas for the SCC. Depends on Feature B. BE pilot built 2026-09-10 (§9) as a Pre-OSV Pack tab on the company profile — reads the same AI-analysis rows as B, grouped by BE section, sorted worst-score-first. As of 2026-09-11 (§7) the Results screen of the self-assessment now shows a section-level self-declared-vs-AI comparison, closing the gap noted below — the Pre-OSV Pack tab itself still shows the AI read on its own merit; folding the same comparison into that tab directly is a natural next step, not yet done.</w:t>
      </w:r>
    </w:p>
    <w:p>
      <w:pPr>
        <w:pStyle w:val="Heading3"/>
        <w:spacing w:after="100" w:before="200"/>
      </w:pPr>
      <w:r>
        <w:t xml:space="preserve">Feature D — Skills &amp; SQEP Gap Diagnostic</w:t>
      </w:r>
    </w:p>
    <w:p>
      <w:pPr>
        <w:spacing w:after="140"/>
      </w:pPr>
      <w:r>
        <w:t xml:space="preserve">Maps a company’s stated scope of work against SQEP requirements in the F4N KB, categorises gaps (evidence/competency/resource), links to the Guided Document Vault’s SQEP Matrix template. Source material sourced and sorted 2026-09-11 (§7) — the codebase already has extensive SQEP content (10+ toolbox docs, several ONR Technical Assessment Guides); the blocker remains the scope-of-work table and structured requirement tagging described below, not content sourcing.</w:t>
      </w:r>
    </w:p>
    <w:p>
      <w:pPr>
        <w:pStyle w:val="Heading3"/>
        <w:spacing w:after="100" w:before="200"/>
      </w:pPr>
      <w:r>
        <w:t xml:space="preserve">Feature E — Compliance Training Quizzes</w:t>
      </w:r>
    </w:p>
    <w:p>
      <w:pPr>
        <w:spacing w:after="140"/>
      </w:pPr>
      <w:r>
        <w:t xml:space="preserve">Scenario-based modules (Export Control/ITAR, Modern Slavery, Cyber Essentials, GDPR) with logged completions the SCC can view and export as a training register. Two of four built 2026-09-11 (§7): Cyber Essentials and GDPR, each ten scenario questions with immediate feedback and a reasoning layer, sourced directly from NCSC’s and ICO’s own guidance. Completions log to nr_quiz_completions per attempt; the SCC-side view/export register itself is not yet built — only the underlying data exists.</w:t>
      </w:r>
    </w:p>
    <w:p>
      <w:pPr>
        <w:pStyle w:val="Heading3"/>
        <w:spacing w:after="100" w:before="200"/>
      </w:pPr>
      <w:r>
        <w:t xml:space="preserve">Feature F — Document Upload &amp; Review</w:t>
      </w:r>
    </w:p>
    <w:p>
      <w:pPr>
        <w:spacing w:after="140"/>
      </w:pPr>
      <w:r>
        <w:t>Replaces companies getting confident-but-wrong feedback from generic AI tools with review grounded in verified F4N criteria — same Ownership Principle as Feature A, with an iterative upload/review/improve/re-upload loop and an SCC pre-read summary. BE pilot built 2026-09-10 (§9) as an “AI review” button in the Evidence Vault drawer — the company sees the same suggested score + rationale SCC sees. A live test (TestCorp Ltd) showed the AI applying real scrutiny — a vague strategic plan scored 0, not a generous default.</w:t>
      </w:r>
    </w:p>
    <w:p>
      <w:pPr>
        <w:pStyle w:val="Heading2"/>
      </w:pPr>
      <w:r>
        <w:t>Former Gap — No Per-Question Self-Assessment Persistence (found 2026-09-10, closed 2026-09-11)</w:t>
      </w:r>
    </w:p>
    <w:p>
      <w:r>
        <w:t>Resolved (§7): assessment-drawer.js now persists every answer to a new nr_self_assessment_answers table, keyed per (company, assessment_type, section, q). The self-declared-vs-AI-score comparison this gap blocked now exists on the Results screen, at section level rather than per-question (“it doesn’t need every question, just the sections,” per Rene) — the same comparison the SCC Training Manual’s Pre-OSV Checklist (Feed_Frankie/F4N/SSC_Onboarding) describes SCC doing manually today, flagging any self-score of 7 or 10 that looks implausible. Not yet done: folding this same comparison into the Pre-OSV Pack tab itself (Feature C, above still shows only the AI read there).</w:t>
      </w:r>
    </w:p>
    <w:p>
      <w:pPr>
        <w:pStyle w:val="Heading2"/>
      </w:pPr>
      <w:r>
        <w:t>Build Prerequisites — Features D &amp; E (scoped 10 September 2026)</w:t>
      </w:r>
    </w:p>
    <w:p>
      <w:r>
        <w:t>Scoped against the current codebase rather than re-describing the original v9 feature text — the two features below need genuinely different things before either is buildable, so they’re broken out here instead of left as a single “not started” line.</w:t>
      </w:r>
    </w:p>
    <w:p>
      <w:pPr>
        <w:pStyle w:val="Heading3"/>
      </w:pPr>
      <w:r>
        <w:t>Feature D prerequisites — earlier-stage than it looks</w:t>
      </w:r>
    </w:p>
    <w:p>
      <w:r>
        <w:t>Two things the diagnostic depends on don’t exist yet. (1) Scope-of-work data: no table captures what a company actually does. nr_companies (queried in due-diligence-drawer.js) stores only name/status; the Evidence Vault’s profile blob (Supabase Storage, not a DB table) holds just the company name; cqp-drawer.js has a scopeOfSupply field, but it’s transient UI state saved only to localStorage, never to Supabase. A structured scope-of-work table is needed before any gap analysis has something to compare against. (2) SQEP content in the KB: SQEP exists only as a search-routing alias in retrieval.js (it steers the term toward the “people excellence” F4N category) — there is no SQEP-tagged, structured requirement set in any KB partition to diagnose gaps against. Recommendation: treat as two smaller prerequisite projects (scope-of-work capture; SQEP KB tagging) before scoping the diagnostic logic itself.</w:t>
      </w:r>
    </w:p>
    <w:p>
      <w:pPr>
        <w:pStyle w:val="Heading3"/>
      </w:pPr>
      <w:r>
        <w:t>Feature E prerequisites — more tractable, one external blocker</w:t>
      </w:r>
    </w:p>
    <w:p>
      <w:r>
        <w:t>Update, 2026-09-11: one built, one partially built, two-of-four content done — the picture described below (as scoped 10 September) has moved substantially. (1) Quiz-taking UI — built: compliance-quiz-drawer.js, generic across topics, content-driven from data/compliance_quiz_data.json. Not a clone of assessment-drawer.js’s scoring-band pattern in the end — a quiz needs objective right/wrong feedback with an explanation, not a self-declared maturity score, so the questions/options/scoring UI was built fresh, reusing only the shared .assess-drawer/.assess-panel shell and DrawerSplashKit intro pattern every tool already uses. (2) Completions log — partially built: nr_quiz_completions exists and logs every attempt (score, pass/fail, timestamp) with SCC read access, but the SCC-side view/export UI itself — the actual “training register” a human looks at — hasn’t been built, only the data table has. (3) Content — two of four topics done: Cyber Essentials and GDPR have real, sourced questions live; Export Control and Modern Slavery have real source material already gathered and sorted (§7) but no questions written yet — writing them is the same template already proven twice, not new discovery work.</w:t>
      </w:r>
    </w:p>
    <w:p>
      <w:r>
        <w:t xml:space="preserve">Update, 2026-09-14: all four quiz topics are now complete — Export Control and Modern Slavery questions written (they had, in fact, already shipped by v16 — commits 1cb8f36/043f990 — but v16’s own text here hadn’t caught up) — and all four have been restructured from a flat 10-question list each into genuine sections keyed to each topic’s own real structure, 51 questions total (§7). The answer-position/option-length bias found in Rene’s own review of the original 40 questions (correctIndex 100% at option B; correct answer the longest option in 39 of 40) is fixed and verified programmatically: 13/13/13/12 spread across positions, longest option correct in only 18 of 51 (35%). (2) Completions log/SCC-side register — now built: a Training Register (per-company tab + cross-company screen with filters, stats and CSV export) shipped this session in scc.html (commit d652793), live-tested and confirmed working by Rene 2026-09-14. The one thing still genuinely open: live-testing surfaced a 404 on nr_quiz_completions, confirming the SQL migration has not actually been run against the live Supabase project yet — until it is, both the member-side completion logging and this new register show empty/error gracefully rather than real data. Smaller open item: the new GDPR-Accountability and Modern-Slavery-statement-content questions were grounded in facts already gathered earlier in the session but the full 248-page Modern Slavery statutory guidance and the GDPR Documentation.pdf source were not re-read end-to-end during the pass that wrote those questions — not yet verified against the primary source.</w:t>
      </w:r>
    </w:p>
    <w:p>
      <w:pPr>
        <w:pStyle w:val="Heading1"/>
        <w:spacing w:after="160" w:before="360"/>
      </w:pPr>
      <w:r>
        <w:t xml:space="preserve">11. The Vision — Frankie at Full Scale</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1500"/>
        <w:gridCol w:w="2600"/>
        <w:gridCol w:w="5460"/>
      </w:tblGrid>
      <w:tr>
        <w:trPr>
          <w:tblHeader/>
        </w:trPr>
        <w:tc>
          <w:tcPr>
            <w:tcW w:type="dxa" w:w="1500"/>
            <w:shd w:fill="10243A" w:val="clear"/>
            <w:tcMar>
              <w:top w:type="dxa" w:w="80"/>
              <w:left w:type="dxa" w:w="100"/>
              <w:bottom w:type="dxa" w:w="80"/>
              <w:right w:type="dxa" w:w="100"/>
            </w:tcMar>
          </w:tcPr>
          <w:p>
            <w:r>
              <w:rPr>
                <w:b/>
                <w:bCs/>
                <w:color w:val="FFFFFF"/>
                <w:sz w:val="19"/>
                <w:szCs w:val="19"/>
              </w:rPr>
              <w:t xml:space="preserve">Stage</w:t>
            </w:r>
          </w:p>
        </w:tc>
        <w:tc>
          <w:tcPr>
            <w:tcW w:type="dxa" w:w="2600"/>
            <w:shd w:fill="10243A" w:val="clear"/>
            <w:tcMar>
              <w:top w:type="dxa" w:w="80"/>
              <w:left w:type="dxa" w:w="100"/>
              <w:bottom w:type="dxa" w:w="80"/>
              <w:right w:type="dxa" w:w="100"/>
            </w:tcMar>
          </w:tcPr>
          <w:p>
            <w:r>
              <w:rPr>
                <w:b/>
                <w:bCs/>
                <w:color w:val="FFFFFF"/>
                <w:sz w:val="19"/>
                <w:szCs w:val="19"/>
              </w:rPr>
              <w:t xml:space="preserve">Name</w:t>
            </w:r>
          </w:p>
        </w:tc>
        <w:tc>
          <w:tcPr>
            <w:tcW w:type="dxa" w:w="5460"/>
            <w:shd w:fill="10243A" w:val="clear"/>
            <w:tcMar>
              <w:top w:type="dxa" w:w="80"/>
              <w:left w:type="dxa" w:w="100"/>
              <w:bottom w:type="dxa" w:w="80"/>
              <w:right w:type="dxa" w:w="100"/>
            </w:tcMar>
          </w:tcPr>
          <w:p>
            <w:r>
              <w:rPr>
                <w:b/>
                <w:bCs/>
                <w:color w:val="FFFFFF"/>
                <w:sz w:val="19"/>
                <w:szCs w:val="19"/>
              </w:rPr>
              <w:t xml:space="preserve">What It Covers</w:t>
            </w:r>
          </w:p>
        </w:tc>
      </w:tr>
      <w:tr>
        <w:tc>
          <w:tcPr>
            <w:tcW w:type="dxa" w:w="1500"/>
            <w:tcMar>
              <w:top w:type="dxa" w:w="80"/>
              <w:left w:type="dxa" w:w="100"/>
              <w:bottom w:type="dxa" w:w="80"/>
              <w:right w:type="dxa" w:w="100"/>
            </w:tcMar>
          </w:tcPr>
          <w:p>
            <w:r>
              <w:rPr>
                <w:b w:val="false"/>
                <w:bCs w:val="false"/>
                <w:sz w:val="19"/>
                <w:szCs w:val="19"/>
              </w:rPr>
              <w:t xml:space="preserve">Stage 1</w:t>
            </w:r>
          </w:p>
        </w:tc>
        <w:tc>
          <w:tcPr>
            <w:tcW w:type="dxa" w:w="2600"/>
            <w:tcMar>
              <w:top w:type="dxa" w:w="80"/>
              <w:left w:type="dxa" w:w="100"/>
              <w:bottom w:type="dxa" w:w="80"/>
              <w:right w:type="dxa" w:w="100"/>
            </w:tcMar>
          </w:tcPr>
          <w:p>
            <w:r>
              <w:rPr>
                <w:b w:val="false"/>
                <w:bCs w:val="false"/>
                <w:sz w:val="19"/>
                <w:szCs w:val="19"/>
              </w:rPr>
              <w:t xml:space="preserve">F4N Intelligence</w:t>
            </w:r>
          </w:p>
        </w:tc>
        <w:tc>
          <w:tcPr>
            <w:tcW w:type="dxa" w:w="5460"/>
            <w:tcMar>
              <w:top w:type="dxa" w:w="80"/>
              <w:left w:type="dxa" w:w="100"/>
              <w:bottom w:type="dxa" w:w="80"/>
              <w:right w:type="dxa" w:w="100"/>
            </w:tcMar>
          </w:tcPr>
          <w:p>
            <w:r>
              <w:rPr>
                <w:b w:val="false"/>
                <w:bCs w:val="false"/>
                <w:sz w:val="19"/>
                <w:szCs w:val="19"/>
              </w:rPr>
              <w:t xml:space="preserve">Assessment readiness, evidence, diagnostics, practical Tool Kit tools. This blueprint. Now includes the reactors-KB / NucColpedia and Plant Explorer BOM-data work as part of proving the model, not originally scoped in v9.</w:t>
            </w:r>
          </w:p>
        </w:tc>
      </w:tr>
      <w:tr>
        <w:tc>
          <w:tcPr>
            <w:tcW w:type="dxa" w:w="1500"/>
            <w:tcMar>
              <w:top w:type="dxa" w:w="80"/>
              <w:left w:type="dxa" w:w="100"/>
              <w:bottom w:type="dxa" w:w="80"/>
              <w:right w:type="dxa" w:w="100"/>
            </w:tcMar>
          </w:tcPr>
          <w:p>
            <w:r>
              <w:rPr>
                <w:b w:val="false"/>
                <w:bCs w:val="false"/>
                <w:sz w:val="19"/>
                <w:szCs w:val="19"/>
              </w:rPr>
              <w:t xml:space="preserve">Stage 2</w:t>
            </w:r>
          </w:p>
        </w:tc>
        <w:tc>
          <w:tcPr>
            <w:tcW w:type="dxa" w:w="2600"/>
            <w:tcMar>
              <w:top w:type="dxa" w:w="80"/>
              <w:left w:type="dxa" w:w="100"/>
              <w:bottom w:type="dxa" w:w="80"/>
              <w:right w:type="dxa" w:w="100"/>
            </w:tcMar>
          </w:tcPr>
          <w:p>
            <w:r>
              <w:rPr>
                <w:b w:val="false"/>
                <w:bCs w:val="false"/>
                <w:sz w:val="19"/>
                <w:szCs w:val="19"/>
              </w:rPr>
              <w:t xml:space="preserve">Supply Chain Intelligence</w:t>
            </w:r>
          </w:p>
        </w:tc>
        <w:tc>
          <w:tcPr>
            <w:tcW w:type="dxa" w:w="5460"/>
            <w:tcMar>
              <w:top w:type="dxa" w:w="80"/>
              <w:left w:type="dxa" w:w="100"/>
              <w:bottom w:type="dxa" w:w="80"/>
              <w:right w:type="dxa" w:w="100"/>
            </w:tcMar>
          </w:tcPr>
          <w:p>
            <w:r>
              <w:rPr>
                <w:b w:val="false"/>
                <w:bCs w:val="false"/>
                <w:sz w:val="19"/>
                <w:szCs w:val="19"/>
              </w:rPr>
              <w:t xml:space="preserve">Tender matching, SCRL integration, demand forecasting, plant data. Frankie becomes the intelligence layer for buyers and SCCs as well as suppliers.</w:t>
            </w:r>
          </w:p>
        </w:tc>
      </w:tr>
      <w:tr>
        <w:tc>
          <w:tcPr>
            <w:tcW w:type="dxa" w:w="1500"/>
            <w:tcMar>
              <w:top w:type="dxa" w:w="80"/>
              <w:left w:type="dxa" w:w="100"/>
              <w:bottom w:type="dxa" w:w="80"/>
              <w:right w:type="dxa" w:w="100"/>
            </w:tcMar>
          </w:tcPr>
          <w:p>
            <w:r>
              <w:rPr>
                <w:b w:val="false"/>
                <w:bCs w:val="false"/>
                <w:sz w:val="19"/>
                <w:szCs w:val="19"/>
              </w:rPr>
              <w:t xml:space="preserve">Stage 3</w:t>
            </w:r>
          </w:p>
        </w:tc>
        <w:tc>
          <w:tcPr>
            <w:tcW w:type="dxa" w:w="2600"/>
            <w:tcMar>
              <w:top w:type="dxa" w:w="80"/>
              <w:left w:type="dxa" w:w="100"/>
              <w:bottom w:type="dxa" w:w="80"/>
              <w:right w:type="dxa" w:w="100"/>
            </w:tcMar>
          </w:tcPr>
          <w:p>
            <w:r>
              <w:rPr>
                <w:b w:val="false"/>
                <w:bCs w:val="false"/>
                <w:sz w:val="19"/>
                <w:szCs w:val="19"/>
              </w:rPr>
              <w:t xml:space="preserve">Sector Platform</w:t>
            </w:r>
          </w:p>
        </w:tc>
        <w:tc>
          <w:tcPr>
            <w:tcW w:type="dxa" w:w="5460"/>
            <w:tcMar>
              <w:top w:type="dxa" w:w="80"/>
              <w:left w:type="dxa" w:w="100"/>
              <w:bottom w:type="dxa" w:w="80"/>
              <w:right w:type="dxa" w:w="100"/>
            </w:tcMar>
          </w:tcPr>
          <w:p>
            <w:r>
              <w:rPr>
                <w:b w:val="false"/>
                <w:bCs w:val="false"/>
                <w:sz w:val="19"/>
                <w:szCs w:val="19"/>
              </w:rPr>
              <w:t xml:space="preserve">Buyer-facing tools, benchmark data, accreditation tracking, cross-company insight.</w:t>
            </w:r>
          </w:p>
        </w:tc>
      </w:tr>
    </w:tbl>
    <w:p>
      <w:pPr>
        <w:pStyle w:val="Heading2"/>
        <w:spacing w:after="120" w:before="260"/>
      </w:pPr>
      <w:r>
        <w:t xml:space="preserve">The Proprietary Data Moat — updated</w:t>
      </w:r>
    </w:p>
    <w:p>
      <w:pPr>
        <w:pStyle w:val="ListParagraph"/>
        <w:numPr>
          <w:ilvl w:val="0"/>
          <w:numId w:val="1"/>
        </w:numPr>
        <w:spacing w:after="60"/>
      </w:pPr>
      <w:r>
        <w:t xml:space="preserve">F4N KB — now split into a handbook + supplier + toolkit + UK-narrowed regs partition architecture, entity-graph boosted, rather than one flat file</w:t>
      </w:r>
    </w:p>
    <w:p>
      <w:pPr>
        <w:pStyle w:val="ListParagraph"/>
        <w:numPr>
          <w:ilvl w:val="0"/>
          <w:numId w:val="1"/>
        </w:numPr>
        <w:spacing w:after="60"/>
      </w:pPr>
      <w:r>
        <w:t xml:space="preserve">Reactors KB — 61,374 chunks of real DCD/FSAR/PCSR/GDA text across 19 reactor programmes, previously retired from chat and now reachable through NucColpedia — a genuinely new moat asset v9 didn’t have</w:t>
      </w:r>
    </w:p>
    <w:p>
      <w:pPr>
        <w:pStyle w:val="ListParagraph"/>
        <w:numPr>
          <w:ilvl w:val="0"/>
          <w:numId w:val="1"/>
        </w:numPr>
        <w:spacing w:after="60"/>
      </w:pPr>
      <w:r>
        <w:t>Plant Explorer BOM/DSE data — 98.7% of a 15,963-row component taxonomy now classified against NuCCoL’s own 171-pair Plant System/Component dictionary, evidence-checked rather than pure statistical inference; the orphan (invisible-unclassified) backlog remains fully closed, and a genuine data-extraction bug (6 phantom rows from an FSAR boilerplate section) was found and fixed this version</w:t>
      </w:r>
    </w:p>
    <w:p>
      <w:pPr>
        <w:pStyle w:val="ListParagraph"/>
        <w:numPr>
          <w:ilvl w:val="0"/>
          <w:numId w:val="1"/>
        </w:numPr>
        <w:spacing w:after="60"/>
      </w:pPr>
      <w:r>
        <w:t xml:space="preserve">SCRL database, SCC assessment history, NuCCoL-verified templates, uploaded company evidence, training completion records — unchanged from v9’s description, still not built/populated at scale</w:t>
      </w:r>
    </w:p>
    <w:p>
      <w:pPr>
        <w:pStyle w:val="Heading1"/>
        <w:spacing w:after="160" w:before="360"/>
      </w:pPr>
      <w:r>
        <w:t xml:space="preserve">12. Operating Cost — Per-Question Estimate</w:t>
      </w:r>
    </w:p>
    <w:p>
      <w:pPr>
        <w:spacing w:after="140"/>
      </w:pPr>
      <w:r>
        <w:t xml:space="preserve">New this version, at Rene’s request (“remember to add cost”). This is a first rough estimate built directly from the deployed code’s own construction — system prompt length, source-context cap, max_tokens, and which API each query actually calls — checked against current published API pricing (15 September 2026), not measured from real traffic. Frankie’s own token-tracking (window.TM?.log(), called in claude.js/retrieval.js/groq.js on every real API response) already logs prompt_tokens/completion_tokens per call; pulling and averaging that log against real query volume would sharpen this from an estimate to a measurement — not done this version, flagged below as a natural next step.</w:t>
      </w:r>
    </w:p>
    <w:p>
      <w:pPr>
        <w:pStyle w:val="Heading2"/>
        <w:spacing w:after="120" w:before="260"/>
      </w:pPr>
      <w:r>
        <w:t xml:space="preserve">What actually costs money per question</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800"/>
        <w:gridCol w:w="1860"/>
      </w:tblGrid>
      <w:tr>
        <w:trPr>
          <w:tblHeader/>
        </w:trPr>
        <w:tc>
          <w:tcPr>
            <w:tcW w:type="dxa" w:w="2400"/>
            <w:shd w:fill="10243A" w:val="clear"/>
            <w:tcMar>
              <w:top w:type="dxa" w:w="80"/>
              <w:left w:type="dxa" w:w="100"/>
              <w:bottom w:type="dxa" w:w="80"/>
              <w:right w:type="dxa" w:w="100"/>
            </w:tcMar>
          </w:tcPr>
          <w:p>
            <w:r>
              <w:rPr>
                <w:b/>
                <w:bCs/>
                <w:color w:val="FFFFFF"/>
                <w:sz w:val="19"/>
                <w:szCs w:val="19"/>
              </w:rPr>
              <w:t xml:space="preserve">Call</w:t>
            </w:r>
          </w:p>
        </w:tc>
        <w:tc>
          <w:tcPr>
            <w:tcW w:type="dxa" w:w="2400"/>
            <w:shd w:fill="10243A" w:val="clear"/>
            <w:tcMar>
              <w:top w:type="dxa" w:w="80"/>
              <w:left w:type="dxa" w:w="100"/>
              <w:bottom w:type="dxa" w:w="80"/>
              <w:right w:type="dxa" w:w="100"/>
            </w:tcMar>
          </w:tcPr>
          <w:p>
            <w:r>
              <w:rPr>
                <w:b/>
                <w:bCs/>
                <w:color w:val="FFFFFF"/>
                <w:sz w:val="19"/>
                <w:szCs w:val="19"/>
              </w:rPr>
              <w:t xml:space="preserve">When it fires</w:t>
            </w:r>
          </w:p>
        </w:tc>
        <w:tc>
          <w:tcPr>
            <w:tcW w:type="dxa" w:w="2800"/>
            <w:shd w:fill="10243A" w:val="clear"/>
            <w:tcMar>
              <w:top w:type="dxa" w:w="80"/>
              <w:left w:type="dxa" w:w="100"/>
              <w:bottom w:type="dxa" w:w="80"/>
              <w:right w:type="dxa" w:w="100"/>
            </w:tcMar>
          </w:tcPr>
          <w:p>
            <w:r>
              <w:rPr>
                <w:b/>
                <w:bCs/>
                <w:color w:val="FFFFFF"/>
                <w:sz w:val="19"/>
                <w:szCs w:val="19"/>
              </w:rPr>
              <w:t xml:space="preserve">Typical size</w:t>
            </w:r>
          </w:p>
        </w:tc>
        <w:tc>
          <w:tcPr>
            <w:tcW w:type="dxa" w:w="1860"/>
            <w:shd w:fill="10243A" w:val="clear"/>
            <w:tcMar>
              <w:top w:type="dxa" w:w="80"/>
              <w:left w:type="dxa" w:w="100"/>
              <w:bottom w:type="dxa" w:w="80"/>
              <w:right w:type="dxa" w:w="100"/>
            </w:tcMar>
          </w:tcPr>
          <w:p>
            <w:r>
              <w:rPr>
                <w:b/>
                <w:bCs/>
                <w:color w:val="FFFFFF"/>
                <w:sz w:val="19"/>
                <w:szCs w:val="19"/>
              </w:rPr>
              <w:t xml:space="preserve">Rate × rough cost</w:t>
            </w:r>
          </w:p>
        </w:tc>
      </w:tr>
      <w:tr>
        <w:tc>
          <w:tcPr>
            <w:tcW w:type="dxa" w:w="2400"/>
            <w:tcMar>
              <w:top w:type="dxa" w:w="80"/>
              <w:left w:type="dxa" w:w="100"/>
              <w:bottom w:type="dxa" w:w="80"/>
              <w:right w:type="dxa" w:w="100"/>
            </w:tcMar>
          </w:tcPr>
          <w:p>
            <w:r>
              <w:rPr>
                <w:b w:val="false"/>
                <w:bCs w:val="false"/>
                <w:sz w:val="19"/>
                <w:szCs w:val="19"/>
              </w:rPr>
              <w:t xml:space="preserve">OpenAI text-embedding-3-small (query embedding)</w:t>
            </w:r>
          </w:p>
        </w:tc>
        <w:tc>
          <w:tcPr>
            <w:tcW w:type="dxa" w:w="2400"/>
            <w:tcMar>
              <w:top w:type="dxa" w:w="80"/>
              <w:left w:type="dxa" w:w="100"/>
              <w:bottom w:type="dxa" w:w="80"/>
              <w:right w:type="dxa" w:w="100"/>
            </w:tcMar>
          </w:tcPr>
          <w:p>
            <w:r>
              <w:rPr>
                <w:b w:val="false"/>
                <w:bCs w:val="false"/>
                <w:sz w:val="19"/>
                <w:szCs w:val="19"/>
              </w:rPr>
              <w:t xml:space="preserve">Up to 3× per question — one per search term (up from 1 before this session’s clause-splitting work, §7)</w:t>
            </w:r>
          </w:p>
        </w:tc>
        <w:tc>
          <w:tcPr>
            <w:tcW w:type="dxa" w:w="2800"/>
            <w:tcMar>
              <w:top w:type="dxa" w:w="80"/>
              <w:left w:type="dxa" w:w="100"/>
              <w:bottom w:type="dxa" w:w="80"/>
              <w:right w:type="dxa" w:w="100"/>
            </w:tcMar>
          </w:tcPr>
          <w:p>
            <w:r>
              <w:rPr>
                <w:b w:val="false"/>
                <w:bCs w:val="false"/>
                <w:sz w:val="19"/>
                <w:szCs w:val="19"/>
              </w:rPr>
              <w:t xml:space="preserve">~10–20 tokens/call, ~45 tokens total</w:t>
            </w:r>
          </w:p>
        </w:tc>
        <w:tc>
          <w:tcPr>
            <w:tcW w:type="dxa" w:w="1860"/>
            <w:tcMar>
              <w:top w:type="dxa" w:w="80"/>
              <w:left w:type="dxa" w:w="100"/>
              <w:bottom w:type="dxa" w:w="80"/>
              <w:right w:type="dxa" w:w="100"/>
            </w:tcMar>
          </w:tcPr>
          <w:p>
            <w:r>
              <w:rPr>
                <w:b w:val="false"/>
                <w:bCs w:val="false"/>
                <w:sz w:val="19"/>
                <w:szCs w:val="19"/>
              </w:rPr>
              <w:t xml:space="preserve">$0.02/M tokens → &lt;$0.000001 (negligible)</w:t>
            </w:r>
          </w:p>
        </w:tc>
      </w:tr>
      <w:tr>
        <w:tc>
          <w:tcPr>
            <w:tcW w:type="dxa" w:w="2400"/>
            <w:tcMar>
              <w:top w:type="dxa" w:w="80"/>
              <w:left w:type="dxa" w:w="100"/>
              <w:bottom w:type="dxa" w:w="80"/>
              <w:right w:type="dxa" w:w="100"/>
            </w:tcMar>
          </w:tcPr>
          <w:p>
            <w:r>
              <w:rPr>
                <w:b w:val="false"/>
                <w:bCs w:val="false"/>
                <w:sz w:val="19"/>
                <w:szCs w:val="19"/>
              </w:rPr>
              <w:t xml:space="preserve">Groq (openai/gpt-oss-20b), listed in §3 as “query preprocessing”</w:t>
            </w:r>
          </w:p>
        </w:tc>
        <w:tc>
          <w:tcPr>
            <w:tcW w:type="dxa" w:w="2400"/>
            <w:tcMar>
              <w:top w:type="dxa" w:w="80"/>
              <w:left w:type="dxa" w:w="100"/>
              <w:bottom w:type="dxa" w:w="80"/>
              <w:right w:type="dxa" w:w="100"/>
            </w:tcMar>
          </w:tcPr>
          <w:p>
            <w:r>
              <w:rPr>
                <w:b w:val="false"/>
                <w:bCs w:val="false"/>
                <w:sz w:val="19"/>
                <w:szCs w:val="19"/>
              </w:rPr>
              <w:t xml:space="preserve">Never — enhanceWithGroq() has no caller in the live pipeline (§7, §9)</w:t>
            </w:r>
          </w:p>
        </w:tc>
        <w:tc>
          <w:tcPr>
            <w:tcW w:type="dxa" w:w="2800"/>
            <w:tcMar>
              <w:top w:type="dxa" w:w="80"/>
              <w:left w:type="dxa" w:w="100"/>
              <w:bottom w:type="dxa" w:w="80"/>
              <w:right w:type="dxa" w:w="100"/>
            </w:tcMar>
          </w:tcPr>
          <w:p>
            <w:r>
              <w:rPr>
                <w:b w:val="false"/>
                <w:bCs w:val="false"/>
                <w:sz w:val="19"/>
                <w:szCs w:val="19"/>
              </w:rPr>
              <w:t xml:space="preserve">—</w:t>
            </w:r>
          </w:p>
        </w:tc>
        <w:tc>
          <w:tcPr>
            <w:tcW w:type="dxa" w:w="1860"/>
            <w:tcMar>
              <w:top w:type="dxa" w:w="80"/>
              <w:left w:type="dxa" w:w="100"/>
              <w:bottom w:type="dxa" w:w="80"/>
              <w:right w:type="dxa" w:w="100"/>
            </w:tcMar>
          </w:tcPr>
          <w:p>
            <w:r>
              <w:rPr>
                <w:b w:val="false"/>
                <w:bCs w:val="false"/>
                <w:sz w:val="19"/>
                <w:szCs w:val="19"/>
              </w:rPr>
              <w:t xml:space="preserve">$0.075/M in, $0.30/M out (Groq’s own published rate) → $0 actually spent</w:t>
            </w:r>
          </w:p>
        </w:tc>
      </w:tr>
      <w:tr>
        <w:tc>
          <w:tcPr>
            <w:tcW w:type="dxa" w:w="2400"/>
            <w:tcMar>
              <w:top w:type="dxa" w:w="80"/>
              <w:left w:type="dxa" w:w="100"/>
              <w:bottom w:type="dxa" w:w="80"/>
              <w:right w:type="dxa" w:w="100"/>
            </w:tcMar>
          </w:tcPr>
          <w:p>
            <w:r>
              <w:rPr>
                <w:b w:val="false"/>
                <w:bCs w:val="false"/>
                <w:sz w:val="19"/>
                <w:szCs w:val="19"/>
              </w:rPr>
              <w:t xml:space="preserve">Claude (claude-sonnet-4-6, config.js’s live default)</w:t>
            </w:r>
          </w:p>
        </w:tc>
        <w:tc>
          <w:tcPr>
            <w:tcW w:type="dxa" w:w="2400"/>
            <w:tcMar>
              <w:top w:type="dxa" w:w="80"/>
              <w:left w:type="dxa" w:w="100"/>
              <w:bottom w:type="dxa" w:w="80"/>
              <w:right w:type="dxa" w:w="100"/>
            </w:tcMar>
          </w:tcPr>
          <w:p>
            <w:r>
              <w:rPr>
                <w:b w:val="false"/>
                <w:bCs w:val="false"/>
                <w:sz w:val="19"/>
                <w:szCs w:val="19"/>
              </w:rPr>
              <w:t xml:space="preserve">Once per answered question</w:t>
            </w:r>
          </w:p>
        </w:tc>
        <w:tc>
          <w:tcPr>
            <w:tcW w:type="dxa" w:w="2800"/>
            <w:tcMar>
              <w:top w:type="dxa" w:w="80"/>
              <w:left w:type="dxa" w:w="100"/>
              <w:bottom w:type="dxa" w:w="80"/>
              <w:right w:type="dxa" w:w="100"/>
            </w:tcMar>
          </w:tcPr>
          <w:p>
            <w:r>
              <w:rPr>
                <w:b w:val="false"/>
                <w:bCs w:val="false"/>
                <w:sz w:val="19"/>
                <w:szCs w:val="19"/>
              </w:rPr>
              <w:t xml:space="preserve">System prompt ~820 tokens + up to 5 sources (≤600 chars body each) ~800 tokens + question ~20 tokens ≈ ~1,650 input tokens (first question); output capped at max_tokens: 800, typically 350–550 tokens observed live</w:t>
            </w:r>
          </w:p>
        </w:tc>
        <w:tc>
          <w:tcPr>
            <w:tcW w:type="dxa" w:w="1860"/>
            <w:tcMar>
              <w:top w:type="dxa" w:w="80"/>
              <w:left w:type="dxa" w:w="100"/>
              <w:bottom w:type="dxa" w:w="80"/>
              <w:right w:type="dxa" w:w="100"/>
            </w:tcMar>
          </w:tcPr>
          <w:p>
            <w:r>
              <w:rPr>
                <w:b w:val="false"/>
                <w:bCs w:val="false"/>
                <w:sz w:val="19"/>
                <w:szCs w:val="19"/>
              </w:rPr>
              <w:t xml:space="preserve">$3/M in, $15/M out (Sonnet 4.6, Anthropic’s published rate, checked 15 Sept 2026) → ≈$0.010–$0.013/question</w:t>
            </w:r>
          </w:p>
        </w:tc>
      </w:tr>
    </w:tbl>
    <w:p>
      <w:pPr>
        <w:spacing w:after="140"/>
      </w:pPr>
      <w:r>
        <w:t xml:space="preserve">Rough total per question: ≈$0.010–$0.013 (roughly 0.8p–1.0p at today’s $1 = £0.742 mid-market rate), dominated almost entirely by the single Claude Sonnet call — embeddings and Groq together add less than a thousandth of a penny, and Groq currently adds nothing at all since it’s never called (§7, §9). A multi-turn conversation running to the full 4-exchange history cap (js/app.js’s MAX_HISTORY) costs roughly double that on its later turns, since each prior exchange’s user question and full answer are resent as input tokens on every subsequent call.</w:t>
      </w:r>
    </w:p>
    <w:p>
      <w:pPr>
        <w:pStyle w:val="Heading2"/>
        <w:spacing w:after="120" w:before="260"/>
      </w:pPr>
      <w:r>
        <w:t xml:space="preserve">Cost vs. accuracy — already decided, not reopened here</w:t>
      </w:r>
    </w:p>
    <w:p>
      <w:pPr>
        <w:spacing w:after="140"/>
      </w:pPr>
      <w:r>
        <w:t xml:space="preserve">This isn’t a new question — js/modelRouter.js already tried it and settled it. 2026-09-14: Haiku removed from routing entirely after live testing showed it fabricating precise facts (category lists, acronym expansions) even with the correct source chunk in context. 2026-09-15: restored for high-confidence queries after two root causes were fixed (a retrieval-scoring bug, and a stricter “Precision rule” added to claude.js’s system prompt) — then reverted again the same day: with both fixes in place, Haiku’s specific fabrications were gone, but retesting found two new, different accuracy gaps — compressing a multi-tier scoring rubric (dropping a caveat and the top band), and separately stating “five main assessment areas” while listing six items directly underneath, a plain self-contradiction. modelRouter.js’s own comment records the measured live cost difference as “about $0.01/query either way” (commit 095bc5a) — consistent with this section’s own estimate above (Haiku at $1/M in, $5/M out would run roughly $0.004–$0.005/question against Sonnet’s $0.010–$0.013, a difference in the same $0.005–$0.008 range). Every Claude-eligible query has gone to Sonnet only since 2026-09-15 (routeModel() in modelRouter.js) — Rene’s call was that F4N guidance has to be right, always, and a roughly one-cent-per-question difference wasn’t worth trading accuracy for.</w:t>
      </w:r>
    </w:p>
    <w:p>
      <w:pPr>
        <w:spacing w:after="140"/>
      </w:pPr>
      <w:r>
        <w:t xml:space="preserve">This session’s retrieval fixes (§7) don’t change that calculus: RUBRIC_ENTITY_BOOST and GRANTING_CRITERIA_BOOST are pure client-side re-ranking of which already-fetched chunks get sent to Claude, not more or bigger API calls. The one real cost-relevant change this session made was going from 1 embedding call per question to up to 3 (§7’s clause-splitting work) — roughly $0.0000006 extra per question, not worth being anything more than the rounding note it is above.</w:t>
      </w:r>
    </w:p>
    <w:p>
      <w:pPr>
        <w:spacing w:after="140"/>
      </w:pPr>
      <w:r>
        <w:rPr>
          <w:i/>
          <w:iCs/>
        </w:rPr>
        <w:t xml:space="preserve">What this estimate doesn’t capture: real query-volume mix (how many questions are compound vs. single-topic, how many run to the full 4-exchange history cap), any Cloudflare Worker cost (the actual API pass-through gateway, priced separately from Anthropic/OpenAI/Groq’s own rates and not reviewed this version), and Anthropic prompt-caching (not currently used — MODE_PROMPTS’ system prompt is static per mode and a candidate for cache_control if per-question cost becomes a real constraint at volume). Pulling real prompt_tokens/completion_tokens averages from Frankie’s own window.TM logging against actual question volume, rather than estimating from the code’s construction, is the natural next step to turn this into a measured figure — not done this version.</w:t>
      </w:r>
    </w:p>
    <w:p>
      <w:pPr>
        <w:pBdr>
          <w:bottom w:val="single" w:color="D8E2EC" w:sz="6" w:space="1"/>
        </w:pBdr>
        <w:spacing w:after="240"/>
      </w:pPr>
    </w:p>
    <w:p>
      <w:pPr>
        <w:spacing w:after="60"/>
        <w:jc w:val="center"/>
      </w:pPr>
      <w:r>
        <w:rPr>
          <w:b/>
          <w:bCs/>
          <w:sz w:val="18"/>
          <w:szCs w:val="18"/>
        </w:rPr>
        <w:t>F.R.A.N.K.I.E. v3  |  Blueprint v19  |  NuCCoL  |  15 September 2026  |  Confidential</w:t>
      </w:r>
    </w:p>
    <w:p>
      <w:pPr>
        <w:jc w:val="center"/>
      </w:pPr>
      <w:r>
        <w:rPr>
          <w:color w:val="65758A"/>
          <w:sz w:val="18"/>
          <w:szCs w:val="18"/>
        </w:rPr>
        <w:t xml:space="preserve">Supersedes v18 (14 September 2026)  |  Retrieval-pipeline fix: compound-question clause splitting + round-robin merge, RUBRIC_ENTITY_BOOST and GRANTING_CRITERIA_BOOST for under-ranked specific content (SQEP definition, Triple 85 thresholds), claude.js source-label fix (SCC “Consultant” not “Co-ordinator”)  |  New §12: first rough per-question operating-cost estimate  |  New open items: groq.js preprocessing never actually called; portal-mechanics chat bug (v18 §9 #10) still open, not this session’s work</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2026-09-09T17:20:00.070Z</dcterms:created>
  <dcterms:modified xsi:type="dcterms:W3CDTF">2026-09-09T17:20:00.083Z</dcterms:modified>
</cp:coreProperties>
</file>

<file path=docProps/custom.xml><?xml version="1.0" encoding="utf-8"?>
<Properties xmlns="http://schemas.openxmlformats.org/officeDocument/2006/custom-properties" xmlns:vt="http://schemas.openxmlformats.org/officeDocument/2006/docPropsVTypes"/>
</file>