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v20</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15 September 2026</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 xml:space="preserve">Supersedes v19 (15 September 2026). A documentation-correction version — no application code or KB/data changed. Rene flagged that §9’s Open To-Dos list was wrong (“we have closed many of the things on the list”). Re-audited all 13 numbered open items directly against the live code (not against prior blueprint text) and found 5 were already closed — in some cases since before v16 — but had been carried forward unchecked across versions: #3 Nuclear Engineering Mode (built — v18’s own “Closed since v12” section already said so, contradicting its own open-items table), #4 plant-drawer.js data fork (closed 2026-09-09, before v16 was even issued), #6 Evidence Vault reopen uploads (loadExistingUploads() is fully built), #7 ISO 19443 → SCC integration (closed via a different mechanism — scc.html reads the same Supabase Storage object directly via signed URL, no separate backend POST was ever needed), and #10 the portal-mechanics chat bug (re-tested live just now — answers correctly and cites the real Portal User Guide). Full evidence for each in §9.</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 xml:space="preserve">Blueprint v20 corrects an error in v16–v19: §9’s Open To-Dos list carried several items forward as “still open” that were, in fact, already closed — in one case (#4) closed before v16 was even issued. Rene caught this directly (“we have closed many of the things on the list in the blueprint… please check again as its wrong”). The root cause: each version’s own convention is to carry forward content “still accurate” without re-verifying it, and this document’s own §9 already contradicted itself in v18 — the open-items table still listed #3 (Nuclear Engineering Mode) as open in the same document whose “Closed since v12” section, a few pages later, said it had been built and shipped. That contradiction was carried into v19 unnoticed.</w:t>
      </w:r>
    </w:p>
    <w:p>
      <w:pPr>
        <w:spacing w:after="140"/>
      </w:pPr>
      <w:r>
        <w:t xml:space="preserve">This version re-audited all 13 numbered open items directly against the live codebase and the live app — not against what any prior blueprint version said about them. 5 of the 13 are closed; full evidence for each is in §9. The other 8 were not independently re-verified this pass (several — BOM/DSE row counts, the FSAR-boilerplate systematic check, materials bulk-mapping — are data-pipeline facts that need the actual scripts re-run, not just a code read; §9 marks each one explicitly as “not re-verified this version” rather than implying it’s still accurate). No application code or KB/data file changed this version — this is a documentation-accuracy correction only. Only §1, §9 and the footer have real content changes.</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pStyle w:val="ListParagraph"/>
        <w:numPr>
          <w:ilvl w:val="0"/>
          <w:numId w:val="1"/>
        </w:numPr>
        <w:spacing w:after="60"/>
      </w:pPr>
      <w:r>
        <w:t xml:space="preserve">Update, 2026-09-14: scc.html itself had real feature work land this session — a Training Register and a legacy member-link reconciliation fix (§7) — so the "unaffected, no active development" framing above no longer holds for scc.html specifically. That work is still committed to its own separate repo (renrenrenx10/Frankie), not merged into or moved to the site repo. scraper.js and kb/ remain as described.</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an original 11,593 — the live blob files are now the narrowed build itself (deployed this version, kb_version frankie_regs_v2_narrowed_plus_cyber: onr_sap 631, onr_tag 519, gda_guidance 463, cyber_security 53); the client-side REGS_CATEGORY_ALLOWLIST filter in retrieval.js still runs but is now a redundant no-op (§9)</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Regs partition — narrowed at the source as of this version</w:t>
      </w:r>
    </w:p>
    <w:p>
      <w:pPr>
        <w:spacing w:after="140"/>
      </w:pPr>
      <w:r>
        <w:t xml:space="preserve">retrieval.js previously fetched the full frankie_regs_kb.json (31.39 MiB, 11,593 chunks) and frankie_regs_vectors.json (326.51 MiB) from blob on every page load, then filtered client-side at runtime down to UK-relevant categories via a hardcoded REGS_CATEGORY_ALLOWLIST (onr_sap, onr_tag, gda_guidance, cyber_security) — discarding ~86% of the downloaded payload every session, a gap a code comment already flagged as planned work (“folding this into the regs KB build itself is part of the corpus rebuild plan”). That build had already been done and was sitting unused locally: frankie_regs_kb_NARROWED.json/vectors (1,666 chunks/vectors, ~5.3MB + ~47MB, built 2026-09-08, proper build-script output with build metadata and dupes-removed count, exactly matching the live client-side-filtered chunk count and categories). Rene deployed these to Azure Blob himself, overwriting the existing frankie_regs_kb.json/vectors blobs — same filenames the partition config already expects, so no code change was needed — cutting the regs partition’s payload from ~31MB/326MB to ~5.3MB/47MB per session. The client-side allowlist filter still runs but now filters already-filtered data, a harmless no-op (§9). A stale code comment directly above REGS_CATEGORY_ALLOWLIST — it says the filter “drops… cyber_security,” but the allowlist actually keeps it — was also found in passing, not yet fixed (§9).</w:t>
      </w:r>
    </w:p>
    <w:p>
      <w:pPr>
        <w:pStyle w:val="Heading2"/>
        <w:spacing w:after="120" w:before="260"/>
      </w:pPr>
      <w:r>
        <w:t>Reactors partition — retired from chat by default, now reachable two ways</w:t>
      </w:r>
    </w:p>
    <w:p>
      <w:pPr>
        <w:spacing w:after="140"/>
      </w:pPr>
      <w:r>
        <w:t>js/retrieval.js’s searchKnowledgeBase() no longer hardcodes const nuclear = false. As of this version, a new isNuclearModeEnabled() helper checks a site-wide Supabase flag (nr_site_settings key nuclear_mode_enabled, fail-closed — off unless SCC has explicitly turned it on) and combines it with the original isNuclearQuery()/NUCLEAR_SIGNALS keyword detector: const nuclear = (await isNuclearModeEnabled()) &amp;&amp; isNuclearQuery(query). SCC controls the flag from scc.html’s existing Website Features panel (a separate, legacy-repo file — see §2’s “Where it actually lives now”); while off, chat behaves exactly as it did at v12. The same 61,374-chunk KB is also still reachable, independently of this flag, through NucColpedia’s Reactor Documents tab (§7, added at v12).</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a stray full copy of frankie_graph.json. This version’s faq-answers.json content-accuracy rewrite (§7) started from this local copy, but the corrected file was deployed by Rene straight to the frankie-kb blob container via the Azure Portal, not through this repo — the local copy is not automatically kept in sync. The local frankie_regs_kb_NARROWED.json/vectors previously described here as “stray… not what the deployed app fetches” were, this version, the actual source Rene uploaded to replace the live regs blob files (§4/§7) — so the local kb/ folder was the origin of what’s now live, even though the folder itself is still not what the client fetches at runtime;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Assessments</w:t>
            </w:r>
          </w:p>
        </w:tc>
        <w:tc>
          <w:tcPr>
            <w:tcW w:type="dxa" w:w="7060"/>
            <w:tcMar>
              <w:top w:type="dxa" w:w="80"/>
              <w:left w:type="dxa" w:w="100"/>
              <w:bottom w:type="dxa" w:w="80"/>
              <w:right w:type="dxa" w:w="100"/>
            </w:tcMar>
          </w:tcPr>
          <w:p>
            <w:r>
              <w:rPr>
                <w:b w:val="false"/>
                <w:bCs w:val="false"/>
                <w:sz w:val="19"/>
                <w:szCs w:val="19"/>
              </w:rPr>
              <w:t xml:space="preserve">Evidence Vault · Business Excellence · Fit for Nuclear</w:t>
            </w:r>
          </w:p>
        </w:tc>
      </w:tr>
      <w:tr>
        <w:tc>
          <w:tcPr>
            <w:tcW w:type="dxa" w:w="2400"/>
            <w:tcMar>
              <w:top w:type="dxa" w:w="80"/>
              <w:left w:type="dxa" w:w="100"/>
              <w:bottom w:type="dxa" w:w="80"/>
              <w:right w:type="dxa" w:w="100"/>
            </w:tcMar>
          </w:tcPr>
          <w:p>
            <w:r>
              <w:rPr>
                <w:b w:val="false"/>
                <w:bCs w:val="false"/>
                <w:sz w:val="19"/>
                <w:szCs w:val="19"/>
              </w:rPr>
              <w:t xml:space="preserve">Tools</w:t>
            </w:r>
          </w:p>
        </w:tc>
        <w:tc>
          <w:tcPr>
            <w:tcW w:type="dxa" w:w="7060"/>
            <w:tcMar>
              <w:top w:type="dxa" w:w="80"/>
              <w:left w:type="dxa" w:w="100"/>
              <w:bottom w:type="dxa" w:w="80"/>
              <w:right w:type="dxa" w:w="100"/>
            </w:tcMar>
          </w:tcPr>
          <w:p>
            <w:r>
              <w:rPr>
                <w:b w:val="false"/>
                <w:bCs w:val="false"/>
                <w:sz w:val="19"/>
                <w:szCs w:val="19"/>
              </w:rPr>
              <w:t xml:space="preserve">Website Review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Compliance and Training</w:t>
            </w:r>
          </w:p>
        </w:tc>
        <w:tc>
          <w:tcPr>
            <w:tcW w:type="dxa" w:w="7060"/>
            <w:tcMar>
              <w:top w:type="dxa" w:w="80"/>
              <w:left w:type="dxa" w:w="100"/>
              <w:bottom w:type="dxa" w:w="80"/>
              <w:right w:type="dxa" w:w="100"/>
            </w:tcMar>
          </w:tcPr>
          <w:p>
            <w:r>
              <w:rPr>
                <w:b w:val="false"/>
                <w:bCs w:val="false"/>
                <w:sz w:val="19"/>
                <w:szCs w:val="19"/>
              </w:rPr>
              <w:t xml:space="preserve">ISO 19443 Position · Cyber Essentials Quiz · GDPR Quiz · Export Control Quiz · Modern Slavery Quiz</w:t>
            </w:r>
          </w:p>
        </w:tc>
      </w:tr>
      <w:tr>
        <w:tc>
          <w:tcPr>
            <w:tcW w:type="dxa" w:w="2400"/>
            <w:tcMar>
              <w:top w:type="dxa" w:w="80"/>
              <w:left w:type="dxa" w:w="100"/>
              <w:bottom w:type="dxa" w:w="80"/>
              <w:right w:type="dxa" w:w="100"/>
            </w:tcMar>
          </w:tcPr>
          <w:p>
            <w:r>
              <w:rPr>
                <w:b w:val="false"/>
                <w:bCs w:val="false"/>
                <w:sz w:val="19"/>
                <w:szCs w:val="19"/>
              </w:rPr>
              <w:t xml:space="preserve">Tool Box</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Compound-Question &amp; Under-Ranked-Content Retrieval Fixes</w:t>
      </w:r>
    </w:p>
    <w:p>
      <w:pPr>
        <w:spacing w:after="140"/>
      </w:pPr>
      <w:r>
        <w:t xml:space="preserve">Five commits this session, in order, touching js/retrieval.js, js/preprocessing.js, js/app.js and js/claude.js. No KB/vector/graph file changed — every fix below is pure retrieval/scoring/prompt-construction logic.</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79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Commit</w:t>
            </w:r>
          </w:p>
        </w:tc>
        <w:tc>
          <w:tcPr>
            <w:tcW w:type="dxa" w:w="7960"/>
            <w:shd w:fill="10243A" w:val="clear"/>
            <w:tcMar>
              <w:top w:type="dxa" w:w="80"/>
              <w:left w:type="dxa" w:w="100"/>
              <w:bottom w:type="dxa" w:w="80"/>
              <w:right w:type="dxa" w:w="100"/>
            </w:tcMar>
          </w:tcPr>
          <w:p>
            <w:r>
              <w:rPr>
                <w:b/>
                <w:bCs/>
                <w:color w:val="FFFFFF"/>
                <w:sz w:val="19"/>
                <w:szCs w:val="19"/>
              </w:rPr>
              <w:t xml:space="preserve">What it did</w:t>
            </w:r>
          </w:p>
        </w:tc>
      </w:tr>
      <w:tr>
        <w:tc>
          <w:tcPr>
            <w:tcW w:type="dxa" w:w="1500"/>
            <w:tcMar>
              <w:top w:type="dxa" w:w="80"/>
              <w:left w:type="dxa" w:w="100"/>
              <w:bottom w:type="dxa" w:w="80"/>
              <w:right w:type="dxa" w:w="100"/>
            </w:tcMar>
          </w:tcPr>
          <w:p>
            <w:r>
              <w:rPr>
                <w:b w:val="false"/>
                <w:bCs w:val="false"/>
                <w:sz w:val="19"/>
                <w:szCs w:val="19"/>
              </w:rPr>
              <w:t xml:space="preserve">524e037</w:t>
            </w:r>
          </w:p>
        </w:tc>
        <w:tc>
          <w:tcPr>
            <w:tcW w:type="dxa" w:w="7960"/>
            <w:tcMar>
              <w:top w:type="dxa" w:w="80"/>
              <w:left w:type="dxa" w:w="100"/>
              <w:bottom w:type="dxa" w:w="80"/>
              <w:right w:type="dxa" w:w="100"/>
            </w:tcMar>
          </w:tcPr>
          <w:p>
            <w:r>
              <w:rPr>
                <w:b w:val="false"/>
                <w:bCs w:val="false"/>
                <w:sz w:val="19"/>
                <w:szCs w:val="19"/>
              </w:rPr>
              <w:t xml:space="preserve">Split compound questions into clauses (splitQueryClauses()) so each gets its own retrieval slot — first, narrow fix.</w:t>
            </w:r>
          </w:p>
        </w:tc>
      </w:tr>
      <w:tr>
        <w:tc>
          <w:tcPr>
            <w:tcW w:type="dxa" w:w="1500"/>
            <w:tcMar>
              <w:top w:type="dxa" w:w="80"/>
              <w:left w:type="dxa" w:w="100"/>
              <w:bottom w:type="dxa" w:w="80"/>
              <w:right w:type="dxa" w:w="100"/>
            </w:tcMar>
          </w:tcPr>
          <w:p>
            <w:r>
              <w:rPr>
                <w:b w:val="false"/>
                <w:bCs w:val="false"/>
                <w:sz w:val="19"/>
                <w:szCs w:val="19"/>
              </w:rPr>
              <w:t xml:space="preserve">890f10a</w:t>
            </w:r>
          </w:p>
        </w:tc>
        <w:tc>
          <w:tcPr>
            <w:tcW w:type="dxa" w:w="7960"/>
            <w:tcMar>
              <w:top w:type="dxa" w:w="80"/>
              <w:left w:type="dxa" w:w="100"/>
              <w:bottom w:type="dxa" w:w="80"/>
              <w:right w:type="dxa" w:w="100"/>
            </w:tcMar>
          </w:tcPr>
          <w:p>
            <w:r>
              <w:rPr>
                <w:b w:val="false"/>
                <w:bCs w:val="false"/>
                <w:sz w:val="19"/>
                <w:szCs w:val="19"/>
              </w:rPr>
              <w:t xml:space="preserve">Preserve clause-guaranteed chunks through app.js’s multi-query merge — superseded by 8fdf07e’s broader redesign.</w:t>
            </w:r>
          </w:p>
        </w:tc>
      </w:tr>
      <w:tr>
        <w:tc>
          <w:tcPr>
            <w:tcW w:type="dxa" w:w="1500"/>
            <w:tcMar>
              <w:top w:type="dxa" w:w="80"/>
              <w:left w:type="dxa" w:w="100"/>
              <w:bottom w:type="dxa" w:w="80"/>
              <w:right w:type="dxa" w:w="100"/>
            </w:tcMar>
          </w:tcPr>
          <w:p>
            <w:r>
              <w:rPr>
                <w:b w:val="false"/>
                <w:bCs w:val="false"/>
                <w:sz w:val="19"/>
                <w:szCs w:val="19"/>
              </w:rPr>
              <w:t xml:space="preserve">8fdf07e</w:t>
            </w:r>
          </w:p>
        </w:tc>
        <w:tc>
          <w:tcPr>
            <w:tcW w:type="dxa" w:w="7960"/>
            <w:tcMar>
              <w:top w:type="dxa" w:w="80"/>
              <w:left w:type="dxa" w:w="100"/>
              <w:bottom w:type="dxa" w:w="80"/>
              <w:right w:type="dxa" w:w="100"/>
            </w:tcMar>
          </w:tcPr>
          <w:p>
            <w:r>
              <w:rPr>
                <w:b w:val="false"/>
                <w:bCs w:val="false"/>
                <w:sz w:val="19"/>
                <w:szCs w:val="19"/>
              </w:rPr>
              <w:t xml:space="preserve">Full-pass redesign, per Rene’s explicit direction: preprocessing.js rewritten (deduped searchTerms, stopword-filtered word-picker); app.js’s flat top-5 slice replaced with a round-robin diversity merge; retrieval.js’s own compound-question push-past-cap block removed.</w:t>
            </w:r>
          </w:p>
        </w:tc>
      </w:tr>
      <w:tr>
        <w:tc>
          <w:tcPr>
            <w:tcW w:type="dxa" w:w="1500"/>
            <w:tcMar>
              <w:top w:type="dxa" w:w="80"/>
              <w:left w:type="dxa" w:w="100"/>
              <w:bottom w:type="dxa" w:w="80"/>
              <w:right w:type="dxa" w:w="100"/>
            </w:tcMar>
          </w:tcPr>
          <w:p>
            <w:r>
              <w:rPr>
                <w:b w:val="false"/>
                <w:bCs w:val="false"/>
                <w:sz w:val="19"/>
                <w:szCs w:val="19"/>
              </w:rPr>
              <w:t xml:space="preserve">f870761</w:t>
            </w:r>
          </w:p>
        </w:tc>
        <w:tc>
          <w:tcPr>
            <w:tcW w:type="dxa" w:w="7960"/>
            <w:tcMar>
              <w:top w:type="dxa" w:w="80"/>
              <w:left w:type="dxa" w:w="100"/>
              <w:bottom w:type="dxa" w:w="80"/>
              <w:right w:type="dxa" w:w="100"/>
            </w:tcMar>
          </w:tcPr>
          <w:p>
            <w:r>
              <w:rPr>
                <w:b w:val="false"/>
                <w:bCs w:val="false"/>
                <w:sz w:val="19"/>
                <w:szCs w:val="19"/>
              </w:rPr>
              <w:t xml:space="preserve">Fixed the round-robin merge’s over-eager pre-dedup; added RUBRIC_ENTITY_BOOST; fixed claude.js’s source-label fallback (SCC “Consultant” was showing as “Co-ordinator”).</w:t>
            </w:r>
          </w:p>
        </w:tc>
      </w:tr>
      <w:tr>
        <w:tc>
          <w:tcPr>
            <w:tcW w:type="dxa" w:w="1500"/>
            <w:tcMar>
              <w:top w:type="dxa" w:w="80"/>
              <w:left w:type="dxa" w:w="100"/>
              <w:bottom w:type="dxa" w:w="80"/>
              <w:right w:type="dxa" w:w="100"/>
            </w:tcMar>
          </w:tcPr>
          <w:p>
            <w:r>
              <w:rPr>
                <w:b w:val="false"/>
                <w:bCs w:val="false"/>
                <w:sz w:val="19"/>
                <w:szCs w:val="19"/>
              </w:rPr>
              <w:t xml:space="preserve">cf11da5</w:t>
            </w:r>
          </w:p>
        </w:tc>
        <w:tc>
          <w:tcPr>
            <w:tcW w:type="dxa" w:w="7960"/>
            <w:tcMar>
              <w:top w:type="dxa" w:w="80"/>
              <w:left w:type="dxa" w:w="100"/>
              <w:bottom w:type="dxa" w:w="80"/>
              <w:right w:type="dxa" w:w="100"/>
            </w:tcMar>
          </w:tcPr>
          <w:p>
            <w:r>
              <w:rPr>
                <w:b w:val="false"/>
                <w:bCs w:val="false"/>
                <w:sz w:val="19"/>
                <w:szCs w:val="19"/>
              </w:rPr>
              <w:t xml:space="preserve">Added GRANTING_CRITERIA_BOOST for the Triple 85 threshold chunk, under-ranked at #17 of 500 for a direct “granting criteria” query.</w:t>
            </w:r>
          </w:p>
        </w:tc>
      </w:tr>
    </w:tbl>
    <w:p>
      <w:pPr>
        <w:spacing w:after="140"/>
      </w:pPr>
      <w:r>
        <w:t xml:space="preserve">Trigger: Rene live-tested “What are the granting criteria and what does SQEP stand for?” and directly corrected an early answer (“this answer isnt really correct, it should know the scoring”). Two narrow fixes each solved their immediate symptom but left the next one undiscovered — prompting Rene’s explicit instruction: “can you do a full pass, rather than fixing the problem to look as a whole then fix.”</w:t>
      </w:r>
    </w:p>
    <w:p>
      <w:pPr>
        <w:spacing w:after="140"/>
      </w:pPr>
      <w:r>
        <w:t xml:space="preserve">Full-pass redesign (8fdf07e): preprocessing.js was rewritten — its searchTerms array previously included the original query twice (rewrittenQueries[0] was already a copy of query, never deduped), wasting 2 of app.js’s 3 parallel search slots on identical calls; its word-picker fallback had no stopword exclusion, so a word like “what” could occupy a slot ahead of the query’s actual subject. retrieval.js’s own “compound-question coverage” push-past-cap block was removed entirely, and app.js’s merge step — previously a flat allResults.sort().slice(0, maxSources) that let one search term’s results silently crowd out another’s — was replaced with a round-robin merge across each search term’s own results.</w:t>
      </w:r>
    </w:p>
    <w:p>
      <w:pPr>
        <w:spacing w:after="140"/>
      </w:pPr>
      <w:r>
        <w:t xml:space="preserve">Two more real bugs, found live-testing the redesign once deployed (f870761): the round-robin merge’s own pre-dedup step was over-eager — one shared claimed-set applied in fixed term order before round-robin ran let a later term’s results get stripped down before round-robin reached them, dropping a genuinely relevant chunk (the Fourth Granting Criterion, id b3b0d66ba2a6) out of the final five entirely. Fixed by removing the pre-dedup and relying solely on round-robin’s own claimed set. Separately: real hybrid (vector) scoring ranked the actual SQEP-definition rubric chunk (the 0/2/7/10 “Option Score” bands) #46 of 500 for “what does SQEP stand for?” — confirmed via direct searchKnowledgeBase() calls against the real embeddings, not simulated — because a scoring-rubric table reads semantically as an assessment artefact, not a definition. Fixed with RUBRIC_ENTITY_BOOST (+6.0, additive): boosts a hasScoringRubric() chunk only when the query and the chunk share the literal same F4N_ALIASES term — a looser “same pillar” version tried first pulled in unrelated rubric chunks and displaced the plain definition entirely, so it was tightened to require the exact same alias term on both sides.</w:t>
      </w:r>
    </w:p>
    <w:p>
      <w:pPr>
        <w:spacing w:after="140"/>
      </w:pPr>
      <w:r>
        <w:t xml:space="preserve">Also found and fixed in the same pass (f870761): claude.js’s source-label fallback chain (s.title || s.source || ‘KB’) never matched any field a chunk object actually carries — every chunk’s real keys are id/source_file/section/category/…, no .title or .source at all — so every source shown to Claude was labelled the bare string “KB” with no filename. A very plausible root cause for Rene’s live-observed “Supply Chain Co-ordinator” (a plausible-sounding guess) in place of the KB’s consistent “Supply Chain Consultant” (confirmed 30/30 matching chunks say “Consultant,” none say “Co-ordinator”) — one of the retrieved sources for that exact query was literally titled “F4N Supply Chain Consultant Training Manual,” but the model never saw the filename. Fixed by adding .source_file to the fallback chain and appending .section for extra grounding.</w:t>
      </w:r>
    </w:p>
    <w:p>
      <w:pPr>
        <w:spacing w:after="140"/>
      </w:pPr>
      <w:r>
        <w:t xml:space="preserve">Rene then asked to regression-test the two sub-questions independently (“try and ask the questions seporatly … you are asking 2 questions”) — both passed clean in the live chat UI: no compound-query artefacts leaking into single-topic retrieval, and the SCC label fix held.</w:t>
      </w:r>
    </w:p>
    <w:p>
      <w:pPr>
        <w:pStyle w:val="Heading2"/>
        <w:spacing w:after="120" w:before="260"/>
      </w:pPr>
      <w:r>
        <w:t xml:space="preserve">Granting-Criteria Threshold Under-Ranking (GRANTING_CRITERIA_BOOST)</w:t>
      </w:r>
    </w:p>
    <w:p>
      <w:pPr>
        <w:spacing w:after="140"/>
      </w:pPr>
      <w:r>
        <w:t xml:space="preserve">Rene then live-tested “What are the granting criteria?” directly and flagged that the answer hedged on the exact numbers despite the KB having them (“the triple 3 are in the criteria or should be”). Same root-cause pattern as RUBRIC_ENTITY_BOOST above: direct searchKnowledgeBase() calls against the real deployed KB found the chunk stating the numbers verbatim — “85%+ overall Business Excellence score / 85%+ QHSE score / 85%+ of action plan completed with evidence” (frankie7_supplier_kb.json, “Pre-Conditions That Must Be Met Before Initiating Pre-Granting”) — ranked #17 of 500. Its own text never uses the word “criteria”; it’s phrased as a checklist, so neither keyword nor vector scoring favoured it over chunks that merely talk about granting in general.</w:t>
      </w:r>
    </w:p>
    <w:p>
      <w:pPr>
        <w:spacing w:after="140"/>
      </w:pPr>
      <w:r>
        <w:t xml:space="preserve">Fixed with a second targeted boost, GRANTING_CRITERIA_BOOST (+6.0, additive, same magnitude as RUBRIC_ENTITY_BOOST): detects a chunk by its distinctive “NN%+” threshold-list signature (≥2 such thresholds — checked against the whole live KB, matches exactly the 2 chunks in the entire corpus that actually state the Triple 85 numbers, zero false positives) and fires only when the query is asking about granting criteria or names “Triple 85” directly. Simulated against real unboosted scores before deploying — both threshold chunks moved from rank 17/43 into the top 5. Deployed (cf11da5) and confirmed via 6 own regression checks run directly against searchKnowledgeBase() (SQEP, granting criteria, QHSE, action-plan submission, a plain percentage-phrased question, and an unrelated “tell me about the team” query — no false positives on any of them), plus a live chat re-test of both the standalone and the original compound query, both now stating the exact 85% figures.</w:t>
      </w:r>
    </w:p>
    <w:p>
      <w:pPr>
        <w:spacing w:after="140"/>
      </w:pPr>
      <w:r>
        <w:rPr>
          <w:i/>
          <w:iCs/>
        </w:rPr>
        <w:t xml:space="preserve">Also worth noting, not fixed — found while reading the pipeline closely for the work above: groq.js’s enhanceWithGroq() (listed in §3’s API Stack table as handling “query preprocessing: intent classification, query rewriting”) has no caller anywhere in app.js or preprocessing.js — grep across every js/*.js file in the repo found zero call sites. Preprocessing is, and has been, done entirely locally (regex intent detection, local word-picker/clause-splitter); §3’s table describes the code’s evident intent, not what actually executes. Not a regression from this session’s work — a pre-existing gap only surfaced because this session was reading these three files closely. New open item, §9.</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pStyle w:val="Heading2"/>
      </w:pPr>
      <w:r>
        <w:t>Closed since v12</w:t>
      </w:r>
    </w:p>
    <w:p>
      <w:pPr>
        <w:pStyle w:val="ListParagraph"/>
      </w:pPr>
      <w:r>
        <w:t>Nuclear Engineering Mode for chat — built and shipped: a site-wide, SCC-controlled Supabase flag (nr_site_settings.nuclear_mode_enabled, fail-closed) now gates the previously-dormant isNuclearQuery() detector in retrieval.js, so the 61,374-chunk reactors KB can be opted into default chat retrieval without changing the F4N-member soft-launch default for anyone who hasn’t turned it on (§4). The toggle lives in scc.html’s existing Website Features panel alongside NuclearReady Profile and Frankie Link. A pre-existing bug in that same panel — the save toast always read “NuclearReady Profile…” regardless of which flag had actually changed — was found and fixed in passing.</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2800"/>
            <w:tcMar>
              <w:top w:type="dxa" w:w="80"/>
              <w:left w:type="dxa" w:w="100"/>
              <w:bottom w:type="dxa" w:w="80"/>
              <w:right w:type="dxa" w:w="100"/>
            </w:tcMar>
          </w:tcPr>
          <w:p>
            <w:r>
              <w:t xml:space="preserve">nr_quiz_completions Supabase table still not created</w:t>
            </w:r>
          </w:p>
        </w:tc>
        <w:tc>
          <w:tcPr>
            <w:tcW w:type="dxa" w:w="6260"/>
            <w:tcMar>
              <w:top w:type="dxa" w:w="80"/>
              <w:left w:type="dxa" w:w="100"/>
              <w:bottom w:type="dxa" w:w="80"/>
              <w:right w:type="dxa" w:w="100"/>
            </w:tcMar>
          </w:tcPr>
          <w:p>
            <w:r>
              <w:t xml:space="preserve">Carried from v17, unchanged: confirmed via a live 404 on nr_quiz_completions?select=*&amp;order=completed_at.desc during v17’s SCC Training Register testing. Nothing this session addressed it; both the member-side quiz completion logging and the SCC-side Training Register (v17 §7) continue to show empty/error gracefully rather than real data until the SQL migration (frankie/sql/nr_quiz_completions.sql) is run against the live Supabase project (qkyvmtouwrzrcyagkheo).</w:t>
            </w:r>
          </w:p>
        </w:tc>
      </w:tr>
      <w:tr>
        <w:tc>
          <w:tcPr>
            <w:tcW w:type="dxa" w:w="500"/>
            <w:tcMar>
              <w:top w:type="dxa" w:w="80"/>
              <w:left w:type="dxa" w:w="100"/>
              <w:bottom w:type="dxa" w:w="80"/>
              <w:right w:type="dxa" w:w="100"/>
            </w:tcMar>
          </w:tcPr>
          <w:p>
            <w:r>
              <w:rPr>
                <w:b w:val="false"/>
                <w:bCs w:val="false"/>
                <w:sz w:val="19"/>
                <w:szCs w:val="19"/>
              </w:rPr>
              <w:t xml:space="preserve">10</w:t>
            </w:r>
          </w:p>
        </w:tc>
        <w:tc>
          <w:tcPr>
            <w:tcW w:type="dxa" w:w="2800"/>
            <w:tcMar>
              <w:top w:type="dxa" w:w="80"/>
              <w:left w:type="dxa" w:w="100"/>
              <w:bottom w:type="dxa" w:w="80"/>
              <w:right w:type="dxa" w:w="100"/>
            </w:tcMar>
          </w:tcPr>
          <w:p>
            <w:r>
              <w:t xml:space="preserve">Frankie’s live chat gives a wrong/evasive answer to portal-mechanics questions</w:t>
            </w:r>
          </w:p>
        </w:tc>
        <w:tc>
          <w:tcPr>
            <w:tcW w:type="dxa" w:w="6260"/>
            <w:tcMar>
              <w:top w:type="dxa" w:w="80"/>
              <w:left w:type="dxa" w:w="100"/>
              <w:bottom w:type="dxa" w:w="80"/>
              <w:right w:type="dxa" w:w="100"/>
            </w:tcMar>
          </w:tcPr>
          <w:p>
            <w:r>
              <w:t xml:space="preserve">New this version: e.g. asking “How do I create an action plan in the portal?” in the actual Frankie chat (not the FAQ sidebar) returns something like “I don’t have source data on how to use the F4N portal itself… contact the F4N programme team directly”, despite the real Portal User Guide (Feed_Frankie/Portal/NucCol Portal User Guide v1 040625.docx) existing as source material. Rene: “the corpus has the portal training guide and its not technical” — pointing at a retrieval/KB-partition/routing problem (the guide may never have been built into any of the 5 KB partitions, or a refusal/routing pattern may be intercepting portal-mechanics queries), not a missing-content problem. Distinct from the FAQ sidebar fix (§7), which only touched the hardcoded fast-path answers, not live chat retrieval. Not yet investigated — diagnosis has not started.</w:t>
            </w:r>
          </w:p>
        </w:tc>
      </w:tr>
      <w:tr>
        <w:tc>
          <w:tcPr>
            <w:tcW w:type="dxa" w:w="500"/>
            <w:tcMar>
              <w:top w:type="dxa" w:w="80"/>
              <w:left w:type="dxa" w:w="100"/>
              <w:bottom w:type="dxa" w:w="80"/>
              <w:right w:type="dxa" w:w="100"/>
            </w:tcMar>
          </w:tcPr>
          <w:p>
            <w:r>
              <w:rPr>
                <w:b w:val="false"/>
                <w:bCs w:val="false"/>
                <w:sz w:val="19"/>
                <w:szCs w:val="19"/>
              </w:rPr>
              <w:t xml:space="preserve">11</w:t>
            </w:r>
          </w:p>
        </w:tc>
        <w:tc>
          <w:tcPr>
            <w:tcW w:type="dxa" w:w="2800"/>
            <w:tcMar>
              <w:top w:type="dxa" w:w="80"/>
              <w:left w:type="dxa" w:w="100"/>
              <w:bottom w:type="dxa" w:w="80"/>
              <w:right w:type="dxa" w:w="100"/>
            </w:tcMar>
          </w:tcPr>
          <w:p>
            <w:r>
              <w:t xml:space="preserve">FAQ evidence-mapping gap — CFSI and SQEP evidence entries</w:t>
            </w:r>
          </w:p>
        </w:tc>
        <w:tc>
          <w:tcPr>
            <w:tcW w:type="dxa" w:w="6260"/>
            <w:tcMar>
              <w:top w:type="dxa" w:w="80"/>
              <w:left w:type="dxa" w:w="100"/>
              <w:bottom w:type="dxa" w:w="80"/>
              <w:right w:type="dxa" w:w="100"/>
            </w:tcMar>
          </w:tcPr>
          <w:p>
            <w:r>
              <w:t xml:space="preserve">New this version: two FAQ entries (evidence for CFSI, evidence for SQEP) were deliberately left without a specific confirmed pillar/section mapping in this session’s rewrite (§7), because no verified source ties them to one specific BE/F4N section. Kept generically useful rather than inventing a mapping — a genuine, acknowledged content gap, not an oversight. Revisit if/when a source confirms where they sit.</w:t>
            </w:r>
          </w:p>
        </w:tc>
      </w:tr>
      <w:tr>
        <w:tc>
          <w:tcPr>
            <w:tcW w:type="dxa" w:w="500"/>
            <w:tcMar>
              <w:top w:type="dxa" w:w="80"/>
              <w:left w:type="dxa" w:w="100"/>
              <w:bottom w:type="dxa" w:w="80"/>
              <w:right w:type="dxa" w:w="100"/>
            </w:tcMar>
          </w:tcPr>
          <w:p>
            <w:r>
              <w:rPr>
                <w:b w:val="false"/>
                <w:bCs w:val="false"/>
                <w:sz w:val="19"/>
                <w:szCs w:val="19"/>
              </w:rPr>
              <w:t xml:space="preserve">12</w:t>
            </w:r>
          </w:p>
        </w:tc>
        <w:tc>
          <w:tcPr>
            <w:tcW w:type="dxa" w:w="2800"/>
            <w:tcMar>
              <w:top w:type="dxa" w:w="80"/>
              <w:left w:type="dxa" w:w="100"/>
              <w:bottom w:type="dxa" w:w="80"/>
              <w:right w:type="dxa" w:w="100"/>
            </w:tcMar>
          </w:tcPr>
          <w:p>
            <w:r>
              <w:t xml:space="preserve">REGS_CATEGORY_ALLOWLIST client-side filter now a redundant no-op</w:t>
            </w:r>
          </w:p>
        </w:tc>
        <w:tc>
          <w:tcPr>
            <w:tcW w:type="dxa" w:w="6260"/>
            <w:tcMar>
              <w:top w:type="dxa" w:w="80"/>
              <w:left w:type="dxa" w:w="100"/>
              <w:bottom w:type="dxa" w:w="80"/>
              <w:right w:type="dxa" w:w="100"/>
            </w:tcMar>
          </w:tcPr>
          <w:p>
            <w:r>
              <w:t xml:space="preserve">New this version, low priority: the live regs KB blob files are now the narrowed build themselves (§4/§7), so the client-side REGS_CATEGORY_ALLOWLIST filter in retrieval.js runs against already-filtered data. Could be removed now that filtering is baked into the deployed file, but isn’t currently causing any problem.</w:t>
            </w:r>
          </w:p>
        </w:tc>
      </w:tr>
      <w:tr>
        <w:tc>
          <w:tcPr>
            <w:tcW w:type="dxa" w:w="500"/>
            <w:tcMar>
              <w:top w:type="dxa" w:w="80"/>
              <w:left w:type="dxa" w:w="100"/>
              <w:bottom w:type="dxa" w:w="80"/>
              <w:right w:type="dxa" w:w="100"/>
            </w:tcMar>
          </w:tcPr>
          <w:p>
            <w:r>
              <w:rPr>
                <w:b w:val="false"/>
                <w:bCs w:val="false"/>
                <w:sz w:val="19"/>
                <w:szCs w:val="19"/>
              </w:rPr>
              <w:t xml:space="preserve">13</w:t>
            </w:r>
          </w:p>
        </w:tc>
        <w:tc>
          <w:tcPr>
            <w:tcW w:type="dxa" w:w="2800"/>
            <w:tcMar>
              <w:top w:type="dxa" w:w="80"/>
              <w:left w:type="dxa" w:w="100"/>
              <w:bottom w:type="dxa" w:w="80"/>
              <w:right w:type="dxa" w:w="100"/>
            </w:tcMar>
          </w:tcPr>
          <w:p>
            <w:r>
              <w:t xml:space="preserve">Stale code comment above REGS_CATEGORY_ALLOWLIST</w:t>
            </w:r>
          </w:p>
        </w:tc>
        <w:tc>
          <w:tcPr>
            <w:tcW w:type="dxa" w:w="6260"/>
            <w:tcMar>
              <w:top w:type="dxa" w:w="80"/>
              <w:left w:type="dxa" w:w="100"/>
              <w:bottom w:type="dxa" w:w="80"/>
              <w:right w:type="dxa" w:w="100"/>
            </w:tcMar>
          </w:tcPr>
          <w:p>
            <w:r>
              <w:t xml:space="preserve">New this version, trivial: the comment says the filter “drops… cyber_security”, but the allowlist actually keeps cyber_security (matches the narrowed build’s kb_version: frankie_regs_v2_narrowed_plus_cyber tag). Found in passing (§7), not yet fixed.</w:t>
            </w:r>
          </w:p>
        </w:tc>
      </w:tr>
    </w:tbl>
    <w:p>
      <w:pPr>
        <w:pStyle w:val="Heading2"/>
        <w:spacing w:after="120" w:before="260"/>
      </w:pPr>
      <w:r>
        <w:t xml:space="preserve">Correction (v20) — 5 of the numbered items above were already closed</w:t>
      </w:r>
    </w:p>
    <w:p>
      <w:pPr>
        <w:spacing w:after="140"/>
      </w:pPr>
      <w:r>
        <w:t xml:space="preserve">Found by re-checking each item directly against the live code and live app, not against what a prior blueprint version said. The numbered table above is left as-is (historical record of when each item was opened); treat the 5 items below as closed, per this correction, regardless of what the table says.</w:t>
      </w:r>
    </w:p>
    <w:p>
      <w:pPr>
        <w:pStyle w:val="ListParagraph"/>
      </w:pPr>
      <w:r>
        <w:t xml:space="preserve">#3 Nuclear Engineering Mode for chat — already closed (built and shipped at v12; see “Closed since v12” below, which this table entry directly contradicted). Confirmed live in the current code: isNuclearModeEnabled() (js/retrieval.js) checks the nr_site_settings.nuclear_mode_enabled flag and is wired into searchKnowledgeBase() (const nuclear = (await isNuclearModeEnabled()) &amp;&amp; isNuclearQuery(query)).</w:t>
      </w:r>
    </w:p>
    <w:p>
      <w:pPr>
        <w:pStyle w:val="ListParagraph"/>
      </w:pPr>
      <w:r>
        <w:t xml:space="preserve">#4 plant-drawer.js vs. plant-explorer-drawer.js data fork — closed 2026-09-09 (commit 17c1142), before v16 (11 Sept) was even issued. js/plant-drawer.js’s DATA_FILE now reads images/plant-explorer/plant_tree_v2.json directly — the same reactor-mapped tree plant-explorer-drawer.js uses — with a code comment recording the fix in place. Not a v19 regression or new finding; simply never corrected in the blueprint across 4 versions.</w:t>
      </w:r>
    </w:p>
    <w:p>
      <w:pPr>
        <w:pStyle w:val="ListParagraph"/>
      </w:pPr>
      <w:r>
        <w:t xml:space="preserve">#6 Evidence Vault — show existing uploads on reopen — already built. js/evidence-vault-drawer.js’s loadExistingUploads() lists every uploaded file from the user’s Supabase Storage path, restores question-tagged uploads to their original question via a Q{n}__ filename convention, and surfaces untagged legacy uploads at section level. Carried forward as open, unchanged, since v9.</w:t>
      </w:r>
    </w:p>
    <w:p>
      <w:pPr>
        <w:pStyle w:val="ListParagraph"/>
      </w:pPr>
      <w:r>
        <w:t xml:space="preserve">#7 ISO 19443 → SCC backend POST — closed via a different mechanism than the one originally scoped, which is presumably why it read as still-open: no separate backend POST endpoint / Azure AD / Entra SSO integration was built or is needed. Instead, js/iso19443-drawer.js POSTs results straight to the member’s own Supabase Storage path (_iso19443.json), and scc.html already reads that same object directly via a signed URL (createSignedUrl(`${userId}/_iso19443.json`, 60), 2 call sites) — the SCC side gets the data without a bespoke API.</w:t>
      </w:r>
    </w:p>
    <w:p>
      <w:pPr>
        <w:pStyle w:val="ListParagraph"/>
      </w:pPr>
      <w:r>
        <w:t xml:space="preserve">#10 Frankie’s live chat gives a wrong/evasive answer to portal-mechanics questions — re-tested live just now (“How do I create an action plan in the portal?”): Frankie now gives a correct, detailed, step-by-step answer citing the real NucCol Portal User Guide v1 040625 and NucCol Action Plan Guidance v1 040625 by name. Very plausibly a side effect of this session’s retrieval-pipeline work (§7 in v19) rather than a fix targeted at this specific query — not confirmed which change closed it, only that it’s closed now.</w:t>
      </w:r>
    </w:p>
    <w:p>
      <w:pPr>
        <w:spacing w:after="140"/>
      </w:pPr>
      <w:r>
        <w:t xml:space="preserve">The remaining 8 numbered items were not independently re-verified this version — several (#1 BOM/DSE row count, #2 materials bulk-mapping, #5 GW/SMR rollup wiring, #8 systematic FSAR-boilerplate check) are data-pipeline facts that would need their build scripts actually re-run to confirm one way or the other, not just a code read. #9 (nr_quiz_completions table), #11 (FAQ evidence-mapping gap) and #12/#13 (REGS_CATEGORY_ALLOWLIST no-op and its stale comment) were spot-checked in the code this version and still look accurate as described — the stale comment above REGS_CATEGORY_ALLOWLIST in js/retrieval.js, for instance, still says the filter “drops… cyber_security” while the allowlist itself keeps it, exactly as v18 described.</w:t>
      </w:r>
    </w:p>
    <w:p>
      <w:pPr>
        <w:pStyle w:val="Heading2"/>
      </w:pPr>
      <w:r>
        <w:t>Closed since v13</w:t>
      </w:r>
    </w:p>
    <w:p>
      <w:pPr>
        <w:pStyle w:val="ListParagraph"/>
      </w:pPr>
      <w:r>
        <w:t>Features B, C &amp; F — BE pilot built and live-tested: a shared nr_evidence_analysis table plus AI-analysis engine (Claude reads an uploaded PDF/image via the existing /claude/* Worker route and scores it against assessment-drawer.js’s own rubric) now backs an “AI review” button in the Evidence Vault drawer (Feature F, company-facing), an override control on scc.html’s Evidence tab (Feature B, SCC-facing), and a new Pre-OSV Pack tab grouping results into the 6 BE sections, sorted worst-score-first (Feature C). Live-tested against a real test company (TestCorp Ltd) across 4 Strategy &amp; Leadership questions — the AI correctly distinguished a genuinely weak strategic plan (scored 0) from strong evidence (scored 7, capped below 10 for lacking primary-source attachments) rather than rubber-stamping every upload.</w:t>
      </w:r>
    </w:p>
    <w:p>
      <w:pPr>
        <w:pStyle w:val="ListParagraph"/>
      </w:pPr>
      <w:r>
        <w:t>evOpenFile bug — fixed: both call sites (company Evidence tab, supplier-intel file list) assumed this function existed; it was never defined anywhere in scc.html, so opening a company’s evidence file silently failed. Found while testing the pilot above.</w:t>
      </w:r>
    </w:p>
    <w:p>
      <w:pPr>
        <w:pStyle w:val="Heading2"/>
      </w:pPr>
      <w:r>
        <w:t>Closed since v14</w:t>
      </w:r>
    </w:p>
    <w:p>
      <w:pPr>
        <w:pStyle w:val="ListParagraph"/>
      </w:pPr>
      <w:r>
        <w:t>Known Gap — No Per-Question Self-Assessment Persistence — resolved (§7): new nr_self_assessment_answers table persists every self-declared answer per question; the Results screen now shows the self-declared-vs-AI comparison this gap had blocked, at section level.</w:t>
      </w:r>
    </w:p>
    <w:p>
      <w:pPr>
        <w:pStyle w:val="ListParagraph"/>
      </w:pPr>
      <w:r>
        <w:t>Self-assessment/Evidence Vault cross-link — built (§7): bidirectional navigation between the two tools, uploaded-evidence visibility on the assessment screen, and the F4N Portal Score Guide.</w:t>
      </w:r>
    </w:p>
    <w:p>
      <w:pPr>
        <w:pStyle w:val="ListParagraph"/>
      </w:pPr>
      <w:r>
        <w:t>No sign-out control — fixed (§7): Frankie could authenticate but never de-authenticate.</w:t>
      </w:r>
    </w:p>
    <w:p>
      <w:pPr>
        <w:pStyle w:val="ListParagraph"/>
      </w:pPr>
      <w:r>
        <w:t>Evidence Vault delete buttons dead on initial render — fixed (§7): dead code referencing an undefined function, not a design choice.</w:t>
      </w:r>
    </w:p>
    <w:p>
      <w:pPr>
        <w:pStyle w:val="Heading2"/>
      </w:pPr>
      <w:r>
        <w:t>Closed since v15</w:t>
      </w:r>
    </w:p>
    <w:p>
      <w:pPr>
        <w:pStyle w:val="ListParagraph"/>
      </w:pPr>
      <w:r>
        <w:t>Feature E (Compliance Training Quizzes) — two of four topics built (§7): Cyber Essentials and GDPR, each ten real scenario questions with immediate feedback, reasoning, and a source citation. Export Control and Modern Slavery sourced but not yet authored into quiz questions.</w:t>
      </w:r>
    </w:p>
    <w:p>
      <w:pPr>
        <w:pStyle w:val="ListParagraph"/>
      </w:pPr>
      <w:r>
        <w:t>Feature D (SQEP) sourcing — real source material found and sorted (§7); the diagnostic itself remains unbuilt, blocked on the same scope-of-work table and structured requirement tagging noted below — sourcing was never the blocker, structuring is.</w:t>
      </w:r>
    </w:p>
    <w:p>
      <w:pPr>
        <w:pStyle w:val="ListParagraph"/>
      </w:pPr>
      <w:r>
        <w:t>“Learn about” companion view — built (§7), generic across topics, real content authored for Cyber Essentials.</w:t>
      </w:r>
    </w:p>
    <w:p>
      <w:pPr>
        <w:pStyle w:val="ListParagraph"/>
      </w:pPr>
      <w:r>
        <w:t>Menu restructure — built (§7): Assessments, Tools, and Compliance and Training replace the old Compliance &amp; Evidence grab-bag; Toolbox Builder renamed Tool Box.</w:t>
      </w:r>
    </w:p>
    <w:p>
      <w:pPr>
        <w:pStyle w:val="Heading2"/>
        <w:spacing w:after="120" w:before="260"/>
      </w:pPr>
      <w:r>
        <w:t xml:space="preserve">New in v19</w:t>
      </w:r>
    </w:p>
    <w:p>
      <w:pPr>
        <w:pStyle w:val="ListParagraph"/>
      </w:pPr>
      <w:r>
        <w:t xml:space="preserve">Compound-question / under-ranked-content retrieval gap — closed: the SQEP-definition and granting-criteria under-ranking issues described in §7, fixed across 5 commits (524e037 → cf11da5), live-tested standalone and compound. Distinct from Open To-Do #10 below (the portal-mechanics chat bug) — not the same query, not touched this session, flagged explicitly so it isn’t assumed closed by proximity.</w:t>
      </w:r>
    </w:p>
    <w:p>
      <w:pPr>
        <w:pStyle w:val="ListParagraph"/>
      </w:pPr>
      <w:r>
        <w:t xml:space="preserve">groq.js dead code (§7): enhanceWithGroq() is not called anywhere in the live pipeline — preprocessing.js does query rewriting/intent detection locally instead. No functional impact (groq.js’s own FALLBACK_RESULT design means nothing would break if it were wired in or removed), but §3’s API Stack table currently describes Groq as doing work it doesn’t do. Low priority: either wire it in for real or remove it and correct §3’s table — Rene’s call.</w:t>
      </w:r>
    </w:p>
    <w:p>
      <w:pPr>
        <w:pStyle w:val="ListParagraph"/>
      </w:pPr>
      <w:r>
        <w:t xml:space="preserve">GRANTING_CRITERIA_BOOST phrasing coverage: a differently-worded version of the same underlying question (“What percentage do I need for Business Excellence?”) does not trigger the new boost — checked directly, no false positive, but also no boost, since it doesn’t contain “grant”+“criteri” or “triple 85.” Not a bug in the fix Rene actually tested and asked for; broader phrasing coverage is a possible future refinement if this comes up again.</w:t>
      </w:r>
    </w:p>
    <w:p>
      <w:pPr>
        <w:pStyle w:val="Heading1"/>
        <w:spacing w:after="160" w:before="360"/>
      </w:pPr>
      <w:r>
        <w:t xml:space="preserve">10. Planned Features — Next Phase (carried from v9, unchanged)</w:t>
      </w:r>
    </w:p>
    <w:p>
      <w:pPr>
        <w:spacing w:after="140"/>
      </w:pPr>
      <w:r>
        <w:t>As of v13, no evidence any of the following six had been started. This version changes that for three of them: B, C and F now have a working BE pilot (§9, “Closed since v13”). D and E remain unstarted (historical, as of v14) — as of v16, D has real source material but no build yet, and E has two of its four topics built (§7, §9); see the Feature D/E paragraphs and updated prerequisites below rather than treating this sentence as current status.</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AI-powered analysis of uploaded evidence on the SCC side — suggested score + rationale, evidence summary, prep notes, SCC override field — pre-populating a scoring interface so the SCC arrives at a meeting already informed. BE pilot built 2026-09-10 (§9): SCC now sees the suggested score + rationale on the Evidence tab with a working override field. F4N is not yet covered — nr_evidence_analysis itself remains BE-only. Self-assessment answer persistence (§7, §9) now covers both be and f4n assessment_type values, so this is purely an evidence-analysis gap, not a persistence one.</w:t>
      </w:r>
    </w:p>
    <w:p>
      <w:pPr>
        <w:pStyle w:val="Heading3"/>
        <w:spacing w:after="100" w:before="200"/>
      </w:pPr>
      <w:r>
        <w:t xml:space="preserve">Feature C — Pre-OSV &amp; Pre-Meeting Pack</w:t>
      </w:r>
    </w:p>
    <w:p>
      <w:pPr>
        <w:spacing w:after="140"/>
      </w:pPr>
      <w:r>
        <w:t>A personalised intelligence pack for both sides before any meeting/OSV — gap checklist and prep guide for the company, submission summary and flagged risk areas for the SCC. Depends on Feature B. BE pilot built 2026-09-10 (§9) as a Pre-OSV Pack tab on the company profile — reads the same AI-analysis rows as B, grouped by BE section, sorted worst-score-first. As of 2026-09-11 (§7) the Results screen of the self-assessment now shows a section-level self-declared-vs-AI comparison, closing the gap noted below — the Pre-OSV Pack tab itself still shows the AI read on its own merit; folding the same comparison into that tab directly is a natural next step, not yet done.</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 Source material sourced and sorted 2026-09-11 (§7) — the codebase already has extensive SQEP content (10+ toolbox docs, several ONR Technical Assessment Guides); the blocker remains the scope-of-work table and structured requirement tagging described below, not content sourcing.</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 Two of four built 2026-09-11 (§7): Cyber Essentials and GDPR, each ten scenario questions with immediate feedback and a reasoning layer, sourced directly from NCSC’s and ICO’s own guidance. Completions log to nr_quiz_completions per attempt; the SCC-side view/export register itself is not yet built — only the underlying data exists.</w:t>
      </w:r>
    </w:p>
    <w:p>
      <w:pPr>
        <w:pStyle w:val="Heading3"/>
        <w:spacing w:after="100" w:before="200"/>
      </w:pPr>
      <w:r>
        <w:t xml:space="preserve">Feature F — Document Upload &amp; Review</w:t>
      </w:r>
    </w:p>
    <w:p>
      <w:pPr>
        <w:spacing w:after="140"/>
      </w:pPr>
      <w:r>
        <w:t>Replaces companies getting confident-but-wrong feedback from generic AI tools with review grounded in verified F4N criteria — same Ownership Principle as Feature A, with an iterative upload/review/improve/re-upload loop and an SCC pre-read summary. BE pilot built 2026-09-10 (§9) as an “AI review” button in the Evidence Vault drawer — the company sees the same suggested score + rationale SCC sees. A live test (TestCorp Ltd) showed the AI applying real scrutiny — a vague strategic plan scored 0, not a generous default.</w:t>
      </w:r>
    </w:p>
    <w:p>
      <w:pPr>
        <w:pStyle w:val="Heading2"/>
      </w:pPr>
      <w:r>
        <w:t>Former Gap — No Per-Question Self-Assessment Persistence (found 2026-09-10, closed 2026-09-11)</w:t>
      </w:r>
    </w:p>
    <w:p>
      <w:r>
        <w:t>Resolved (§7): assessment-drawer.js now persists every answer to a new nr_self_assessment_answers table, keyed per (company, assessment_type, section, q). The self-declared-vs-AI-score comparison this gap blocked now exists on the Results screen, at section level rather than per-question (“it doesn’t need every question, just the sections,” per Rene) — the same comparison the SCC Training Manual’s Pre-OSV Checklist (Feed_Frankie/F4N/SSC_Onboarding) describes SCC doing manually today, flagging any self-score of 7 or 10 that looks implausible. Not yet done: folding this same comparison into the Pre-OSV Pack tab itself (Feature C, above still shows only the AI read there).</w:t>
      </w:r>
    </w:p>
    <w:p>
      <w:pPr>
        <w:pStyle w:val="Heading2"/>
      </w:pPr>
      <w:r>
        <w:t>Build Prerequisites — Features D &amp; E (scoped 10 September 2026)</w:t>
      </w:r>
    </w:p>
    <w:p>
      <w:r>
        <w:t>Scoped against the current codebase rather than re-describing the original v9 feature text — the two features below need genuinely different things before either is buildable, so they’re broken out here instead of left as a single “not started” line.</w:t>
      </w:r>
    </w:p>
    <w:p>
      <w:pPr>
        <w:pStyle w:val="Heading3"/>
      </w:pPr>
      <w:r>
        <w:t>Feature D prerequisites — earlier-stage than it looks</w:t>
      </w:r>
    </w:p>
    <w:p>
      <w:r>
        <w:t>Two things the diagnostic depends on don’t exist yet. (1) Scope-of-work data: no table captures what a company actually does. nr_companies (queried in due-diligence-drawer.js) stores only name/status; the Evidence Vault’s profile blob (Supabase Storage, not a DB table) holds just the company name; cqp-drawer.js has a scopeOfSupply field, but it’s transient UI state saved only to localStorage, never to Supabase. A structured scope-of-work table is needed before any gap analysis has something to compare against. (2) SQEP content in the KB: SQEP exists only as a search-routing alias in retrieval.js (it steers the term toward the “people excellence” F4N category) — there is no SQEP-tagged, structured requirement set in any KB partition to diagnose gaps against. Recommendation: treat as two smaller prerequisite projects (scope-of-work capture; SQEP KB tagging) before scoping the diagnostic logic itself.</w:t>
      </w:r>
    </w:p>
    <w:p>
      <w:pPr>
        <w:pStyle w:val="Heading3"/>
      </w:pPr>
      <w:r>
        <w:t>Feature E prerequisites — more tractable, one external blocker</w:t>
      </w:r>
    </w:p>
    <w:p>
      <w:r>
        <w:t>Update, 2026-09-11: one built, one partially built, two-of-four content done — the picture described below (as scoped 10 September) has moved substantially. (1) Quiz-taking UI — built: compliance-quiz-drawer.js, generic across topics, content-driven from data/compliance_quiz_data.json. Not a clone of assessment-drawer.js’s scoring-band pattern in the end — a quiz needs objective right/wrong feedback with an explanation, not a self-declared maturity score, so the questions/options/scoring UI was built fresh, reusing only the shared .assess-drawer/.assess-panel shell and DrawerSplashKit intro pattern every tool already uses. (2) Completions log — partially built: nr_quiz_completions exists and logs every attempt (score, pass/fail, timestamp) with SCC read access, but the SCC-side view/export UI itself — the actual “training register” a human looks at — hasn’t been built, only the data table has. (3) Content — two of four topics done: Cyber Essentials and GDPR have real, sourced questions live; Export Control and Modern Slavery have real source material already gathered and sorted (§7) but no questions written yet — writing them is the same template already proven twice, not new discovery work.</w:t>
      </w:r>
    </w:p>
    <w:p>
      <w:r>
        <w:t xml:space="preserve">Update, 2026-09-14: all four quiz topics are now complete — Export Control and Modern Slavery questions written (they had, in fact, already shipped by v16 — commits 1cb8f36/043f990 — but v16’s own text here hadn’t caught up) — and all four have been restructured from a flat 10-question list each into genuine sections keyed to each topic’s own real structure, 51 questions total (§7). The answer-position/option-length bias found in Rene’s own review of the original 40 questions (correctIndex 100% at option B; correct answer the longest option in 39 of 40) is fixed and verified programmatically: 13/13/13/12 spread across positions, longest option correct in only 18 of 51 (35%). (2) Completions log/SCC-side register — now built: a Training Register (per-company tab + cross-company screen with filters, stats and CSV export) shipped this session in scc.html (commit d652793), live-tested and confirmed working by Rene 2026-09-14. The one thing still genuinely open: live-testing surfaced a 404 on nr_quiz_completions, confirming the SQL migration has not actually been run against the live Supabase project yet — until it is, both the member-side completion logging and this new register show empty/error gracefully rather than real data. Smaller open item: the new GDPR-Accountability and Modern-Slavery-statement-content questions were grounded in facts already gathered earlier in the session but the full 248-page Modern Slavery statutory guidance and the GDPR Documentation.pdf source were not re-read end-to-end during the pass that wrote those questions — not yet verified against the primary source.</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Style w:val="Heading1"/>
        <w:spacing w:after="160" w:before="360"/>
      </w:pPr>
      <w:r>
        <w:t xml:space="preserve">12. Operating Cost — Per-Question Estimate</w:t>
      </w:r>
    </w:p>
    <w:p>
      <w:pPr>
        <w:spacing w:after="140"/>
      </w:pPr>
      <w:r>
        <w:t xml:space="preserve">New this version, at Rene’s request (“remember to add cost”). This is a first rough estimate built directly from the deployed code’s own construction — system prompt length, source-context cap, max_tokens, and which API each query actually calls — checked against current published API pricing (15 September 2026), not measured from real traffic. Frankie’s own token-tracking (window.TM?.log(), called in claude.js/retrieval.js/groq.js on every real API response) already logs prompt_tokens/completion_tokens per call; pulling and averaging that log against real query volume would sharpen this from an estimate to a measurement — not done this version, flagged below as a natural next step.</w:t>
      </w:r>
    </w:p>
    <w:p>
      <w:pPr>
        <w:pStyle w:val="Heading2"/>
        <w:spacing w:after="120" w:before="260"/>
      </w:pPr>
      <w:r>
        <w:t xml:space="preserve">What actually costs money per question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8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Call</w:t>
            </w:r>
          </w:p>
        </w:tc>
        <w:tc>
          <w:tcPr>
            <w:tcW w:type="dxa" w:w="2400"/>
            <w:shd w:fill="10243A" w:val="clear"/>
            <w:tcMar>
              <w:top w:type="dxa" w:w="80"/>
              <w:left w:type="dxa" w:w="100"/>
              <w:bottom w:type="dxa" w:w="80"/>
              <w:right w:type="dxa" w:w="100"/>
            </w:tcMar>
          </w:tcPr>
          <w:p>
            <w:r>
              <w:rPr>
                <w:b/>
                <w:bCs/>
                <w:color w:val="FFFFFF"/>
                <w:sz w:val="19"/>
                <w:szCs w:val="19"/>
              </w:rPr>
              <w:t xml:space="preserve">When it fires</w:t>
            </w:r>
          </w:p>
        </w:tc>
        <w:tc>
          <w:tcPr>
            <w:tcW w:type="dxa" w:w="2800"/>
            <w:shd w:fill="10243A" w:val="clear"/>
            <w:tcMar>
              <w:top w:type="dxa" w:w="80"/>
              <w:left w:type="dxa" w:w="100"/>
              <w:bottom w:type="dxa" w:w="80"/>
              <w:right w:type="dxa" w:w="100"/>
            </w:tcMar>
          </w:tcPr>
          <w:p>
            <w:r>
              <w:rPr>
                <w:b/>
                <w:bCs/>
                <w:color w:val="FFFFFF"/>
                <w:sz w:val="19"/>
                <w:szCs w:val="19"/>
              </w:rPr>
              <w:t xml:space="preserve">Typical size</w:t>
            </w:r>
          </w:p>
        </w:tc>
        <w:tc>
          <w:tcPr>
            <w:tcW w:type="dxa" w:w="1860"/>
            <w:shd w:fill="10243A" w:val="clear"/>
            <w:tcMar>
              <w:top w:type="dxa" w:w="80"/>
              <w:left w:type="dxa" w:w="100"/>
              <w:bottom w:type="dxa" w:w="80"/>
              <w:right w:type="dxa" w:w="100"/>
            </w:tcMar>
          </w:tcPr>
          <w:p>
            <w:r>
              <w:rPr>
                <w:b/>
                <w:bCs/>
                <w:color w:val="FFFFFF"/>
                <w:sz w:val="19"/>
                <w:szCs w:val="19"/>
              </w:rPr>
              <w:t xml:space="preserve">Rate × rough cost</w:t>
            </w:r>
          </w:p>
        </w:tc>
      </w:tr>
      <w:tr>
        <w:tc>
          <w:tcPr>
            <w:tcW w:type="dxa" w:w="2400"/>
            <w:tcMar>
              <w:top w:type="dxa" w:w="80"/>
              <w:left w:type="dxa" w:w="100"/>
              <w:bottom w:type="dxa" w:w="80"/>
              <w:right w:type="dxa" w:w="100"/>
            </w:tcMar>
          </w:tcPr>
          <w:p>
            <w:r>
              <w:rPr>
                <w:b w:val="false"/>
                <w:bCs w:val="false"/>
                <w:sz w:val="19"/>
                <w:szCs w:val="19"/>
              </w:rPr>
              <w:t xml:space="preserve">OpenAI text-embedding-3-small (query embedding)</w:t>
            </w:r>
          </w:p>
        </w:tc>
        <w:tc>
          <w:tcPr>
            <w:tcW w:type="dxa" w:w="2400"/>
            <w:tcMar>
              <w:top w:type="dxa" w:w="80"/>
              <w:left w:type="dxa" w:w="100"/>
              <w:bottom w:type="dxa" w:w="80"/>
              <w:right w:type="dxa" w:w="100"/>
            </w:tcMar>
          </w:tcPr>
          <w:p>
            <w:r>
              <w:rPr>
                <w:b w:val="false"/>
                <w:bCs w:val="false"/>
                <w:sz w:val="19"/>
                <w:szCs w:val="19"/>
              </w:rPr>
              <w:t xml:space="preserve">Up to 3× per question — one per search term (up from 1 before this session’s clause-splitting work, §7)</w:t>
            </w:r>
          </w:p>
        </w:tc>
        <w:tc>
          <w:tcPr>
            <w:tcW w:type="dxa" w:w="2800"/>
            <w:tcMar>
              <w:top w:type="dxa" w:w="80"/>
              <w:left w:type="dxa" w:w="100"/>
              <w:bottom w:type="dxa" w:w="80"/>
              <w:right w:type="dxa" w:w="100"/>
            </w:tcMar>
          </w:tcPr>
          <w:p>
            <w:r>
              <w:rPr>
                <w:b w:val="false"/>
                <w:bCs w:val="false"/>
                <w:sz w:val="19"/>
                <w:szCs w:val="19"/>
              </w:rPr>
              <w:t xml:space="preserve">~10–20 tokens/call, ~45 tokens total</w:t>
            </w:r>
          </w:p>
        </w:tc>
        <w:tc>
          <w:tcPr>
            <w:tcW w:type="dxa" w:w="1860"/>
            <w:tcMar>
              <w:top w:type="dxa" w:w="80"/>
              <w:left w:type="dxa" w:w="100"/>
              <w:bottom w:type="dxa" w:w="80"/>
              <w:right w:type="dxa" w:w="100"/>
            </w:tcMar>
          </w:tcPr>
          <w:p>
            <w:r>
              <w:rPr>
                <w:b w:val="false"/>
                <w:bCs w:val="false"/>
                <w:sz w:val="19"/>
                <w:szCs w:val="19"/>
              </w:rPr>
              <w:t xml:space="preserve">$0.02/M tokens → &lt;$0.000001 (negligible)</w:t>
            </w:r>
          </w:p>
        </w:tc>
      </w:tr>
      <w:tr>
        <w:tc>
          <w:tcPr>
            <w:tcW w:type="dxa" w:w="2400"/>
            <w:tcMar>
              <w:top w:type="dxa" w:w="80"/>
              <w:left w:type="dxa" w:w="100"/>
              <w:bottom w:type="dxa" w:w="80"/>
              <w:right w:type="dxa" w:w="100"/>
            </w:tcMar>
          </w:tcPr>
          <w:p>
            <w:r>
              <w:rPr>
                <w:b w:val="false"/>
                <w:bCs w:val="false"/>
                <w:sz w:val="19"/>
                <w:szCs w:val="19"/>
              </w:rPr>
              <w:t xml:space="preserve">Groq (openai/gpt-oss-20b), listed in §3 as “query preprocessing”</w:t>
            </w:r>
          </w:p>
        </w:tc>
        <w:tc>
          <w:tcPr>
            <w:tcW w:type="dxa" w:w="2400"/>
            <w:tcMar>
              <w:top w:type="dxa" w:w="80"/>
              <w:left w:type="dxa" w:w="100"/>
              <w:bottom w:type="dxa" w:w="80"/>
              <w:right w:type="dxa" w:w="100"/>
            </w:tcMar>
          </w:tcPr>
          <w:p>
            <w:r>
              <w:rPr>
                <w:b w:val="false"/>
                <w:bCs w:val="false"/>
                <w:sz w:val="19"/>
                <w:szCs w:val="19"/>
              </w:rPr>
              <w:t xml:space="preserve">Never — enhanceWithGroq() has no caller in the live pipeline (§7, §9)</w:t>
            </w:r>
          </w:p>
        </w:tc>
        <w:tc>
          <w:tcPr>
            <w:tcW w:type="dxa" w:w="2800"/>
            <w:tcMar>
              <w:top w:type="dxa" w:w="80"/>
              <w:left w:type="dxa" w:w="100"/>
              <w:bottom w:type="dxa" w:w="80"/>
              <w:right w:type="dxa" w:w="100"/>
            </w:tcMar>
          </w:tcPr>
          <w:p>
            <w:r>
              <w:rPr>
                <w:b w:val="false"/>
                <w:bCs w:val="false"/>
                <w:sz w:val="19"/>
                <w:szCs w:val="19"/>
              </w:rPr>
              <w:t xml:space="preserve">—</w:t>
            </w:r>
          </w:p>
        </w:tc>
        <w:tc>
          <w:tcPr>
            <w:tcW w:type="dxa" w:w="1860"/>
            <w:tcMar>
              <w:top w:type="dxa" w:w="80"/>
              <w:left w:type="dxa" w:w="100"/>
              <w:bottom w:type="dxa" w:w="80"/>
              <w:right w:type="dxa" w:w="100"/>
            </w:tcMar>
          </w:tcPr>
          <w:p>
            <w:r>
              <w:rPr>
                <w:b w:val="false"/>
                <w:bCs w:val="false"/>
                <w:sz w:val="19"/>
                <w:szCs w:val="19"/>
              </w:rPr>
              <w:t xml:space="preserve">$0.075/M in, $0.30/M out (Groq’s own published rate) → $0 actually spent</w:t>
            </w:r>
          </w:p>
        </w:tc>
      </w:tr>
      <w:tr>
        <w:tc>
          <w:tcPr>
            <w:tcW w:type="dxa" w:w="2400"/>
            <w:tcMar>
              <w:top w:type="dxa" w:w="80"/>
              <w:left w:type="dxa" w:w="100"/>
              <w:bottom w:type="dxa" w:w="80"/>
              <w:right w:type="dxa" w:w="100"/>
            </w:tcMar>
          </w:tcPr>
          <w:p>
            <w:r>
              <w:rPr>
                <w:b w:val="false"/>
                <w:bCs w:val="false"/>
                <w:sz w:val="19"/>
                <w:szCs w:val="19"/>
              </w:rPr>
              <w:t xml:space="preserve">Claude (claude-sonnet-4-6, config.js’s live default)</w:t>
            </w:r>
          </w:p>
        </w:tc>
        <w:tc>
          <w:tcPr>
            <w:tcW w:type="dxa" w:w="2400"/>
            <w:tcMar>
              <w:top w:type="dxa" w:w="80"/>
              <w:left w:type="dxa" w:w="100"/>
              <w:bottom w:type="dxa" w:w="80"/>
              <w:right w:type="dxa" w:w="100"/>
            </w:tcMar>
          </w:tcPr>
          <w:p>
            <w:r>
              <w:rPr>
                <w:b w:val="false"/>
                <w:bCs w:val="false"/>
                <w:sz w:val="19"/>
                <w:szCs w:val="19"/>
              </w:rPr>
              <w:t xml:space="preserve">Once per answered question</w:t>
            </w:r>
          </w:p>
        </w:tc>
        <w:tc>
          <w:tcPr>
            <w:tcW w:type="dxa" w:w="2800"/>
            <w:tcMar>
              <w:top w:type="dxa" w:w="80"/>
              <w:left w:type="dxa" w:w="100"/>
              <w:bottom w:type="dxa" w:w="80"/>
              <w:right w:type="dxa" w:w="100"/>
            </w:tcMar>
          </w:tcPr>
          <w:p>
            <w:r>
              <w:rPr>
                <w:b w:val="false"/>
                <w:bCs w:val="false"/>
                <w:sz w:val="19"/>
                <w:szCs w:val="19"/>
              </w:rPr>
              <w:t xml:space="preserve">System prompt ~820 tokens + up to 5 sources (≤600 chars body each) ~800 tokens + question ~20 tokens ≈ ~1,650 input tokens (first question); output capped at max_tokens: 800, typically 350–550 tokens observed live</w:t>
            </w:r>
          </w:p>
        </w:tc>
        <w:tc>
          <w:tcPr>
            <w:tcW w:type="dxa" w:w="1860"/>
            <w:tcMar>
              <w:top w:type="dxa" w:w="80"/>
              <w:left w:type="dxa" w:w="100"/>
              <w:bottom w:type="dxa" w:w="80"/>
              <w:right w:type="dxa" w:w="100"/>
            </w:tcMar>
          </w:tcPr>
          <w:p>
            <w:r>
              <w:rPr>
                <w:b w:val="false"/>
                <w:bCs w:val="false"/>
                <w:sz w:val="19"/>
                <w:szCs w:val="19"/>
              </w:rPr>
              <w:t xml:space="preserve">$3/M in, $15/M out (Sonnet 4.6, Anthropic’s published rate, checked 15 Sept 2026) → ≈$0.010–$0.013/question</w:t>
            </w:r>
          </w:p>
        </w:tc>
      </w:tr>
    </w:tbl>
    <w:p>
      <w:pPr>
        <w:spacing w:after="140"/>
      </w:pPr>
      <w:r>
        <w:t xml:space="preserve">Rough total per question: ≈$0.010–$0.013 (roughly 0.8p–1.0p at today’s $1 = £0.742 mid-market rate), dominated almost entirely by the single Claude Sonnet call — embeddings and Groq together add less than a thousandth of a penny, and Groq currently adds nothing at all since it’s never called (§7, §9). A multi-turn conversation running to the full 4-exchange history cap (js/app.js’s MAX_HISTORY) costs roughly double that on its later turns, since each prior exchange’s user question and full answer are resent as input tokens on every subsequent call.</w:t>
      </w:r>
    </w:p>
    <w:p>
      <w:pPr>
        <w:pStyle w:val="Heading2"/>
        <w:spacing w:after="120" w:before="260"/>
      </w:pPr>
      <w:r>
        <w:t xml:space="preserve">Cost vs. accuracy — already decided, not reopened here</w:t>
      </w:r>
    </w:p>
    <w:p>
      <w:pPr>
        <w:spacing w:after="140"/>
      </w:pPr>
      <w:r>
        <w:t xml:space="preserve">This isn’t a new question — js/modelRouter.js already tried it and settled it. 2026-09-14: Haiku removed from routing entirely after live testing showed it fabricating precise facts (category lists, acronym expansions) even with the correct source chunk in context. 2026-09-15: restored for high-confidence queries after two root causes were fixed (a retrieval-scoring bug, and a stricter “Precision rule” added to claude.js’s system prompt) — then reverted again the same day: with both fixes in place, Haiku’s specific fabrications were gone, but retesting found two new, different accuracy gaps — compressing a multi-tier scoring rubric (dropping a caveat and the top band), and separately stating “five main assessment areas” while listing six items directly underneath, a plain self-contradiction. modelRouter.js’s own comment records the measured live cost difference as “about $0.01/query either way” (commit 095bc5a) — consistent with this section’s own estimate above (Haiku at $1/M in, $5/M out would run roughly $0.004–$0.005/question against Sonnet’s $0.010–$0.013, a difference in the same $0.005–$0.008 range). Every Claude-eligible query has gone to Sonnet only since 2026-09-15 (routeModel() in modelRouter.js) — Rene’s call was that F4N guidance has to be right, always, and a roughly one-cent-per-question difference wasn’t worth trading accuracy for.</w:t>
      </w:r>
    </w:p>
    <w:p>
      <w:pPr>
        <w:spacing w:after="140"/>
      </w:pPr>
      <w:r>
        <w:t xml:space="preserve">This session’s retrieval fixes (§7) don’t change that calculus: RUBRIC_ENTITY_BOOST and GRANTING_CRITERIA_BOOST are pure client-side re-ranking of which already-fetched chunks get sent to Claude, not more or bigger API calls. The one real cost-relevant change this session made was going from 1 embedding call per question to up to 3 (§7’s clause-splitting work) — roughly $0.0000006 extra per question, not worth being anything more than the rounding note it is above.</w:t>
      </w:r>
    </w:p>
    <w:p>
      <w:pPr>
        <w:spacing w:after="140"/>
      </w:pPr>
      <w:r>
        <w:rPr>
          <w:i/>
          <w:iCs/>
        </w:rPr>
        <w:t xml:space="preserve">What this estimate doesn’t capture: real query-volume mix (how many questions are compound vs. single-topic, how many run to the full 4-exchange history cap), any Cloudflare Worker cost (the actual API pass-through gateway, priced separately from Anthropic/OpenAI/Groq’s own rates and not reviewed this version), and Anthropic prompt-caching (not currently used — MODE_PROMPTS’ system prompt is static per mode and a candidate for cache_control if per-question cost becomes a real constraint at volume). Pulling real prompt_tokens/completion_tokens averages from Frankie’s own window.TM logging against actual question volume, rather than estimating from the code’s construction, is the natural next step to turn this into a measured figure — not done this version.</w:t>
      </w:r>
    </w:p>
    <w:p>
      <w:pPr>
        <w:pBdr>
          <w:bottom w:val="single" w:color="D8E2EC" w:sz="6" w:space="1"/>
        </w:pBdr>
        <w:spacing w:after="240"/>
      </w:pPr>
    </w:p>
    <w:p>
      <w:pPr>
        <w:spacing w:after="60"/>
        <w:jc w:val="center"/>
      </w:pPr>
      <w:r>
        <w:rPr>
          <w:b/>
          <w:bCs/>
          <w:sz w:val="18"/>
          <w:szCs w:val="18"/>
        </w:rPr>
        <w:t>F.R.A.N.K.I.E. v3  |  Blueprint v20  |  NuCCoL  |  15 September 2026  |  Confidential</w:t>
      </w:r>
    </w:p>
    <w:p>
      <w:pPr>
        <w:jc w:val="center"/>
      </w:pPr>
      <w:r>
        <w:rPr>
          <w:color w:val="65758A"/>
          <w:sz w:val="18"/>
          <w:szCs w:val="18"/>
        </w:rPr>
        <w:t xml:space="preserve">Supersedes v19 (15 September 2026)  |  Documentation correction: 5 of §9’s numbered open items (#3 Nuclear Engineering Mode, #4 plant-drawer.js data fork, #6 Evidence Vault reopen, #7 ISO 19443 SCC integration, #10 portal-mechanics chat bug) were already closed and wrongly carried forward as open across v16–v19  |  No application code or KB/data changed this version  |  8 remaining open items not re-verified this pass — see §9 correction note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