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F.R.A.N.K.I.E.</w:t>
      </w:r>
    </w:p>
    <w:p>
      <w:pPr>
        <w:spacing w:after="40"/>
      </w:pPr>
      <w:r>
        <w:rPr>
          <w:i/>
          <w:iCs/>
          <w:sz w:val="24"/>
          <w:szCs w:val="24"/>
        </w:rPr>
        <w:t xml:space="preserve">Future Readiness And Nuclear Knowledge Intelligence Engine</w:t>
      </w:r>
    </w:p>
    <w:p>
      <w:pPr>
        <w:spacing w:after="240"/>
      </w:pPr>
      <w:r>
        <w:rPr>
          <w:b/>
          <w:bCs/>
          <w:sz w:val="28"/>
          <w:szCs w:val="28"/>
        </w:rPr>
        <w:t xml:space="preserve">Product Blueprint v10</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10243A" w:val="clear"/>
            <w:tcMar>
              <w:top w:type="dxa" w:w="80"/>
              <w:left w:type="dxa" w:w="100"/>
              <w:bottom w:type="dxa" w:w="80"/>
              <w:right w:type="dxa" w:w="100"/>
            </w:tcMar>
          </w:tcPr>
          <w:p>
            <w:r>
              <w:rPr>
                <w:b/>
                <w:bCs/>
                <w:color w:val="FFFFFF"/>
                <w:sz w:val="19"/>
                <w:szCs w:val="19"/>
              </w:rPr>
              <w:t xml:space="preserve"/>
            </w:r>
          </w:p>
        </w:tc>
        <w:tc>
          <w:tcPr>
            <w:tcW w:type="dxa" w:w="7660"/>
            <w:shd w:fill="10243A" w:val="clear"/>
            <w:tcMar>
              <w:top w:type="dxa" w:w="80"/>
              <w:left w:type="dxa" w:w="100"/>
              <w:bottom w:type="dxa" w:w="80"/>
              <w:right w:type="dxa" w:w="100"/>
            </w:tcMar>
          </w:tcPr>
          <w:p>
            <w:r>
              <w:rPr>
                <w:b/>
                <w:bCs/>
                <w:color w:val="FFFFFF"/>
                <w:sz w:val="19"/>
                <w:szCs w:val="19"/>
              </w:rPr>
              <w:t xml:space="preserve"/>
            </w:r>
          </w:p>
        </w:tc>
      </w:tr>
      <w:tr>
        <w:tc>
          <w:tcPr>
            <w:tcW w:type="dxa" w:w="1800"/>
            <w:tcMar>
              <w:top w:type="dxa" w:w="80"/>
              <w:left w:type="dxa" w:w="100"/>
              <w:bottom w:type="dxa" w:w="80"/>
              <w:right w:type="dxa" w:w="100"/>
            </w:tcMar>
          </w:tcPr>
          <w:p>
            <w:r>
              <w:rPr>
                <w:b w:val="false"/>
                <w:bCs w:val="false"/>
                <w:sz w:val="19"/>
                <w:szCs w:val="19"/>
              </w:rPr>
              <w:t xml:space="preserve">Issued</w:t>
            </w:r>
          </w:p>
        </w:tc>
        <w:tc>
          <w:tcPr>
            <w:tcW w:type="dxa" w:w="7660"/>
            <w:tcMar>
              <w:top w:type="dxa" w:w="80"/>
              <w:left w:type="dxa" w:w="100"/>
              <w:bottom w:type="dxa" w:w="80"/>
              <w:right w:type="dxa" w:w="100"/>
            </w:tcMar>
          </w:tcPr>
          <w:p>
            <w:r>
              <w:rPr>
                <w:b w:val="false"/>
                <w:bCs w:val="false"/>
                <w:sz w:val="19"/>
                <w:szCs w:val="19"/>
              </w:rPr>
              <w:t xml:space="preserve">9 September 2026</w:t>
            </w:r>
          </w:p>
        </w:tc>
      </w:tr>
      <w:tr>
        <w:tc>
          <w:tcPr>
            <w:tcW w:type="dxa" w:w="1800"/>
            <w:tcMar>
              <w:top w:type="dxa" w:w="80"/>
              <w:left w:type="dxa" w:w="100"/>
              <w:bottom w:type="dxa" w:w="80"/>
              <w:right w:type="dxa" w:w="100"/>
            </w:tcMar>
          </w:tcPr>
          <w:p>
            <w:r>
              <w:rPr>
                <w:b w:val="false"/>
                <w:bCs w:val="false"/>
                <w:sz w:val="19"/>
                <w:szCs w:val="19"/>
              </w:rPr>
              <w:t xml:space="preserve">Organisation</w:t>
            </w:r>
          </w:p>
        </w:tc>
        <w:tc>
          <w:tcPr>
            <w:tcW w:type="dxa" w:w="7660"/>
            <w:tcMar>
              <w:top w:type="dxa" w:w="80"/>
              <w:left w:type="dxa" w:w="100"/>
              <w:bottom w:type="dxa" w:w="80"/>
              <w:right w:type="dxa" w:w="100"/>
            </w:tcMar>
          </w:tcPr>
          <w:p>
            <w:r>
              <w:rPr>
                <w:b w:val="false"/>
                <w:bCs w:val="false"/>
                <w:sz w:val="19"/>
                <w:szCs w:val="19"/>
              </w:rPr>
              <w:t xml:space="preserve">NuCCoL</w:t>
            </w:r>
          </w:p>
        </w:tc>
      </w:tr>
      <w:tr>
        <w:tc>
          <w:tcPr>
            <w:tcW w:type="dxa" w:w="1800"/>
            <w:tcMar>
              <w:top w:type="dxa" w:w="80"/>
              <w:left w:type="dxa" w:w="100"/>
              <w:bottom w:type="dxa" w:w="80"/>
              <w:right w:type="dxa" w:w="100"/>
            </w:tcMar>
          </w:tcPr>
          <w:p>
            <w:r>
              <w:rPr>
                <w:b w:val="false"/>
                <w:bCs w:val="false"/>
                <w:sz w:val="19"/>
                <w:szCs w:val="19"/>
              </w:rPr>
              <w:t xml:space="preserve">Status</w:t>
            </w:r>
          </w:p>
        </w:tc>
        <w:tc>
          <w:tcPr>
            <w:tcW w:type="dxa" w:w="7660"/>
            <w:tcMar>
              <w:top w:type="dxa" w:w="80"/>
              <w:left w:type="dxa" w:w="100"/>
              <w:bottom w:type="dxa" w:w="80"/>
              <w:right w:type="dxa" w:w="100"/>
            </w:tcMar>
          </w:tcPr>
          <w:p>
            <w:r>
              <w:rPr>
                <w:b w:val="false"/>
                <w:bCs w:val="false"/>
                <w:sz w:val="19"/>
                <w:szCs w:val="19"/>
              </w:rPr>
              <w:t xml:space="preserve">Supersedes v9 (24 June 2026). Platform relocated, KB rebuilt into a 5-partition + graph architecture, member auth hardened, two new tools (NucColpedia + Reactor Documents search) and several UX fixes shipped since. Six Stage-2 features from v9 (§10) remain planned, not started.</w:t>
            </w:r>
          </w:p>
        </w:tc>
      </w:tr>
      <w:tr>
        <w:tc>
          <w:tcPr>
            <w:tcW w:type="dxa" w:w="1800"/>
            <w:tcMar>
              <w:top w:type="dxa" w:w="80"/>
              <w:left w:type="dxa" w:w="100"/>
              <w:bottom w:type="dxa" w:w="80"/>
              <w:right w:type="dxa" w:w="100"/>
            </w:tcMar>
          </w:tcPr>
          <w:p>
            <w:r>
              <w:rPr>
                <w:b w:val="false"/>
                <w:bCs w:val="false"/>
                <w:sz w:val="19"/>
                <w:szCs w:val="19"/>
              </w:rPr>
              <w:t xml:space="preserve">Platform</w:t>
            </w:r>
          </w:p>
        </w:tc>
        <w:tc>
          <w:tcPr>
            <w:tcW w:type="dxa" w:w="7660"/>
            <w:tcMar>
              <w:top w:type="dxa" w:w="80"/>
              <w:left w:type="dxa" w:w="100"/>
              <w:bottom w:type="dxa" w:w="80"/>
              <w:right w:type="dxa" w:w="100"/>
            </w:tcMar>
          </w:tcPr>
          <w:p>
            <w:r>
              <w:rPr>
                <w:b w:val="false"/>
                <w:bCs w:val="false"/>
                <w:sz w:val="19"/>
                <w:szCs w:val="19"/>
              </w:rPr>
              <w:t xml:space="preserve">2026_Website_Update v2/frankie/index.html — part of the main NuCCoL website repo (see §2)</w:t>
            </w:r>
          </w:p>
        </w:tc>
      </w:tr>
      <w:tr>
        <w:tc>
          <w:tcPr>
            <w:tcW w:type="dxa" w:w="1800"/>
            <w:tcMar>
              <w:top w:type="dxa" w:w="80"/>
              <w:left w:type="dxa" w:w="100"/>
              <w:bottom w:type="dxa" w:w="80"/>
              <w:right w:type="dxa" w:w="100"/>
            </w:tcMar>
          </w:tcPr>
          <w:p>
            <w:r>
              <w:rPr>
                <w:b w:val="false"/>
                <w:bCs w:val="false"/>
                <w:sz w:val="19"/>
                <w:szCs w:val="19"/>
              </w:rPr>
              <w:t xml:space="preserve">Live URL</w:t>
            </w:r>
          </w:p>
        </w:tc>
        <w:tc>
          <w:tcPr>
            <w:tcW w:type="dxa" w:w="7660"/>
            <w:tcMar>
              <w:top w:type="dxa" w:w="80"/>
              <w:left w:type="dxa" w:w="100"/>
              <w:bottom w:type="dxa" w:w="80"/>
              <w:right w:type="dxa" w:w="100"/>
            </w:tcMar>
          </w:tcPr>
          <w:p>
            <w:r>
              <w:rPr>
                <w:b w:val="false"/>
                <w:bCs w:val="false"/>
                <w:sz w:val="19"/>
                <w:szCs w:val="19"/>
              </w:rPr>
              <w:t xml:space="preserve">https://www.nuccol.co.uk/frankie/index.html (note the www — the bare nuccol.co.uk is a separate WordPress hub site)</w:t>
            </w:r>
          </w:p>
        </w:tc>
      </w:tr>
      <w:tr>
        <w:tc>
          <w:tcPr>
            <w:tcW w:type="dxa" w:w="1800"/>
            <w:tcMar>
              <w:top w:type="dxa" w:w="80"/>
              <w:left w:type="dxa" w:w="100"/>
              <w:bottom w:type="dxa" w:w="80"/>
              <w:right w:type="dxa" w:w="100"/>
            </w:tcMar>
          </w:tcPr>
          <w:p>
            <w:r>
              <w:rPr>
                <w:b w:val="false"/>
                <w:bCs w:val="false"/>
                <w:sz w:val="19"/>
                <w:szCs w:val="19"/>
              </w:rPr>
              <w:t xml:space="preserve">KB</w:t>
            </w:r>
          </w:p>
        </w:tc>
        <w:tc>
          <w:tcPr>
            <w:tcW w:type="dxa" w:w="7660"/>
            <w:tcMar>
              <w:top w:type="dxa" w:w="80"/>
              <w:left w:type="dxa" w:w="100"/>
              <w:bottom w:type="dxa" w:w="80"/>
              <w:right w:type="dxa" w:w="100"/>
            </w:tcMar>
          </w:tcPr>
          <w:p>
            <w:r>
              <w:rPr>
                <w:b w:val="false"/>
                <w:bCs w:val="false"/>
                <w:sz w:val="19"/>
                <w:szCs w:val="19"/>
              </w:rPr>
              <w:t xml:space="preserve">5 partitions, ~66,900 chunks eager-loaded + 61,374-chunk reactors partition lazy-loaded on demand (see §4)</w:t>
            </w:r>
          </w:p>
        </w:tc>
      </w:tr>
      <w:tr>
        <w:tc>
          <w:tcPr>
            <w:tcW w:type="dxa" w:w="1800"/>
            <w:tcMar>
              <w:top w:type="dxa" w:w="80"/>
              <w:left w:type="dxa" w:w="100"/>
              <w:bottom w:type="dxa" w:w="80"/>
              <w:right w:type="dxa" w:w="100"/>
            </w:tcMar>
          </w:tcPr>
          <w:p>
            <w:r>
              <w:rPr>
                <w:b w:val="false"/>
                <w:bCs w:val="false"/>
                <w:sz w:val="19"/>
                <w:szCs w:val="19"/>
              </w:rPr>
              <w:t xml:space="preserve">Classification</w:t>
            </w:r>
          </w:p>
        </w:tc>
        <w:tc>
          <w:tcPr>
            <w:tcW w:type="dxa" w:w="7660"/>
            <w:tcMar>
              <w:top w:type="dxa" w:w="80"/>
              <w:left w:type="dxa" w:w="100"/>
              <w:bottom w:type="dxa" w:w="80"/>
              <w:right w:type="dxa" w:w="100"/>
            </w:tcMar>
          </w:tcPr>
          <w:p>
            <w:r>
              <w:rPr>
                <w:b w:val="false"/>
                <w:bCs w:val="false"/>
                <w:sz w:val="19"/>
                <w:szCs w:val="19"/>
              </w:rPr>
              <w:t xml:space="preserve">Confidential</w:t>
            </w:r>
          </w:p>
        </w:tc>
      </w:tr>
    </w:tbl>
    <w:p>
      <w:pPr>
        <w:spacing w:after="200"/>
      </w:pPr>
    </w:p>
    <w:p>
      <w:pPr>
        <w:pStyle w:val="Heading1"/>
        <w:spacing w:after="160" w:before="360"/>
      </w:pPr>
      <w:r>
        <w:t xml:space="preserve">1. Document Purpose</w:t>
      </w:r>
    </w:p>
    <w:p>
      <w:pPr>
        <w:spacing w:after="140"/>
      </w:pPr>
      <w:r>
        <w:t xml:space="preserve">Blueprint v10 is the authoritative reference for the Frankie platform as of 9 September 2026. It supersedes v9 (24 June 2026) and every version before it. The gap between v9 and v10 is unusually large: the platform changed hosting location and deployment model, the entire knowledge base was rebuilt from one flat file into a five-partition architecture with an entity graph, member authentication was hardened to gate the whole page rather than just data calls, and several tools were added or substantially extended.</w:t>
      </w:r>
    </w:p>
    <w:p>
      <w:pPr>
        <w:spacing w:after="140"/>
      </w:pPr>
      <w:r>
        <w:t xml:space="preserve">This version is compiled directly from the live codebase, the site repo’s git history and CHANGELOG.md, retrieval.js’s own inline change history, and four session handover documents written between 8–09 September 2026 (kept in this project’s "Claude outputs" folder). Where v9’s content is still accurate it is carried forward; where it described the old standalone frankie_v3 app, it has been rewritten against the current deployed app. Future sessions should start here, and treat frankie_v3_unified_brain (see §2) as historical only.</w:t>
      </w:r>
    </w:p>
    <w:p>
      <w:pPr>
        <w:pStyle w:val="Heading1"/>
        <w:spacing w:after="160" w:before="360"/>
      </w:pPr>
      <w:r>
        <w:t xml:space="preserve">2. Platform Overview</w:t>
      </w:r>
    </w:p>
    <w:p>
      <w:pPr>
        <w:spacing w:after="140"/>
      </w:pPr>
      <w:r>
        <w:t xml:space="preserve">Frankie is a static web application — vanilla HTML, CSS, and JavaScript with no build step — that now lives inside NuCCoL’s main website repository rather than as a standalone app. It runs entirely in the browser; every external call (Claude, Groq, OpenAI embeddings, and every knowledge-base file) is proxied through a Cloudflare Worker so no API key or KB content is ever shipped to or stored in the client. The platform is grounded in NuCCoL’s Fit for Nuclear (F4N) programme documentation and is designed for nuclear supply chain suppliers navigating that programme.</w:t>
      </w:r>
    </w:p>
    <w:p>
      <w:pPr>
        <w:pStyle w:val="Heading2"/>
        <w:spacing w:after="120" w:before="260"/>
      </w:pPr>
      <w:r>
        <w:t xml:space="preserve">Where it actually lives now — read this before touching anything</w:t>
      </w:r>
    </w:p>
    <w:p>
      <w:pPr>
        <w:pStyle w:val="ListParagraph"/>
        <w:numPr>
          <w:ilvl w:val="0"/>
          <w:numId w:val="1"/>
        </w:numPr>
        <w:spacing w:after="60"/>
      </w:pPr>
      <w:r>
        <w:t xml:space="preserve">Live app: the frankie/ folder inside the site repo “2026_Website_Update v2” (GitHub: renrenrenx10/Website). Deploys via GitHub Actions to Azure Static Web Apps.</w:t>
      </w:r>
    </w:p>
    <w:p>
      <w:pPr>
        <w:pStyle w:val="ListParagraph"/>
        <w:numPr>
          <w:ilvl w:val="0"/>
          <w:numId w:val="1"/>
        </w:numPr>
        <w:spacing w:after="60"/>
      </w:pPr>
      <w:r>
        <w:t xml:space="preserve">Live URL: https://www.nuccol.co.uk/frankie/index.html — the bare nuccol.co.uk domain is a separate WordPress hub site that only links out to it.</w:t>
      </w:r>
    </w:p>
    <w:p>
      <w:pPr>
        <w:pStyle w:val="ListParagraph"/>
        <w:numPr>
          <w:ilvl w:val="0"/>
          <w:numId w:val="1"/>
        </w:numPr>
        <w:spacing w:after="60"/>
      </w:pPr>
      <w:r>
        <w:t xml:space="preserve">Retired: the original frankie_v3_unified_brain/frankie_v3 folder (a separate local project with its own git history) was the source of the standalone app blueprint v4–v9 documented. Its own app copy was archived in place on 2026-09-08 (_ARCHIVED_frankie_app_20260908/) — explicit note left in that folder: "all real development since [early August 2026] has happened directly in the deployed copy at 2026_Website_Update v2/frankie/". scc.html, scraper.js and the kb/ folder one level up from it are unaffected and remain live from that location.</w:t>
      </w:r>
    </w:p>
    <w:p>
      <w:pPr>
        <w:spacing w:after="160"/>
      </w:pPr>
      <w:r>
        <w:rPr>
          <w:i/>
          <w:iCs/>
          <w:color w:val="65758A"/>
        </w:rPr>
        <w:t xml:space="preserve">Practical effect: any future Frankie work should be done in the site repo, not frankie_v3_unified_brain. The old repo’s own CHANGELOG.md stops at v2.0.0 (2026-06-11) and its blueprint docx series (v4–v9) describes an app that is no longer the one deployed.</w:t>
      </w:r>
    </w:p>
    <w:p>
      <w:pPr>
        <w:pStyle w:val="Heading2"/>
        <w:spacing w:after="120" w:before="260"/>
      </w:pPr>
      <w:r>
        <w:t xml:space="preserve">Architecture Principles</w:t>
      </w:r>
    </w:p>
    <w:p>
      <w:pPr>
        <w:pStyle w:val="ListParagraph"/>
        <w:numPr>
          <w:ilvl w:val="0"/>
          <w:numId w:val="1"/>
        </w:numPr>
        <w:spacing w:after="60"/>
      </w:pPr>
      <w:r>
        <w:t xml:space="preserve">Static-first — zero server-side runtime, no build pipeline, deployed as static files</w:t>
      </w:r>
    </w:p>
    <w:p>
      <w:pPr>
        <w:pStyle w:val="ListParagraph"/>
        <w:numPr>
          <w:ilvl w:val="0"/>
          <w:numId w:val="1"/>
        </w:numPr>
        <w:spacing w:after="60"/>
      </w:pPr>
      <w:r>
        <w:t xml:space="preserve">Zero client-side secrets — Claude, Groq, and OpenAI embedding keys are Cloudflare Worker secrets; the browser calls /claude/*, /groq/*, /embed/* on the Worker, never the upstream APIs directly</w:t>
      </w:r>
    </w:p>
    <w:p>
      <w:pPr>
        <w:pStyle w:val="ListParagraph"/>
        <w:numPr>
          <w:ilvl w:val="0"/>
          <w:numId w:val="1"/>
        </w:numPr>
        <w:spacing w:after="60"/>
      </w:pPr>
      <w:r>
        <w:t xml:space="preserve">KB/vectors/graph served the same way — all knowledge-base JSON lives in a private Azure Blob container behind the Worker’s /kb/* route, which requires a valid member session (Bearer token), not static relative file paths</w:t>
      </w:r>
    </w:p>
    <w:p>
      <w:pPr>
        <w:pStyle w:val="ListParagraph"/>
        <w:numPr>
          <w:ilvl w:val="0"/>
          <w:numId w:val="1"/>
        </w:numPr>
        <w:spacing w:after="60"/>
      </w:pPr>
      <w:r>
        <w:t xml:space="preserve">Full-page member auth gate — index.html checks for a live Supabase session before rendering anything (visibility hidden, then a blocking redirect to ../members.html?redirect=/frankie/ if none exists); added 2026-08-04, this closed a gap where only data calls were gated but the page shell and images were visible to anyone</w:t>
      </w:r>
    </w:p>
    <w:p>
      <w:pPr>
        <w:pStyle w:val="ListParagraph"/>
        <w:numPr>
          <w:ilvl w:val="0"/>
          <w:numId w:val="1"/>
        </w:numPr>
        <w:spacing w:after="60"/>
      </w:pPr>
      <w:r>
        <w:t xml:space="preserve">RAG-grounded — chat answers are built from hybrid keyword + vector retrieval across the eager-loaded KB partitions (see §4), plus a graph-entity boost</w:t>
      </w:r>
    </w:p>
    <w:p>
      <w:pPr>
        <w:pStyle w:val="ListParagraph"/>
        <w:numPr>
          <w:ilvl w:val="0"/>
          <w:numId w:val="1"/>
        </w:numPr>
        <w:spacing w:after="60"/>
      </w:pPr>
      <w:r>
        <w:t xml:space="preserve">Drawer pattern — every tool opens as a sliding side panel via window.XxxDrawer.open(); enforced single-drawer-at-a-time by drawer-manager.js (2026-08-04) and given a shared first-open intro splash by drawer-splash.js (2026-08-05)</w:t>
      </w:r>
    </w:p>
    <w:p>
      <w:pPr>
        <w:pStyle w:val="ListParagraph"/>
        <w:numPr>
          <w:ilvl w:val="0"/>
          <w:numId w:val="1"/>
        </w:numPr>
        <w:spacing w:after="60"/>
      </w:pPr>
      <w:r>
        <w:t xml:space="preserve">IIFE modules — each drawer is a self-contained IIFE exposing one global object; no bundler</w:t>
      </w:r>
    </w:p>
    <w:p>
      <w:pPr>
        <w:pStyle w:val="ListParagraph"/>
        <w:numPr>
          <w:ilvl w:val="0"/>
          <w:numId w:val="1"/>
        </w:numPr>
        <w:spacing w:after="60"/>
      </w:pPr>
      <w:r>
        <w:t xml:space="preserve">localStorage for preferences/feature flags only — API keys are never stored client-side; frankieUserToken (a Supabase access token) is what authorises Worker calls</w:t>
      </w:r>
    </w:p>
    <w:p>
      <w:pPr>
        <w:pStyle w:val="ListParagraph"/>
        <w:numPr>
          <w:ilvl w:val="0"/>
          <w:numId w:val="1"/>
        </w:numPr>
        <w:spacing w:after="60"/>
      </w:pPr>
      <w:r>
        <w:t xml:space="preserve">Print-ready — Tool Kit outputs still open a styled print window via window.open()</w:t>
      </w:r>
    </w:p>
    <w:p>
      <w:pPr>
        <w:pStyle w:val="ListParagraph"/>
        <w:numPr>
          <w:ilvl w:val="0"/>
          <w:numId w:val="1"/>
        </w:numPr>
        <w:spacing w:after="60"/>
      </w:pPr>
      <w:r>
        <w:t xml:space="preserve">Supabase — auth, evidence file storage, ISO 19443 results, company profiles</w:t>
      </w:r>
    </w:p>
    <w:p>
      <w:pPr>
        <w:pStyle w:val="ListParagraph"/>
        <w:numPr>
          <w:ilvl w:val="0"/>
          <w:numId w:val="1"/>
        </w:numPr>
        <w:spacing w:after="60"/>
      </w:pPr>
      <w:r>
        <w:t xml:space="preserve">Cloudflare Workers — ch-proxy-worker.js now does far more than the Companies House CORS proxy v9 described: it is the single gateway for every external API call and every KB/vector/graph file</w:t>
      </w:r>
    </w:p>
    <w:p>
      <w:pPr>
        <w:pStyle w:val="Heading2"/>
        <w:spacing w:after="120" w:before="260"/>
      </w:pPr>
      <w:r>
        <w:t xml:space="preserve">Chat "Modes" — largely retired</w:t>
      </w:r>
    </w:p>
    <w:p>
      <w:pPr>
        <w:spacing w:after="140"/>
      </w:pPr>
      <w:r>
        <w:t xml:space="preserve">v9 documented four selectable chat modes (Company / SCC / OSV Prep / Readiness) with a mode-switcher UI. That switcher has since been removed — index.html carries an explicit comment, "Mode toggle removed — SCC portal handles mode context" — and the topbar now shows a single static "Company Mode" label. Mode context is handled by which portal (member Frankie vs. SCC’s scc.html) the user is in, not a runtime toggle.</w:t>
      </w:r>
    </w:p>
    <w:p>
      <w:pPr>
        <w:pStyle w:val="Heading1"/>
        <w:spacing w:after="160" w:before="360"/>
      </w:pPr>
      <w:r>
        <w:t xml:space="preserve">3. Infrastructure &amp; Architecture</w:t>
      </w:r>
    </w:p>
    <w:p>
      <w:pPr>
        <w:pStyle w:val="Heading2"/>
        <w:spacing w:after="120" w:before="260"/>
      </w:pPr>
      <w:r>
        <w:t xml:space="preserve">Full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Layer</w:t>
            </w:r>
          </w:p>
        </w:tc>
        <w:tc>
          <w:tcPr>
            <w:tcW w:type="dxa" w:w="7060"/>
            <w:shd w:fill="10243A"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b w:val="false"/>
                <w:bCs w:val="false"/>
                <w:sz w:val="19"/>
                <w:szCs w:val="19"/>
              </w:rPr>
              <w:t xml:space="preserve">Static web app</w:t>
            </w:r>
          </w:p>
        </w:tc>
        <w:tc>
          <w:tcPr>
            <w:tcW w:type="dxa" w:w="7060"/>
            <w:tcMar>
              <w:top w:type="dxa" w:w="80"/>
              <w:left w:type="dxa" w:w="100"/>
              <w:bottom w:type="dxa" w:w="80"/>
              <w:right w:type="dxa" w:w="100"/>
            </w:tcMar>
          </w:tcPr>
          <w:p>
            <w:r>
              <w:rPr>
                <w:b w:val="false"/>
                <w:bCs w:val="false"/>
                <w:sz w:val="19"/>
                <w:szCs w:val="19"/>
              </w:rPr>
              <w:t xml:space="preserve">frankie/index.html + ~50 vanilla JS modules under frankie/js/, one CSS file per tool under frankie/css/. No build step. CSP meta tag restricts script/style/connect/img origins explicitly — every new external dependency (e.g. Leaflet/unpkg.com for Plant Explorer’s map view) has needed a CSP addition.</w:t>
            </w:r>
          </w:p>
        </w:tc>
      </w:tr>
      <w:tr>
        <w:tc>
          <w:tcPr>
            <w:tcW w:type="dxa" w:w="2400"/>
            <w:tcMar>
              <w:top w:type="dxa" w:w="80"/>
              <w:left w:type="dxa" w:w="100"/>
              <w:bottom w:type="dxa" w:w="80"/>
              <w:right w:type="dxa" w:w="100"/>
            </w:tcMar>
          </w:tcPr>
          <w:p>
            <w:r>
              <w:rPr>
                <w:b w:val="false"/>
                <w:bCs w:val="false"/>
                <w:sz w:val="19"/>
                <w:szCs w:val="19"/>
              </w:rPr>
              <w:t xml:space="preserve">Cloudflare Worker (ch-proxy-worker.js)</w:t>
            </w:r>
          </w:p>
        </w:tc>
        <w:tc>
          <w:tcPr>
            <w:tcW w:type="dxa" w:w="7060"/>
            <w:tcMar>
              <w:top w:type="dxa" w:w="80"/>
              <w:left w:type="dxa" w:w="100"/>
              <w:bottom w:type="dxa" w:w="80"/>
              <w:right w:type="dxa" w:w="100"/>
            </w:tcMar>
          </w:tcPr>
          <w:p>
            <w:r>
              <w:rPr>
                <w:b w:val="false"/>
                <w:bCs w:val="false"/>
                <w:sz w:val="19"/>
                <w:szCs w:val="19"/>
              </w:rPr>
              <w:t xml:space="preserve">https://ch.rene-dorset.workers.dev — gateway for /claude/*, /groq/*, /embed/*, and /kb/* (every KB, vector, and graph JSON file). Requires an Authorization: Bearer &lt;frankieUserToken&gt; header, sourced from the member’s Supabase session. Deployed separately from the site repo.</w:t>
            </w:r>
          </w:p>
        </w:tc>
      </w:tr>
      <w:tr>
        <w:tc>
          <w:tcPr>
            <w:tcW w:type="dxa" w:w="2400"/>
            <w:tcMar>
              <w:top w:type="dxa" w:w="80"/>
              <w:left w:type="dxa" w:w="100"/>
              <w:bottom w:type="dxa" w:w="80"/>
              <w:right w:type="dxa" w:w="100"/>
            </w:tcMar>
          </w:tcPr>
          <w:p>
            <w:r>
              <w:rPr>
                <w:b w:val="false"/>
                <w:bCs w:val="false"/>
                <w:sz w:val="19"/>
                <w:szCs w:val="19"/>
              </w:rPr>
              <w:t xml:space="preserve">Azure Blob storage</w:t>
            </w:r>
          </w:p>
        </w:tc>
        <w:tc>
          <w:tcPr>
            <w:tcW w:type="dxa" w:w="7060"/>
            <w:tcMar>
              <w:top w:type="dxa" w:w="80"/>
              <w:left w:type="dxa" w:w="100"/>
              <w:bottom w:type="dxa" w:w="80"/>
              <w:right w:type="dxa" w:w="100"/>
            </w:tcMar>
          </w:tcPr>
          <w:p>
            <w:r>
              <w:rPr>
                <w:b w:val="false"/>
                <w:bCs w:val="false"/>
                <w:sz w:val="19"/>
                <w:szCs w:val="19"/>
              </w:rPr>
              <w:t xml:space="preserve">Backs the Worker’s /kb/* route — the private container holding every KB partition file, the vector files, and frankie_graph.json.</w:t>
            </w:r>
          </w:p>
        </w:tc>
      </w:tr>
      <w:tr>
        <w:tc>
          <w:tcPr>
            <w:tcW w:type="dxa" w:w="2400"/>
            <w:tcMar>
              <w:top w:type="dxa" w:w="80"/>
              <w:left w:type="dxa" w:w="100"/>
              <w:bottom w:type="dxa" w:w="80"/>
              <w:right w:type="dxa" w:w="100"/>
            </w:tcMar>
          </w:tcPr>
          <w:p>
            <w:r>
              <w:rPr>
                <w:b w:val="false"/>
                <w:bCs w:val="false"/>
                <w:sz w:val="19"/>
                <w:szCs w:val="19"/>
              </w:rPr>
              <w:t xml:space="preserve">Supabase</w:t>
            </w:r>
          </w:p>
        </w:tc>
        <w:tc>
          <w:tcPr>
            <w:tcW w:type="dxa" w:w="7060"/>
            <w:tcMar>
              <w:top w:type="dxa" w:w="80"/>
              <w:left w:type="dxa" w:w="100"/>
              <w:bottom w:type="dxa" w:w="80"/>
              <w:right w:type="dxa" w:w="100"/>
            </w:tcMar>
          </w:tcPr>
          <w:p>
            <w:r>
              <w:rPr>
                <w:b w:val="false"/>
                <w:bCs w:val="false"/>
                <w:sz w:val="19"/>
                <w:szCs w:val="19"/>
              </w:rPr>
              <w:t xml:space="preserve">Auth (member sessions gate the whole Frankie page, not just data calls), evidence-docs Storage bucket, company profiles, ISO 19443 results, RLS policies restricting @nuccol.co.uk for SCC reads.</w:t>
            </w:r>
          </w:p>
        </w:tc>
      </w:tr>
      <w:tr>
        <w:tc>
          <w:tcPr>
            <w:tcW w:type="dxa" w:w="2400"/>
            <w:tcMar>
              <w:top w:type="dxa" w:w="80"/>
              <w:left w:type="dxa" w:w="100"/>
              <w:bottom w:type="dxa" w:w="80"/>
              <w:right w:type="dxa" w:w="100"/>
            </w:tcMar>
          </w:tcPr>
          <w:p>
            <w:r>
              <w:rPr>
                <w:b w:val="false"/>
                <w:bCs w:val="false"/>
                <w:sz w:val="19"/>
                <w:szCs w:val="19"/>
              </w:rPr>
              <w:t xml:space="preserve">GitHub Actions → Azure Static Web Apps</w:t>
            </w:r>
          </w:p>
        </w:tc>
        <w:tc>
          <w:tcPr>
            <w:tcW w:type="dxa" w:w="7060"/>
            <w:tcMar>
              <w:top w:type="dxa" w:w="80"/>
              <w:left w:type="dxa" w:w="100"/>
              <w:bottom w:type="dxa" w:w="80"/>
              <w:right w:type="dxa" w:w="100"/>
            </w:tcMar>
          </w:tcPr>
          <w:p>
            <w:r>
              <w:rPr>
                <w:b w:val="false"/>
                <w:bCs w:val="false"/>
                <w:sz w:val="19"/>
                <w:szCs w:val="19"/>
              </w:rPr>
              <w:t xml:space="preserve">The site repo (renrenrenx10/Website) deploys on push to the live nuccol.co.uk site. Rene pushes personally after local commits — standing constraint: no one pushes to this repo without his explicit go-ahead.</w:t>
            </w:r>
          </w:p>
        </w:tc>
      </w:tr>
      <w:tr>
        <w:tc>
          <w:tcPr>
            <w:tcW w:type="dxa" w:w="2400"/>
            <w:tcMar>
              <w:top w:type="dxa" w:w="80"/>
              <w:left w:type="dxa" w:w="100"/>
              <w:bottom w:type="dxa" w:w="80"/>
              <w:right w:type="dxa" w:w="100"/>
            </w:tcMar>
          </w:tcPr>
          <w:p>
            <w:r>
              <w:rPr>
                <w:b w:val="false"/>
                <w:bCs w:val="false"/>
                <w:sz w:val="19"/>
                <w:szCs w:val="19"/>
              </w:rPr>
              <w:t xml:space="preserve">SCC portal (scc.html)</w:t>
            </w:r>
          </w:p>
        </w:tc>
        <w:tc>
          <w:tcPr>
            <w:tcW w:type="dxa" w:w="7060"/>
            <w:tcMar>
              <w:top w:type="dxa" w:w="80"/>
              <w:left w:type="dxa" w:w="100"/>
              <w:bottom w:type="dxa" w:w="80"/>
              <w:right w:type="dxa" w:w="100"/>
            </w:tcMar>
          </w:tcPr>
          <w:p>
            <w:r>
              <w:rPr>
                <w:b w:val="false"/>
                <w:bCs w:val="false"/>
                <w:sz w:val="19"/>
                <w:szCs w:val="19"/>
              </w:rPr>
              <w:t xml:space="preserve">Full separate staff app: Supabase auth, company CRM, evidence dashboard, ISO 19443 results, live scraper, supplier intelligence. Lives at the site root alongside members.html, not inside frankie/.</w:t>
            </w:r>
          </w:p>
        </w:tc>
      </w:tr>
      <w:tr>
        <w:tc>
          <w:tcPr>
            <w:tcW w:type="dxa" w:w="2400"/>
            <w:tcMar>
              <w:top w:type="dxa" w:w="80"/>
              <w:left w:type="dxa" w:w="100"/>
              <w:bottom w:type="dxa" w:w="80"/>
              <w:right w:type="dxa" w:w="100"/>
            </w:tcMar>
          </w:tcPr>
          <w:p>
            <w:r>
              <w:rPr>
                <w:b w:val="false"/>
                <w:bCs w:val="false"/>
                <w:sz w:val="19"/>
                <w:szCs w:val="19"/>
              </w:rPr>
              <w:t xml:space="preserve">Members portal (members.html)</w:t>
            </w:r>
          </w:p>
        </w:tc>
        <w:tc>
          <w:tcPr>
            <w:tcW w:type="dxa" w:w="7060"/>
            <w:tcMar>
              <w:top w:type="dxa" w:w="80"/>
              <w:left w:type="dxa" w:w="100"/>
              <w:bottom w:type="dxa" w:w="80"/>
              <w:right w:type="dxa" w:w="100"/>
            </w:tcMar>
          </w:tcPr>
          <w:p>
            <w:r>
              <w:rPr>
                <w:b w:val="false"/>
                <w:bCs w:val="false"/>
                <w:sz w:val="19"/>
                <w:szCs w:val="19"/>
              </w:rPr>
              <w:t xml:space="preserve">Login/auth bridge for the whole member area, not just Frankie. Sets frankieUserToken (and legacy frankieUserId/frankieCompanyName) in localStorage. Supports a ?redirect= query param so a bounced Frankie visit returns to /frankie/ after login.</w:t>
            </w:r>
          </w:p>
        </w:tc>
      </w:tr>
    </w:tbl>
    <w:p>
      <w:pPr>
        <w:pStyle w:val="Heading2"/>
        <w:spacing w:after="120" w:before="260"/>
      </w:pPr>
      <w:r>
        <w:t xml:space="preserve">API Stack &amp; Model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60"/>
      </w:tblGrid>
      <w:tr>
        <w:trPr>
          <w:tblHeader/>
        </w:trPr>
        <w:tc>
          <w:tcPr>
            <w:tcW w:type="dxa" w:w="1700"/>
            <w:shd w:fill="10243A" w:val="clear"/>
            <w:tcMar>
              <w:top w:type="dxa" w:w="80"/>
              <w:left w:type="dxa" w:w="100"/>
              <w:bottom w:type="dxa" w:w="80"/>
              <w:right w:type="dxa" w:w="100"/>
            </w:tcMar>
          </w:tcPr>
          <w:p>
            <w:r>
              <w:rPr>
                <w:b/>
                <w:bCs/>
                <w:color w:val="FFFFFF"/>
                <w:sz w:val="19"/>
                <w:szCs w:val="19"/>
              </w:rPr>
              <w:t xml:space="preserve">API</w:t>
            </w:r>
          </w:p>
        </w:tc>
        <w:tc>
          <w:tcPr>
            <w:tcW w:type="dxa" w:w="3300"/>
            <w:shd w:fill="10243A" w:val="clear"/>
            <w:tcMar>
              <w:top w:type="dxa" w:w="80"/>
              <w:left w:type="dxa" w:w="100"/>
              <w:bottom w:type="dxa" w:w="80"/>
              <w:right w:type="dxa" w:w="100"/>
            </w:tcMar>
          </w:tcPr>
          <w:p>
            <w:r>
              <w:rPr>
                <w:b/>
                <w:bCs/>
                <w:color w:val="FFFFFF"/>
                <w:sz w:val="19"/>
                <w:szCs w:val="19"/>
              </w:rPr>
              <w:t xml:space="preserve">Model / Version</w:t>
            </w:r>
          </w:p>
        </w:tc>
        <w:tc>
          <w:tcPr>
            <w:tcW w:type="dxa" w:w="4460"/>
            <w:shd w:fill="10243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sz w:val="19"/>
                <w:szCs w:val="19"/>
              </w:rPr>
              <w:t xml:space="preserve">Claude (Anthropic)</w:t>
            </w:r>
          </w:p>
        </w:tc>
        <w:tc>
          <w:tcPr>
            <w:tcW w:type="dxa" w:w="3300"/>
            <w:tcMar>
              <w:top w:type="dxa" w:w="80"/>
              <w:left w:type="dxa" w:w="100"/>
              <w:bottom w:type="dxa" w:w="80"/>
              <w:right w:type="dxa" w:w="100"/>
            </w:tcMar>
          </w:tcPr>
          <w:p>
            <w:r>
              <w:rPr>
                <w:b w:val="false"/>
                <w:bCs w:val="false"/>
                <w:sz w:val="19"/>
                <w:szCs w:val="19"/>
              </w:rPr>
              <w:t xml:space="preserve">claude-sonnet-4-6 (was claude-sonnet-4-20250514, a dated snapshot retired 2026-06-15 — config.js now self-heals any browser that had the old ID cached)</w:t>
            </w:r>
          </w:p>
        </w:tc>
        <w:tc>
          <w:tcPr>
            <w:tcW w:type="dxa" w:w="4460"/>
            <w:tcMar>
              <w:top w:type="dxa" w:w="80"/>
              <w:left w:type="dxa" w:w="100"/>
              <w:bottom w:type="dxa" w:w="80"/>
              <w:right w:type="dxa" w:w="100"/>
            </w:tcMar>
          </w:tcPr>
          <w:p>
            <w:r>
              <w:rPr>
                <w:b w:val="false"/>
                <w:bCs w:val="false"/>
                <w:sz w:val="19"/>
                <w:szCs w:val="19"/>
              </w:rPr>
              <w:t xml:space="preserve">Chat responses, via the Worker’s /claude/* route — never a direct browser→Anthropic call any more</w:t>
            </w:r>
          </w:p>
        </w:tc>
      </w:tr>
      <w:tr>
        <w:tc>
          <w:tcPr>
            <w:tcW w:type="dxa" w:w="1700"/>
            <w:tcMar>
              <w:top w:type="dxa" w:w="80"/>
              <w:left w:type="dxa" w:w="100"/>
              <w:bottom w:type="dxa" w:w="80"/>
              <w:right w:type="dxa" w:w="100"/>
            </w:tcMar>
          </w:tcPr>
          <w:p>
            <w:r>
              <w:rPr>
                <w:b w:val="false"/>
                <w:bCs w:val="false"/>
                <w:sz w:val="19"/>
                <w:szCs w:val="19"/>
              </w:rPr>
              <w:t xml:space="preserve">Groq</w:t>
            </w:r>
          </w:p>
        </w:tc>
        <w:tc>
          <w:tcPr>
            <w:tcW w:type="dxa" w:w="3300"/>
            <w:tcMar>
              <w:top w:type="dxa" w:w="80"/>
              <w:left w:type="dxa" w:w="100"/>
              <w:bottom w:type="dxa" w:w="80"/>
              <w:right w:type="dxa" w:w="100"/>
            </w:tcMar>
          </w:tcPr>
          <w:p>
            <w:r>
              <w:rPr>
                <w:b w:val="false"/>
                <w:bCs w:val="false"/>
                <w:sz w:val="19"/>
                <w:szCs w:val="19"/>
              </w:rPr>
              <w:t xml:space="preserve">openai/gpt-oss-20b (was llama-3.1-8b-instant, deprecated by Groq 2026-08-16 — same self-heal pattern in config.js)</w:t>
            </w:r>
          </w:p>
        </w:tc>
        <w:tc>
          <w:tcPr>
            <w:tcW w:type="dxa" w:w="4460"/>
            <w:tcMar>
              <w:top w:type="dxa" w:w="80"/>
              <w:left w:type="dxa" w:w="100"/>
              <w:bottom w:type="dxa" w:w="80"/>
              <w:right w:type="dxa" w:w="100"/>
            </w:tcMar>
          </w:tcPr>
          <w:p>
            <w:r>
              <w:rPr>
                <w:b w:val="false"/>
                <w:bCs w:val="false"/>
                <w:sz w:val="19"/>
                <w:szCs w:val="19"/>
              </w:rPr>
              <w:t xml:space="preserve">Query preprocessing: intent classification, query rewriting</w:t>
            </w:r>
          </w:p>
        </w:tc>
      </w:tr>
      <w:tr>
        <w:tc>
          <w:tcPr>
            <w:tcW w:type="dxa" w:w="1700"/>
            <w:tcMar>
              <w:top w:type="dxa" w:w="80"/>
              <w:left w:type="dxa" w:w="100"/>
              <w:bottom w:type="dxa" w:w="80"/>
              <w:right w:type="dxa" w:w="100"/>
            </w:tcMar>
          </w:tcPr>
          <w:p>
            <w:r>
              <w:rPr>
                <w:b w:val="false"/>
                <w:bCs w:val="false"/>
                <w:sz w:val="19"/>
                <w:szCs w:val="19"/>
              </w:rPr>
              <w:t xml:space="preserve">OpenAI</w:t>
            </w:r>
          </w:p>
        </w:tc>
        <w:tc>
          <w:tcPr>
            <w:tcW w:type="dxa" w:w="3300"/>
            <w:tcMar>
              <w:top w:type="dxa" w:w="80"/>
              <w:left w:type="dxa" w:w="100"/>
              <w:bottom w:type="dxa" w:w="80"/>
              <w:right w:type="dxa" w:w="100"/>
            </w:tcMar>
          </w:tcPr>
          <w:p>
            <w:r>
              <w:rPr>
                <w:b w:val="false"/>
                <w:bCs w:val="false"/>
                <w:sz w:val="19"/>
                <w:szCs w:val="19"/>
              </w:rPr>
              <w:t xml:space="preserve">text-embedding-3-small, full 1536 dims</w:t>
            </w:r>
          </w:p>
        </w:tc>
        <w:tc>
          <w:tcPr>
            <w:tcW w:type="dxa" w:w="4460"/>
            <w:tcMar>
              <w:top w:type="dxa" w:w="80"/>
              <w:left w:type="dxa" w:w="100"/>
              <w:bottom w:type="dxa" w:w="80"/>
              <w:right w:type="dxa" w:w="100"/>
            </w:tcMar>
          </w:tcPr>
          <w:p>
            <w:r>
              <w:rPr>
                <w:b w:val="false"/>
                <w:bCs w:val="false"/>
                <w:sz w:val="19"/>
                <w:szCs w:val="19"/>
              </w:rPr>
              <w:t xml:space="preserve">Query-time embeddings for hybrid semantic search, via the Worker’s /embed/* route. Pre-computed vector files exist per KB partition (except reactors — keyword + graph only, no vectors).</w:t>
            </w:r>
          </w:p>
        </w:tc>
      </w:tr>
      <w:tr>
        <w:tc>
          <w:tcPr>
            <w:tcW w:type="dxa" w:w="1700"/>
            <w:tcMar>
              <w:top w:type="dxa" w:w="80"/>
              <w:left w:type="dxa" w:w="100"/>
              <w:bottom w:type="dxa" w:w="80"/>
              <w:right w:type="dxa" w:w="100"/>
            </w:tcMar>
          </w:tcPr>
          <w:p>
            <w:r>
              <w:rPr>
                <w:b w:val="false"/>
                <w:bCs w:val="false"/>
                <w:sz w:val="19"/>
                <w:szCs w:val="19"/>
              </w:rPr>
              <w:t xml:space="preserve">Companies House</w:t>
            </w:r>
          </w:p>
        </w:tc>
        <w:tc>
          <w:tcPr>
            <w:tcW w:type="dxa" w:w="3300"/>
            <w:tcMar>
              <w:top w:type="dxa" w:w="80"/>
              <w:left w:type="dxa" w:w="100"/>
              <w:bottom w:type="dxa" w:w="80"/>
              <w:right w:type="dxa" w:w="100"/>
            </w:tcMar>
          </w:tcPr>
          <w:p>
            <w:r>
              <w:rPr>
                <w:b w:val="false"/>
                <w:bCs w:val="false"/>
                <w:sz w:val="19"/>
                <w:szCs w:val="19"/>
              </w:rPr>
              <w:t xml:space="preserve">via ch-proxy-worker.js CORS proxy</w:t>
            </w:r>
          </w:p>
        </w:tc>
        <w:tc>
          <w:tcPr>
            <w:tcW w:type="dxa" w:w="4460"/>
            <w:tcMar>
              <w:top w:type="dxa" w:w="80"/>
              <w:left w:type="dxa" w:w="100"/>
              <w:bottom w:type="dxa" w:w="80"/>
              <w:right w:type="dxa" w:w="100"/>
            </w:tcMar>
          </w:tcPr>
          <w:p>
            <w:r>
              <w:rPr>
                <w:b w:val="false"/>
                <w:bCs w:val="false"/>
                <w:sz w:val="19"/>
                <w:szCs w:val="19"/>
              </w:rPr>
              <w:t xml:space="preserve">Supplier Intelligence (due-diligence-drawer.js)</w:t>
            </w:r>
          </w:p>
        </w:tc>
      </w:tr>
      <w:tr>
        <w:tc>
          <w:tcPr>
            <w:tcW w:type="dxa" w:w="1700"/>
            <w:tcMar>
              <w:top w:type="dxa" w:w="80"/>
              <w:left w:type="dxa" w:w="100"/>
              <w:bottom w:type="dxa" w:w="80"/>
              <w:right w:type="dxa" w:w="100"/>
            </w:tcMar>
          </w:tcPr>
          <w:p>
            <w:r>
              <w:rPr>
                <w:b w:val="false"/>
                <w:bCs w:val="false"/>
                <w:sz w:val="19"/>
                <w:szCs w:val="19"/>
              </w:rPr>
              <w:t xml:space="preserve">postcodes.io</w:t>
            </w:r>
          </w:p>
        </w:tc>
        <w:tc>
          <w:tcPr>
            <w:tcW w:type="dxa" w:w="3300"/>
            <w:tcMar>
              <w:top w:type="dxa" w:w="80"/>
              <w:left w:type="dxa" w:w="100"/>
              <w:bottom w:type="dxa" w:w="80"/>
              <w:right w:type="dxa" w:w="100"/>
            </w:tcMar>
          </w:tcPr>
          <w:p>
            <w:r>
              <w:rPr>
                <w:b w:val="false"/>
                <w:bCs w:val="false"/>
                <w:sz w:val="19"/>
                <w:szCs w:val="19"/>
              </w:rPr>
              <w:t xml:space="preserve">Free public API, no key</w:t>
            </w:r>
          </w:p>
        </w:tc>
        <w:tc>
          <w:tcPr>
            <w:tcW w:type="dxa" w:w="4460"/>
            <w:tcMar>
              <w:top w:type="dxa" w:w="80"/>
              <w:left w:type="dxa" w:w="100"/>
              <w:bottom w:type="dxa" w:w="80"/>
              <w:right w:type="dxa" w:w="100"/>
            </w:tcMar>
          </w:tcPr>
          <w:p>
            <w:r>
              <w:rPr>
                <w:b w:val="false"/>
                <w:bCs w:val="false"/>
                <w:sz w:val="19"/>
                <w:szCs w:val="19"/>
              </w:rPr>
              <w:t xml:space="preserve">Postcode lookup for Social Value Finder</w:t>
            </w:r>
          </w:p>
        </w:tc>
      </w:tr>
    </w:tbl>
    <w:p>
      <w:pPr>
        <w:pStyle w:val="Heading1"/>
        <w:spacing w:after="160" w:before="360"/>
      </w:pPr>
      <w:r>
        <w:t xml:space="preserve">4. Knowledge Base</w:t>
      </w:r>
    </w:p>
    <w:p>
      <w:pPr>
        <w:spacing w:after="140"/>
      </w:pPr>
      <w:r>
        <w:t xml:space="preserve">This is the single biggest change since v9. The old single 25,083-chunk frankie6_kb.json is gone, replaced by a five-partition architecture with an entity graph on top. Four partitions load eagerly (in parallel) on every session; the fifth — reactors — is 61,374 chunks of real reactor design-document text and loads only on demand.</w:t>
      </w:r>
    </w:p>
    <w:p>
      <w:pPr>
        <w:pStyle w:val="Heading2"/>
        <w:spacing w:after="120" w:before="260"/>
      </w:pPr>
      <w:r>
        <w:t xml:space="preserve">Partitions (js/retrieval.js PARTITIONS config)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300"/>
        <w:gridCol w:w="1760"/>
      </w:tblGrid>
      <w:tr>
        <w:trPr>
          <w:tblHeader/>
        </w:trPr>
        <w:tc>
          <w:tcPr>
            <w:tcW w:type="dxa" w:w="1200"/>
            <w:shd w:fill="10243A" w:val="clear"/>
            <w:tcMar>
              <w:top w:type="dxa" w:w="80"/>
              <w:left w:type="dxa" w:w="100"/>
              <w:bottom w:type="dxa" w:w="80"/>
              <w:right w:type="dxa" w:w="100"/>
            </w:tcMar>
          </w:tcPr>
          <w:p>
            <w:r>
              <w:rPr>
                <w:b/>
                <w:bCs/>
                <w:color w:val="FFFFFF"/>
                <w:sz w:val="19"/>
                <w:szCs w:val="19"/>
              </w:rPr>
              <w:t xml:space="preserve">Partition</w:t>
            </w:r>
          </w:p>
        </w:tc>
        <w:tc>
          <w:tcPr>
            <w:tcW w:type="dxa" w:w="3200"/>
            <w:shd w:fill="10243A" w:val="clear"/>
            <w:tcMar>
              <w:top w:type="dxa" w:w="80"/>
              <w:left w:type="dxa" w:w="100"/>
              <w:bottom w:type="dxa" w:w="80"/>
              <w:right w:type="dxa" w:w="100"/>
            </w:tcMar>
          </w:tcPr>
          <w:p>
            <w:r>
              <w:rPr>
                <w:b/>
                <w:bCs/>
                <w:color w:val="FFFFFF"/>
                <w:sz w:val="19"/>
                <w:szCs w:val="19"/>
              </w:rPr>
              <w:t xml:space="preserve">File</w:t>
            </w:r>
          </w:p>
        </w:tc>
        <w:tc>
          <w:tcPr>
            <w:tcW w:type="dxa" w:w="3300"/>
            <w:shd w:fill="10243A" w:val="clear"/>
            <w:tcMar>
              <w:top w:type="dxa" w:w="80"/>
              <w:left w:type="dxa" w:w="100"/>
              <w:bottom w:type="dxa" w:w="80"/>
              <w:right w:type="dxa" w:w="100"/>
            </w:tcMar>
          </w:tcPr>
          <w:p>
            <w:r>
              <w:rPr>
                <w:b/>
                <w:bCs/>
                <w:color w:val="FFFFFF"/>
                <w:sz w:val="19"/>
                <w:szCs w:val="19"/>
              </w:rPr>
              <w:t xml:space="preserve">Chunks (observed live)</w:t>
            </w:r>
          </w:p>
        </w:tc>
        <w:tc>
          <w:tcPr>
            <w:tcW w:type="dxa" w:w="1760"/>
            <w:shd w:fill="10243A" w:val="clear"/>
            <w:tcMar>
              <w:top w:type="dxa" w:w="80"/>
              <w:left w:type="dxa" w:w="100"/>
              <w:bottom w:type="dxa" w:w="80"/>
              <w:right w:type="dxa" w:w="100"/>
            </w:tcMar>
          </w:tcPr>
          <w:p>
            <w:r>
              <w:rPr>
                <w:b/>
                <w:bCs/>
                <w:color w:val="FFFFFF"/>
                <w:sz w:val="19"/>
                <w:szCs w:val="19"/>
              </w:rPr>
              <w:t xml:space="preserve">Loaded</w:t>
            </w:r>
          </w:p>
        </w:tc>
      </w:tr>
      <w:tr>
        <w:tc>
          <w:tcPr>
            <w:tcW w:type="dxa" w:w="1200"/>
            <w:tcMar>
              <w:top w:type="dxa" w:w="80"/>
              <w:left w:type="dxa" w:w="100"/>
              <w:bottom w:type="dxa" w:w="80"/>
              <w:right w:type="dxa" w:w="100"/>
            </w:tcMar>
          </w:tcPr>
          <w:p>
            <w:r>
              <w:rPr>
                <w:b w:val="false"/>
                <w:bCs w:val="false"/>
                <w:sz w:val="19"/>
                <w:szCs w:val="19"/>
              </w:rPr>
              <w:t xml:space="preserve">handbook</w:t>
            </w:r>
          </w:p>
        </w:tc>
        <w:tc>
          <w:tcPr>
            <w:tcW w:type="dxa" w:w="3200"/>
            <w:tcMar>
              <w:top w:type="dxa" w:w="80"/>
              <w:left w:type="dxa" w:w="100"/>
              <w:bottom w:type="dxa" w:w="80"/>
              <w:right w:type="dxa" w:w="100"/>
            </w:tcMar>
          </w:tcPr>
          <w:p>
            <w:r>
              <w:rPr>
                <w:b w:val="false"/>
                <w:bCs w:val="false"/>
                <w:sz w:val="19"/>
                <w:szCs w:val="19"/>
              </w:rPr>
              <w:t xml:space="preserve">frankie_handbook_kb.json + vectors</w:t>
            </w:r>
          </w:p>
        </w:tc>
        <w:tc>
          <w:tcPr>
            <w:tcW w:type="dxa" w:w="3300"/>
            <w:tcMar>
              <w:top w:type="dxa" w:w="80"/>
              <w:left w:type="dxa" w:w="100"/>
              <w:bottom w:type="dxa" w:w="80"/>
              <w:right w:type="dxa" w:w="100"/>
            </w:tcMar>
          </w:tcPr>
          <w:p>
            <w:r>
              <w:rPr>
                <w:b w:val="false"/>
                <w:bCs w:val="false"/>
                <w:sz w:val="19"/>
                <w:szCs w:val="19"/>
              </w:rPr>
              <w:t xml:space="preserve">134</w:t>
            </w:r>
          </w:p>
        </w:tc>
        <w:tc>
          <w:tcPr>
            <w:tcW w:type="dxa" w:w="1760"/>
            <w:tcMar>
              <w:top w:type="dxa" w:w="80"/>
              <w:left w:type="dxa" w:w="100"/>
              <w:bottom w:type="dxa" w:w="80"/>
              <w:right w:type="dxa" w:w="100"/>
            </w:tcMar>
          </w:tcPr>
          <w:p>
            <w:r>
              <w:rPr>
                <w:b w:val="false"/>
                <w:bCs w:val="false"/>
                <w:sz w:val="19"/>
                <w:szCs w:val="19"/>
              </w:rPr>
              <w:t xml:space="preserve">Eager, priority-boosted (×1.4) — curated member guidance, given priority over raw supplier-report evidence for "how do I…" queries</w:t>
            </w:r>
          </w:p>
        </w:tc>
      </w:tr>
      <w:tr>
        <w:tc>
          <w:tcPr>
            <w:tcW w:type="dxa" w:w="1200"/>
            <w:tcMar>
              <w:top w:type="dxa" w:w="80"/>
              <w:left w:type="dxa" w:w="100"/>
              <w:bottom w:type="dxa" w:w="80"/>
              <w:right w:type="dxa" w:w="100"/>
            </w:tcMar>
          </w:tcPr>
          <w:p>
            <w:r>
              <w:rPr>
                <w:b w:val="false"/>
                <w:bCs w:val="false"/>
                <w:sz w:val="19"/>
                <w:szCs w:val="19"/>
              </w:rPr>
              <w:t xml:space="preserve">supplier</w:t>
            </w:r>
          </w:p>
        </w:tc>
        <w:tc>
          <w:tcPr>
            <w:tcW w:type="dxa" w:w="3200"/>
            <w:tcMar>
              <w:top w:type="dxa" w:w="80"/>
              <w:left w:type="dxa" w:w="100"/>
              <w:bottom w:type="dxa" w:w="80"/>
              <w:right w:type="dxa" w:w="100"/>
            </w:tcMar>
          </w:tcPr>
          <w:p>
            <w:r>
              <w:rPr>
                <w:b w:val="false"/>
                <w:bCs w:val="false"/>
                <w:sz w:val="19"/>
                <w:szCs w:val="19"/>
              </w:rPr>
              <w:t xml:space="preserve">frankie7_supplier_kb.json + vectors</w:t>
            </w:r>
          </w:p>
        </w:tc>
        <w:tc>
          <w:tcPr>
            <w:tcW w:type="dxa" w:w="3300"/>
            <w:tcMar>
              <w:top w:type="dxa" w:w="80"/>
              <w:left w:type="dxa" w:w="100"/>
              <w:bottom w:type="dxa" w:w="80"/>
              <w:right w:type="dxa" w:w="100"/>
            </w:tcMar>
          </w:tcPr>
          <w:p>
            <w:r>
              <w:rPr>
                <w:b w:val="false"/>
                <w:bCs w:val="false"/>
                <w:sz w:val="19"/>
                <w:szCs w:val="19"/>
              </w:rPr>
              <w:t xml:space="preserve">2,164</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toolkit</w:t>
            </w:r>
          </w:p>
        </w:tc>
        <w:tc>
          <w:tcPr>
            <w:tcW w:type="dxa" w:w="3200"/>
            <w:tcMar>
              <w:top w:type="dxa" w:w="80"/>
              <w:left w:type="dxa" w:w="100"/>
              <w:bottom w:type="dxa" w:w="80"/>
              <w:right w:type="dxa" w:w="100"/>
            </w:tcMar>
          </w:tcPr>
          <w:p>
            <w:r>
              <w:rPr>
                <w:b w:val="false"/>
                <w:bCs w:val="false"/>
                <w:sz w:val="19"/>
                <w:szCs w:val="19"/>
              </w:rPr>
              <w:t xml:space="preserve">frankie_toolkit_kb.json + vectors</w:t>
            </w:r>
          </w:p>
        </w:tc>
        <w:tc>
          <w:tcPr>
            <w:tcW w:type="dxa" w:w="3300"/>
            <w:tcMar>
              <w:top w:type="dxa" w:w="80"/>
              <w:left w:type="dxa" w:w="100"/>
              <w:bottom w:type="dxa" w:w="80"/>
              <w:right w:type="dxa" w:w="100"/>
            </w:tcMar>
          </w:tcPr>
          <w:p>
            <w:r>
              <w:rPr>
                <w:b w:val="false"/>
                <w:bCs w:val="false"/>
                <w:sz w:val="19"/>
                <w:szCs w:val="19"/>
              </w:rPr>
              <w:t xml:space="preserve">1,580</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regs</w:t>
            </w:r>
          </w:p>
        </w:tc>
        <w:tc>
          <w:tcPr>
            <w:tcW w:type="dxa" w:w="3200"/>
            <w:tcMar>
              <w:top w:type="dxa" w:w="80"/>
              <w:left w:type="dxa" w:w="100"/>
              <w:bottom w:type="dxa" w:w="80"/>
              <w:right w:type="dxa" w:w="100"/>
            </w:tcMar>
          </w:tcPr>
          <w:p>
            <w:r>
              <w:rPr>
                <w:b w:val="false"/>
                <w:bCs w:val="false"/>
                <w:sz w:val="19"/>
                <w:szCs w:val="19"/>
              </w:rPr>
              <w:t xml:space="preserve">frankie_regs_kb.json + vectors</w:t>
            </w:r>
          </w:p>
        </w:tc>
        <w:tc>
          <w:tcPr>
            <w:tcW w:type="dxa" w:w="3300"/>
            <w:tcMar>
              <w:top w:type="dxa" w:w="80"/>
              <w:left w:type="dxa" w:w="100"/>
              <w:bottom w:type="dxa" w:w="80"/>
              <w:right w:type="dxa" w:w="100"/>
            </w:tcMar>
          </w:tcPr>
          <w:p>
            <w:r>
              <w:rPr>
                <w:b w:val="false"/>
                <w:bCs w:val="false"/>
                <w:sz w:val="19"/>
                <w:szCs w:val="19"/>
              </w:rPr>
              <w:t xml:space="preserve">1,666 of 11,593 (client-side filtered to UK-relevant categories: onr_sap, onr_tag, gda_guidance, cyber_security)</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reactors</w:t>
            </w:r>
          </w:p>
        </w:tc>
        <w:tc>
          <w:tcPr>
            <w:tcW w:type="dxa" w:w="3200"/>
            <w:tcMar>
              <w:top w:type="dxa" w:w="80"/>
              <w:left w:type="dxa" w:w="100"/>
              <w:bottom w:type="dxa" w:w="80"/>
              <w:right w:type="dxa" w:w="100"/>
            </w:tcMar>
          </w:tcPr>
          <w:p>
            <w:r>
              <w:rPr>
                <w:b w:val="false"/>
                <w:bCs w:val="false"/>
                <w:sz w:val="19"/>
                <w:szCs w:val="19"/>
              </w:rPr>
              <w:t xml:space="preserve">frankie_reactors_kb.json (no vectors — keyword + graph only)</w:t>
            </w:r>
          </w:p>
        </w:tc>
        <w:tc>
          <w:tcPr>
            <w:tcW w:type="dxa" w:w="3300"/>
            <w:tcMar>
              <w:top w:type="dxa" w:w="80"/>
              <w:left w:type="dxa" w:w="100"/>
              <w:bottom w:type="dxa" w:w="80"/>
              <w:right w:type="dxa" w:w="100"/>
            </w:tcMar>
          </w:tcPr>
          <w:p>
            <w:r>
              <w:rPr>
                <w:b w:val="false"/>
                <w:bCs w:val="false"/>
                <w:sz w:val="19"/>
                <w:szCs w:val="19"/>
              </w:rPr>
              <w:t xml:space="preserve">61,374</w:t>
            </w:r>
          </w:p>
        </w:tc>
        <w:tc>
          <w:tcPr>
            <w:tcW w:type="dxa" w:w="1760"/>
            <w:tcMar>
              <w:top w:type="dxa" w:w="80"/>
              <w:left w:type="dxa" w:w="100"/>
              <w:bottom w:type="dxa" w:w="80"/>
              <w:right w:type="dxa" w:w="100"/>
            </w:tcMar>
          </w:tcPr>
          <w:p>
            <w:r>
              <w:rPr>
                <w:b w:val="false"/>
                <w:bCs w:val="false"/>
                <w:sz w:val="19"/>
                <w:szCs w:val="19"/>
              </w:rPr>
              <w:t xml:space="preserve">Lazy — retired from default chat retrieval for the F4N-member soft launch (see below); reachable via NucColpedia’s Reactor Documents tab instead (§7)</w:t>
            </w:r>
          </w:p>
        </w:tc>
      </w:tr>
    </w:tbl>
    <w:p>
      <w:pPr>
        <w:spacing w:after="160"/>
      </w:pPr>
      <w:r>
        <w:rPr>
          <w:i/>
          <w:iCs/>
          <w:color w:val="65758A"/>
        </w:rPr>
        <w:t xml:space="preserve">The live "Brain" status readout separately reports 76,845 chunks / 5-of-5 partitions loaded, and 15,471 vectors across 4-of-4 vector-bearing partitions — quoted here as directly observed rather than reconciled against the per-partition figures above, since getKbStats() computes its own aggregate.</w:t>
      </w:r>
    </w:p>
    <w:p>
      <w:pPr>
        <w:pStyle w:val="Heading2"/>
        <w:spacing w:after="120" w:before="260"/>
      </w:pPr>
      <w:r>
        <w:t xml:space="preserve">Reactors partition — retired from chat, not deleted</w:t>
      </w:r>
    </w:p>
    <w:p>
      <w:pPr>
        <w:spacing w:after="140"/>
      </w:pPr>
      <w:r>
        <w:t xml:space="preserve">js/retrieval.js hardcodes const nuclear = false in searchKnowledgeBase(), with the original isNuclearQuery(query) call commented out. The comment there is explicit: it was "retired from default retrieval for the F4N-member soft launch — see ‘Frankie, Recalibrated’ proposal, §02" and isNuclearQuery()/NUCLEAR_SIGNALS were deliberately left in place, unused, "in case a separate, explicitly-chosen nuclear engineering mode is built later." As of this version, that mode has not been built for chat — but the same 61,374-chunk KB is now reachable through NucColpedia’s Reactor Documents tab (§7), added this version, which was built specifically to surface it without touching default chat retrieval.</w:t>
      </w:r>
    </w:p>
    <w:p>
      <w:pPr>
        <w:pStyle w:val="Heading2"/>
        <w:spacing w:after="120" w:before="260"/>
      </w:pPr>
      <w:r>
        <w:t xml:space="preserve">Entity Graph</w:t>
      </w:r>
    </w:p>
    <w:p>
      <w:pPr>
        <w:spacing w:after="140"/>
      </w:pPr>
      <w:r>
        <w:t xml:space="preserve">frankie_graph.json (an entity index built separately, ~15.8MB) is loaded alongside the KB. Query text is scanned for known entities — SAP codes, TAG codes, NUREG numbers, reactor names/aliases (AP1000, ABWR, UK EPR, etc.), F4N pillar names, materials, components, standards, regulatory bodies — and any chunk the graph pins to a matched entity gets a flat +3.0 score boost (GRAPH_BOOST) on top of its keyword/vector score.</w:t>
      </w:r>
    </w:p>
    <w:p>
      <w:pPr>
        <w:pStyle w:val="Heading2"/>
        <w:spacing w:after="120" w:before="260"/>
      </w:pPr>
      <w:r>
        <w:t xml:space="preserve">Scoring</w:t>
      </w:r>
    </w:p>
    <w:p>
      <w:pPr>
        <w:pStyle w:val="ListParagraph"/>
        <w:numPr>
          <w:ilvl w:val="0"/>
          <w:numId w:val="1"/>
        </w:numPr>
        <w:spacing w:after="60"/>
      </w:pPr>
      <w:r>
        <w:t xml:space="preserve">Hybrid: 60% vector cosine similarity + 40% keyword (per-word, term-frequency) when an OpenAI embedding is available for the query; keyword-only fallback otherwise</w:t>
      </w:r>
    </w:p>
    <w:p>
      <w:pPr>
        <w:pStyle w:val="ListParagraph"/>
        <w:numPr>
          <w:ilvl w:val="0"/>
          <w:numId w:val="1"/>
        </w:numPr>
        <w:spacing w:after="60"/>
      </w:pPr>
      <w:r>
        <w:t xml:space="preserve">Anonymised supplier-report evidence chunks (F4N/Reports/BE, F4N/Reports/NSS source folders) are demoted ×0.55 relative to guidance content, so genuine how-to guidance outranks someone else’s report excerpt unless the report is a much stronger match</w:t>
      </w:r>
    </w:p>
    <w:p>
      <w:pPr>
        <w:pStyle w:val="ListParagraph"/>
        <w:numPr>
          <w:ilvl w:val="0"/>
          <w:numId w:val="1"/>
        </w:numPr>
        <w:spacing w:after="60"/>
      </w:pPr>
      <w:r>
        <w:t xml:space="preserve">Handbook chunks are boosted ×1.4 for the same reason, the other direction</w:t>
      </w:r>
    </w:p>
    <w:p>
      <w:pPr>
        <w:pStyle w:val="ListParagraph"/>
        <w:numPr>
          <w:ilvl w:val="0"/>
          <w:numId w:val="1"/>
        </w:numPr>
        <w:spacing w:after="60"/>
      </w:pPr>
      <w:r>
        <w:t xml:space="preserve">Tier gating: a free-tier viewer has reference_only and non-company/both-audience chunks filtered out before scoring; gated hits are still counted (up to 3) for an upsell prompt without their content being shown</w:t>
      </w:r>
    </w:p>
    <w:p>
      <w:pPr>
        <w:pStyle w:val="ListParagraph"/>
        <w:numPr>
          <w:ilvl w:val="0"/>
          <w:numId w:val="1"/>
        </w:numPr>
        <w:spacing w:after="60"/>
      </w:pPr>
      <w:r>
        <w:t xml:space="preserve">Multi-word queries are matched per word (OR), not as a literal phrase — worth calling out because the identical bug class (literal-phrase substring matching silently returning zero results on any multi-word query) was found and fixed twice this version in other search surfaces: Plant Explorer’s full-text search and the new Reactor Documents search (§7)</w:t>
      </w:r>
    </w:p>
    <w:p>
      <w:pPr>
        <w:pStyle w:val="Heading2"/>
        <w:spacing w:after="120" w:before="260"/>
      </w:pPr>
      <w:r>
        <w:t xml:space="preserve">KB Build Process</w:t>
      </w:r>
    </w:p>
    <w:p>
      <w:pPr>
        <w:spacing w:after="140"/>
      </w:pPr>
      <w:r>
        <w:t xml:space="preserve">Each partition has its own dedicated build script under Feed_Frankie/Pythons/ (e.g. build_frankie_reactors_kb.py, build_frankie_handbook_kb.py). The reactors build auto-discovers every subfolder of Feed_Frankie/Reactors/ (skips a documented IGNORE_DIRS list of pipeline working folders), stage-1 filters files by keyword relevance score before full extraction, tags every chunk with reactor_type/doc_category/discipline, and writes a build meta block (chunk counts, dupes removed, reactor breakdown) into the output JSON alongside the chunks themselves.</w:t>
      </w:r>
    </w:p>
    <w:p>
      <w:pPr>
        <w:pStyle w:val="Heading1"/>
        <w:spacing w:after="160" w:before="360"/>
      </w:pPr>
      <w:r>
        <w:t xml:space="preserve">5. File Structure</w:t>
      </w:r>
    </w:p>
    <w:p>
      <w:pPr>
        <w:spacing w:after="140"/>
      </w:pPr>
      <w:r>
        <w:t xml:space="preserve">Regenerated directly from the current frankie/ folder (backup/.bak/.backup-* files omitted — the repo carries several dated snapshot copies of files taken before risky edits, per its own working convention).</w:t>
      </w:r>
    </w:p>
    <w:p>
      <w:pPr>
        <w:pStyle w:val="Heading2"/>
        <w:spacing w:after="120" w:before="260"/>
      </w:pPr>
      <w:r>
        <w:t xml:space="preserve">Root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File</w:t>
            </w:r>
          </w:p>
        </w:tc>
        <w:tc>
          <w:tcPr>
            <w:tcW w:type="dxa" w:w="6860"/>
            <w:shd w:fill="10243A"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index.html</w:t>
            </w:r>
          </w:p>
        </w:tc>
        <w:tc>
          <w:tcPr>
            <w:tcW w:type="dxa" w:w="6860"/>
            <w:tcMar>
              <w:top w:type="dxa" w:w="80"/>
              <w:left w:type="dxa" w:w="100"/>
              <w:bottom w:type="dxa" w:w="80"/>
              <w:right w:type="dxa" w:w="100"/>
            </w:tcMar>
          </w:tcPr>
          <w:p>
            <w:r>
              <w:rPr>
                <w:b w:val="false"/>
                <w:bCs w:val="false"/>
                <w:sz w:val="19"/>
                <w:szCs w:val="19"/>
              </w:rPr>
              <w:t xml:space="preserve">App shell. Supabase auth gate at the top (visibility hidden → redirect if no session). CSP meta tag. Loads every CSS/JS module. Sidebar nav + hero landing + chat + right rail all live here.</w:t>
            </w:r>
          </w:p>
        </w:tc>
      </w:tr>
      <w:tr>
        <w:tc>
          <w:tcPr>
            <w:tcW w:type="dxa" w:w="2600"/>
            <w:tcMar>
              <w:top w:type="dxa" w:w="80"/>
              <w:left w:type="dxa" w:w="100"/>
              <w:bottom w:type="dxa" w:w="80"/>
              <w:right w:type="dxa" w:w="100"/>
            </w:tcMar>
          </w:tcPr>
          <w:p>
            <w:r>
              <w:rPr>
                <w:b w:val="false"/>
                <w:bCs w:val="false"/>
                <w:sz w:val="19"/>
                <w:szCs w:val="19"/>
              </w:rPr>
              <w:t xml:space="preserve">CHANGELOG.md</w:t>
            </w:r>
          </w:p>
        </w:tc>
        <w:tc>
          <w:tcPr>
            <w:tcW w:type="dxa" w:w="6860"/>
            <w:tcMar>
              <w:top w:type="dxa" w:w="80"/>
              <w:left w:type="dxa" w:w="100"/>
              <w:bottom w:type="dxa" w:w="80"/>
              <w:right w:type="dxa" w:w="100"/>
            </w:tcMar>
          </w:tcPr>
          <w:p>
            <w:r>
              <w:rPr>
                <w:b w:val="false"/>
                <w:bCs w:val="false"/>
                <w:sz w:val="19"/>
                <w:szCs w:val="19"/>
              </w:rPr>
              <w:t xml:space="preserve">Dated change log, entries through 2026-08-05. Later changes (partition rebuild, this version’s own work) are documented in code comments and session handover docs instead — see §1.</w:t>
            </w:r>
          </w:p>
        </w:tc>
      </w:tr>
      <w:tr>
        <w:tc>
          <w:tcPr>
            <w:tcW w:type="dxa" w:w="2600"/>
            <w:tcMar>
              <w:top w:type="dxa" w:w="80"/>
              <w:left w:type="dxa" w:w="100"/>
              <w:bottom w:type="dxa" w:w="80"/>
              <w:right w:type="dxa" w:w="100"/>
            </w:tcMar>
          </w:tcPr>
          <w:p>
            <w:r>
              <w:rPr>
                <w:b w:val="false"/>
                <w:bCs w:val="false"/>
                <w:sz w:val="19"/>
                <w:szCs w:val="19"/>
              </w:rPr>
              <w:t xml:space="preserve">kb/ (local)</w:t>
            </w:r>
          </w:p>
        </w:tc>
        <w:tc>
          <w:tcPr>
            <w:tcW w:type="dxa" w:w="6860"/>
            <w:tcMar>
              <w:top w:type="dxa" w:w="80"/>
              <w:left w:type="dxa" w:w="100"/>
              <w:bottom w:type="dxa" w:w="80"/>
              <w:right w:type="dxa" w:w="100"/>
            </w:tcMar>
          </w:tcPr>
          <w:p>
            <w:r>
              <w:rPr>
                <w:b w:val="false"/>
                <w:bCs w:val="false"/>
                <w:sz w:val="19"/>
                <w:szCs w:val="19"/>
              </w:rPr>
              <w:t xml:space="preserve">A handful of small static files only (assessment_data.json, be_evidence_map.json, faq-answers.json, handbook_url_map.json) plus stray full copies of frankie_graph.json and the narrowed regs KB/vectors. Not what the deployed app actually fetches — every partition/vector/graph file the client uses comes from the Worker’s /kb/* route (Azure Blob), not this folder. Treat this folder as legacy/staging, not a live data source.</w:t>
            </w:r>
          </w:p>
        </w:tc>
      </w:tr>
      <w:tr>
        <w:tc>
          <w:tcPr>
            <w:tcW w:type="dxa" w:w="2600"/>
            <w:tcMar>
              <w:top w:type="dxa" w:w="80"/>
              <w:left w:type="dxa" w:w="100"/>
              <w:bottom w:type="dxa" w:w="80"/>
              <w:right w:type="dxa" w:w="100"/>
            </w:tcMar>
          </w:tcPr>
          <w:p>
            <w:r>
              <w:rPr>
                <w:b w:val="false"/>
                <w:bCs w:val="false"/>
                <w:sz w:val="19"/>
                <w:szCs w:val="19"/>
              </w:rPr>
              <w:t xml:space="preserve">data/nuccolpedia_data.json</w:t>
            </w:r>
          </w:p>
        </w:tc>
        <w:tc>
          <w:tcPr>
            <w:tcW w:type="dxa" w:w="6860"/>
            <w:tcMar>
              <w:top w:type="dxa" w:w="80"/>
              <w:left w:type="dxa" w:w="100"/>
              <w:bottom w:type="dxa" w:w="80"/>
              <w:right w:type="dxa" w:w="100"/>
            </w:tcMar>
          </w:tcPr>
          <w:p>
            <w:r>
              <w:rPr>
                <w:b w:val="false"/>
                <w:bCs w:val="false"/>
                <w:sz w:val="19"/>
                <w:szCs w:val="19"/>
              </w:rPr>
              <w:t xml:space="preserve">~1.1MB, 924 curated research-link entries (category/country/doctype/topics) — fetched same-origin, unrelated to the Worker-gated KB partitions.</w:t>
            </w:r>
          </w:p>
        </w:tc>
      </w:tr>
      <w:tr>
        <w:tc>
          <w:tcPr>
            <w:tcW w:type="dxa" w:w="2600"/>
            <w:tcMar>
              <w:top w:type="dxa" w:w="80"/>
              <w:left w:type="dxa" w:w="100"/>
              <w:bottom w:type="dxa" w:w="80"/>
              <w:right w:type="dxa" w:w="100"/>
            </w:tcMar>
          </w:tcPr>
          <w:p>
            <w:r>
              <w:rPr>
                <w:b w:val="false"/>
                <w:bCs w:val="false"/>
                <w:sz w:val="19"/>
                <w:szCs w:val="19"/>
              </w:rPr>
              <w:t xml:space="preserve">images/plant-explorer/plant_tree_v2.json</w:t>
            </w:r>
          </w:p>
        </w:tc>
        <w:tc>
          <w:tcPr>
            <w:tcW w:type="dxa" w:w="6860"/>
            <w:tcMar>
              <w:top w:type="dxa" w:w="80"/>
              <w:left w:type="dxa" w:w="100"/>
              <w:bottom w:type="dxa" w:w="80"/>
              <w:right w:type="dxa" w:w="100"/>
            </w:tcMar>
          </w:tcPr>
          <w:p>
            <w:r>
              <w:rPr>
                <w:b w:val="false"/>
                <w:bCs w:val="false"/>
                <w:sz w:val="19"/>
                <w:szCs w:val="19"/>
              </w:rPr>
              <w:t xml:space="preserve">~12MB, fetched same-origin (no auth token needed). The real reactor-mapped Plant Explorer tree — 8,361+ subcomponents, 100% with reactors[]/instances[] across 18 designs. Regenerated from Reactor_BOM_DSE_Mapping_v3.xlsx via regen_tree.py (see §7). Deliberately decoupled from the chat’s older PlantDrawer feature, which still reads a generic, non-reactor-mapped tree via the Worker.</w:t>
            </w:r>
          </w:p>
        </w:tc>
      </w:tr>
    </w:tbl>
    <w:p>
      <w:pPr>
        <w:pStyle w:val="Heading2"/>
        <w:spacing w:after="120" w:before="260"/>
      </w:pPr>
      <w:r>
        <w:t xml:space="preserve">js/ — JavaScript Modules (current, non-exhaustive by design — ~50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w:trPr>
          <w:tblHeader/>
        </w:trPr>
        <w:tc>
          <w:tcPr>
            <w:tcW w:type="dxa" w:w="2900"/>
            <w:shd w:fill="10243A" w:val="clear"/>
            <w:tcMar>
              <w:top w:type="dxa" w:w="80"/>
              <w:left w:type="dxa" w:w="100"/>
              <w:bottom w:type="dxa" w:w="80"/>
              <w:right w:type="dxa" w:w="100"/>
            </w:tcMar>
          </w:tcPr>
          <w:p>
            <w:r>
              <w:rPr>
                <w:b/>
                <w:bCs/>
                <w:color w:val="FFFFFF"/>
                <w:sz w:val="19"/>
                <w:szCs w:val="19"/>
              </w:rPr>
              <w:t xml:space="preserve">Module</w:t>
            </w:r>
          </w:p>
        </w:tc>
        <w:tc>
          <w:tcPr>
            <w:tcW w:type="dxa" w:w="6560"/>
            <w:shd w:fill="10243A" w:val="clear"/>
            <w:tcMar>
              <w:top w:type="dxa" w:w="80"/>
              <w:left w:type="dxa" w:w="100"/>
              <w:bottom w:type="dxa" w:w="80"/>
              <w:right w:type="dxa" w:w="100"/>
            </w:tcMar>
          </w:tcPr>
          <w:p>
            <w:r>
              <w:rPr>
                <w:b/>
                <w:bCs/>
                <w:color w:val="FFFFFF"/>
                <w:sz w:val="19"/>
                <w:szCs w:val="19"/>
              </w:rPr>
              <w:t xml:space="preserve">Purpose</w:t>
            </w:r>
          </w:p>
        </w:tc>
      </w:tr>
      <w:tr>
        <w:tc>
          <w:tcPr>
            <w:tcW w:type="dxa" w:w="2900"/>
            <w:tcMar>
              <w:top w:type="dxa" w:w="80"/>
              <w:left w:type="dxa" w:w="100"/>
              <w:bottom w:type="dxa" w:w="80"/>
              <w:right w:type="dxa" w:w="100"/>
            </w:tcMar>
          </w:tcPr>
          <w:p>
            <w:r>
              <w:rPr>
                <w:b w:val="false"/>
                <w:bCs w:val="false"/>
                <w:sz w:val="19"/>
                <w:szCs w:val="19"/>
              </w:rPr>
              <w:t xml:space="preserve">app.js</w:t>
            </w:r>
          </w:p>
        </w:tc>
        <w:tc>
          <w:tcPr>
            <w:tcW w:type="dxa" w:w="6560"/>
            <w:tcMar>
              <w:top w:type="dxa" w:w="80"/>
              <w:left w:type="dxa" w:w="100"/>
              <w:bottom w:type="dxa" w:w="80"/>
              <w:right w:type="dxa" w:w="100"/>
            </w:tcMar>
          </w:tcPr>
          <w:p>
            <w:r>
              <w:rPr>
                <w:b w:val="false"/>
                <w:bCs w:val="false"/>
                <w:sz w:val="19"/>
                <w:szCs w:val="19"/>
              </w:rPr>
              <w:t xml:space="preserve">Main entry point. Query orchestration — retrieval → preprocessing → model routing → streaming.</w:t>
            </w:r>
          </w:p>
        </w:tc>
      </w:tr>
      <w:tr>
        <w:tc>
          <w:tcPr>
            <w:tcW w:type="dxa" w:w="2900"/>
            <w:tcMar>
              <w:top w:type="dxa" w:w="80"/>
              <w:left w:type="dxa" w:w="100"/>
              <w:bottom w:type="dxa" w:w="80"/>
              <w:right w:type="dxa" w:w="100"/>
            </w:tcMar>
          </w:tcPr>
          <w:p>
            <w:r>
              <w:rPr>
                <w:b w:val="false"/>
                <w:bCs w:val="false"/>
                <w:sz w:val="19"/>
                <w:szCs w:val="19"/>
              </w:rPr>
              <w:t xml:space="preserve">retrieval.js</w:t>
            </w:r>
          </w:p>
        </w:tc>
        <w:tc>
          <w:tcPr>
            <w:tcW w:type="dxa" w:w="6560"/>
            <w:tcMar>
              <w:top w:type="dxa" w:w="80"/>
              <w:left w:type="dxa" w:w="100"/>
              <w:bottom w:type="dxa" w:w="80"/>
              <w:right w:type="dxa" w:w="100"/>
            </w:tcMar>
          </w:tcPr>
          <w:p>
            <w:r>
              <w:rPr>
                <w:b w:val="false"/>
                <w:bCs w:val="false"/>
                <w:sz w:val="19"/>
                <w:szCs w:val="19"/>
              </w:rPr>
              <w:t xml:space="preserve">Multi-partition hybrid search, entity graph boosting, tier gating. See §4.</w:t>
            </w:r>
          </w:p>
        </w:tc>
      </w:tr>
      <w:tr>
        <w:tc>
          <w:tcPr>
            <w:tcW w:type="dxa" w:w="2900"/>
            <w:tcMar>
              <w:top w:type="dxa" w:w="80"/>
              <w:left w:type="dxa" w:w="100"/>
              <w:bottom w:type="dxa" w:w="80"/>
              <w:right w:type="dxa" w:w="100"/>
            </w:tcMar>
          </w:tcPr>
          <w:p>
            <w:r>
              <w:rPr>
                <w:b w:val="false"/>
                <w:bCs w:val="false"/>
                <w:sz w:val="19"/>
                <w:szCs w:val="19"/>
              </w:rPr>
              <w:t xml:space="preserve">config.js</w:t>
            </w:r>
          </w:p>
        </w:tc>
        <w:tc>
          <w:tcPr>
            <w:tcW w:type="dxa" w:w="6560"/>
            <w:tcMar>
              <w:top w:type="dxa" w:w="80"/>
              <w:left w:type="dxa" w:w="100"/>
              <w:bottom w:type="dxa" w:w="80"/>
              <w:right w:type="dxa" w:w="100"/>
            </w:tcMar>
          </w:tcPr>
          <w:p>
            <w:r>
              <w:rPr>
                <w:b w:val="false"/>
                <w:bCs w:val="false"/>
                <w:sz w:val="19"/>
                <w:szCs w:val="19"/>
              </w:rPr>
              <w:t xml:space="preserve">ConfigManager — typed localStorage accessors, self-healing model-ID defaults (see §3), API keys always resolve to the Worker.</w:t>
            </w:r>
          </w:p>
        </w:tc>
      </w:tr>
      <w:tr>
        <w:tc>
          <w:tcPr>
            <w:tcW w:type="dxa" w:w="2900"/>
            <w:tcMar>
              <w:top w:type="dxa" w:w="80"/>
              <w:left w:type="dxa" w:w="100"/>
              <w:bottom w:type="dxa" w:w="80"/>
              <w:right w:type="dxa" w:w="100"/>
            </w:tcMar>
          </w:tcPr>
          <w:p>
            <w:r>
              <w:rPr>
                <w:b w:val="false"/>
                <w:bCs w:val="false"/>
                <w:sz w:val="19"/>
                <w:szCs w:val="19"/>
              </w:rPr>
              <w:t xml:space="preserve">claude.js / groq.js</w:t>
            </w:r>
          </w:p>
        </w:tc>
        <w:tc>
          <w:tcPr>
            <w:tcW w:type="dxa" w:w="6560"/>
            <w:tcMar>
              <w:top w:type="dxa" w:w="80"/>
              <w:left w:type="dxa" w:w="100"/>
              <w:bottom w:type="dxa" w:w="80"/>
              <w:right w:type="dxa" w:w="100"/>
            </w:tcMar>
          </w:tcPr>
          <w:p>
            <w:r>
              <w:rPr>
                <w:b w:val="false"/>
                <w:bCs w:val="false"/>
                <w:sz w:val="19"/>
                <w:szCs w:val="19"/>
              </w:rPr>
              <w:t xml:space="preserve">API wrappers — call the Worker, not the upstream API directly. groq.js never throws; always resolves so chat never crashes on a preprocessing failure.</w:t>
            </w:r>
          </w:p>
        </w:tc>
      </w:tr>
      <w:tr>
        <w:tc>
          <w:tcPr>
            <w:tcW w:type="dxa" w:w="2900"/>
            <w:tcMar>
              <w:top w:type="dxa" w:w="80"/>
              <w:left w:type="dxa" w:w="100"/>
              <w:bottom w:type="dxa" w:w="80"/>
              <w:right w:type="dxa" w:w="100"/>
            </w:tcMar>
          </w:tcPr>
          <w:p>
            <w:r>
              <w:rPr>
                <w:b w:val="false"/>
                <w:bCs w:val="false"/>
                <w:sz w:val="19"/>
                <w:szCs w:val="19"/>
              </w:rPr>
              <w:t xml:space="preserve">ui.js</w:t>
            </w:r>
          </w:p>
        </w:tc>
        <w:tc>
          <w:tcPr>
            <w:tcW w:type="dxa" w:w="6560"/>
            <w:tcMar>
              <w:top w:type="dxa" w:w="80"/>
              <w:left w:type="dxa" w:w="100"/>
              <w:bottom w:type="dxa" w:w="80"/>
              <w:right w:type="dxa" w:w="100"/>
            </w:tcMar>
          </w:tcPr>
          <w:p>
            <w:r>
              <w:rPr>
                <w:b w:val="false"/>
                <w:bCs w:val="false"/>
                <w:sz w:val="19"/>
                <w:szCs w:val="19"/>
              </w:rPr>
              <w:t xml:space="preserve">Rail (source-card) rendering (updateRail()), suggestion panel, chat bubbles.</w:t>
            </w:r>
          </w:p>
        </w:tc>
      </w:tr>
      <w:tr>
        <w:tc>
          <w:tcPr>
            <w:tcW w:type="dxa" w:w="2900"/>
            <w:tcMar>
              <w:top w:type="dxa" w:w="80"/>
              <w:left w:type="dxa" w:w="100"/>
              <w:bottom w:type="dxa" w:w="80"/>
              <w:right w:type="dxa" w:w="100"/>
            </w:tcMar>
          </w:tcPr>
          <w:p>
            <w:r>
              <w:rPr>
                <w:b w:val="false"/>
                <w:bCs w:val="false"/>
                <w:sz w:val="19"/>
                <w:szCs w:val="19"/>
              </w:rPr>
              <w:t xml:space="preserve">hero-landing.js</w:t>
            </w:r>
          </w:p>
        </w:tc>
        <w:tc>
          <w:tcPr>
            <w:tcW w:type="dxa" w:w="6560"/>
            <w:tcMar>
              <w:top w:type="dxa" w:w="80"/>
              <w:left w:type="dxa" w:w="100"/>
              <w:bottom w:type="dxa" w:w="80"/>
              <w:right w:type="dxa" w:w="100"/>
            </w:tcMar>
          </w:tcPr>
          <w:p>
            <w:r>
              <w:rPr>
                <w:b w:val="false"/>
                <w:bCs w:val="false"/>
                <w:sz w:val="19"/>
                <w:szCs w:val="19"/>
              </w:rPr>
              <w:t xml:space="preserve">New this version-cycle (2026-08-05). window.FrankieHero.showChat()/.showHero() — toggles the hero screen vs. chat UI and (as of this version) the right-hand Sources rail’s visibility and the .app grid layout together (see §7).</w:t>
            </w:r>
          </w:p>
        </w:tc>
      </w:tr>
      <w:tr>
        <w:tc>
          <w:tcPr>
            <w:tcW w:type="dxa" w:w="2900"/>
            <w:tcMar>
              <w:top w:type="dxa" w:w="80"/>
              <w:left w:type="dxa" w:w="100"/>
              <w:bottom w:type="dxa" w:w="80"/>
              <w:right w:type="dxa" w:w="100"/>
            </w:tcMar>
          </w:tcPr>
          <w:p>
            <w:r>
              <w:rPr>
                <w:b w:val="false"/>
                <w:bCs w:val="false"/>
                <w:sz w:val="19"/>
                <w:szCs w:val="19"/>
              </w:rPr>
              <w:t xml:space="preserve">drawer-manager.js</w:t>
            </w:r>
          </w:p>
        </w:tc>
        <w:tc>
          <w:tcPr>
            <w:tcW w:type="dxa" w:w="6560"/>
            <w:tcMar>
              <w:top w:type="dxa" w:w="80"/>
              <w:left w:type="dxa" w:w="100"/>
              <w:bottom w:type="dxa" w:w="80"/>
              <w:right w:type="dxa" w:w="100"/>
            </w:tcMar>
          </w:tcPr>
          <w:p>
            <w:r>
              <w:rPr>
                <w:b w:val="false"/>
                <w:bCs w:val="false"/>
                <w:sz w:val="19"/>
                <w:szCs w:val="19"/>
              </w:rPr>
              <w:t xml:space="preserve">New 2026-08-04. Enforces one open drawer at a time across every *-drawer family by watching for any drawer root gaining an --open class and force-closing the rest.</w:t>
            </w:r>
          </w:p>
        </w:tc>
      </w:tr>
      <w:tr>
        <w:tc>
          <w:tcPr>
            <w:tcW w:type="dxa" w:w="2900"/>
            <w:tcMar>
              <w:top w:type="dxa" w:w="80"/>
              <w:left w:type="dxa" w:w="100"/>
              <w:bottom w:type="dxa" w:w="80"/>
              <w:right w:type="dxa" w:w="100"/>
            </w:tcMar>
          </w:tcPr>
          <w:p>
            <w:r>
              <w:rPr>
                <w:b w:val="false"/>
                <w:bCs w:val="false"/>
                <w:sz w:val="19"/>
                <w:szCs w:val="19"/>
              </w:rPr>
              <w:t xml:space="preserve">drawer-splash.js</w:t>
            </w:r>
          </w:p>
        </w:tc>
        <w:tc>
          <w:tcPr>
            <w:tcW w:type="dxa" w:w="6560"/>
            <w:tcMar>
              <w:top w:type="dxa" w:w="80"/>
              <w:left w:type="dxa" w:w="100"/>
              <w:bottom w:type="dxa" w:w="80"/>
              <w:right w:type="dxa" w:w="100"/>
            </w:tcMar>
          </w:tcPr>
          <w:p>
            <w:r>
              <w:rPr>
                <w:b w:val="false"/>
                <w:bCs w:val="false"/>
                <w:sz w:val="19"/>
                <w:szCs w:val="19"/>
              </w:rPr>
              <w:t xml:space="preserve">New 2026-08-05. Shared first-open intro screen for every tool drawer — DrawerSplashKit.attach(el, config), remembered per-tool via localStorage, reopenable via an ℹ️ button.</w:t>
            </w:r>
          </w:p>
        </w:tc>
      </w:tr>
      <w:tr>
        <w:tc>
          <w:tcPr>
            <w:tcW w:type="dxa" w:w="2900"/>
            <w:tcMar>
              <w:top w:type="dxa" w:w="80"/>
              <w:left w:type="dxa" w:w="100"/>
              <w:bottom w:type="dxa" w:w="80"/>
              <w:right w:type="dxa" w:w="100"/>
            </w:tcMar>
          </w:tcPr>
          <w:p>
            <w:r>
              <w:rPr>
                <w:b w:val="false"/>
                <w:bCs w:val="false"/>
                <w:sz w:val="19"/>
                <w:szCs w:val="19"/>
              </w:rPr>
              <w:t xml:space="preserve">source-chunk-drawer.js</w:t>
            </w:r>
          </w:p>
        </w:tc>
        <w:tc>
          <w:tcPr>
            <w:tcW w:type="dxa" w:w="6560"/>
            <w:tcMar>
              <w:top w:type="dxa" w:w="80"/>
              <w:left w:type="dxa" w:w="100"/>
              <w:bottom w:type="dxa" w:w="80"/>
              <w:right w:type="dxa" w:w="100"/>
            </w:tcMar>
          </w:tcPr>
          <w:p>
            <w:r>
              <w:rPr>
                <w:b w:val="false"/>
                <w:bCs w:val="false"/>
                <w:sz w:val="19"/>
                <w:szCs w:val="19"/>
              </w:rPr>
              <w:t xml:space="preserve">Shows the raw retrieved KB chunk + its metadata for any source type with no original document to deep-link to. Originally chat-rail-only; reused as-is by the new Reactor Documents search results (§7).</w:t>
            </w:r>
          </w:p>
        </w:tc>
      </w:tr>
      <w:tr>
        <w:tc>
          <w:tcPr>
            <w:tcW w:type="dxa" w:w="2900"/>
            <w:tcMar>
              <w:top w:type="dxa" w:w="80"/>
              <w:left w:type="dxa" w:w="100"/>
              <w:bottom w:type="dxa" w:w="80"/>
              <w:right w:type="dxa" w:w="100"/>
            </w:tcMar>
          </w:tcPr>
          <w:p>
            <w:r>
              <w:rPr>
                <w:b w:val="false"/>
                <w:bCs w:val="false"/>
                <w:sz w:val="19"/>
                <w:szCs w:val="19"/>
              </w:rPr>
              <w:t xml:space="preserve">nuccolpedia-drawer.js</w:t>
            </w:r>
          </w:p>
        </w:tc>
        <w:tc>
          <w:tcPr>
            <w:tcW w:type="dxa" w:w="6560"/>
            <w:tcMar>
              <w:top w:type="dxa" w:w="80"/>
              <w:left w:type="dxa" w:w="100"/>
              <w:bottom w:type="dxa" w:w="80"/>
              <w:right w:type="dxa" w:w="100"/>
            </w:tcMar>
          </w:tcPr>
          <w:p>
            <w:r>
              <w:rPr>
                <w:b w:val="false"/>
                <w:bCs w:val="false"/>
                <w:sz w:val="19"/>
                <w:szCs w:val="19"/>
              </w:rPr>
              <w:t xml:space="preserve">NucColpedia — the 924-link research library, plus (new this version) a second "Reactor Documents" tab searching the reactors KB partition. See §7.</w:t>
            </w:r>
          </w:p>
        </w:tc>
      </w:tr>
      <w:tr>
        <w:tc>
          <w:tcPr>
            <w:tcW w:type="dxa" w:w="2900"/>
            <w:tcMar>
              <w:top w:type="dxa" w:w="80"/>
              <w:left w:type="dxa" w:w="100"/>
              <w:bottom w:type="dxa" w:w="80"/>
              <w:right w:type="dxa" w:w="100"/>
            </w:tcMar>
          </w:tcPr>
          <w:p>
            <w:r>
              <w:rPr>
                <w:b w:val="false"/>
                <w:bCs w:val="false"/>
                <w:sz w:val="19"/>
                <w:szCs w:val="19"/>
              </w:rPr>
              <w:t xml:space="preserve">reactors-kb-search.js</w:t>
            </w:r>
          </w:p>
        </w:tc>
        <w:tc>
          <w:tcPr>
            <w:tcW w:type="dxa" w:w="6560"/>
            <w:tcMar>
              <w:top w:type="dxa" w:w="80"/>
              <w:left w:type="dxa" w:w="100"/>
              <w:bottom w:type="dxa" w:w="80"/>
              <w:right w:type="dxa" w:w="100"/>
            </w:tcMar>
          </w:tcPr>
          <w:p>
            <w:r>
              <w:rPr>
                <w:b w:val="false"/>
                <w:bCs w:val="false"/>
                <w:sz w:val="19"/>
                <w:szCs w:val="19"/>
              </w:rPr>
              <w:t xml:space="preserve">New this version. Standalone two-stage search engine over the reactors partition, independent of retrieval.js by design so it can’t affect default chat retrieval. See §7.</w:t>
            </w:r>
          </w:p>
        </w:tc>
      </w:tr>
      <w:tr>
        <w:tc>
          <w:tcPr>
            <w:tcW w:type="dxa" w:w="2900"/>
            <w:tcMar>
              <w:top w:type="dxa" w:w="80"/>
              <w:left w:type="dxa" w:w="100"/>
              <w:bottom w:type="dxa" w:w="80"/>
              <w:right w:type="dxa" w:w="100"/>
            </w:tcMar>
          </w:tcPr>
          <w:p>
            <w:r>
              <w:rPr>
                <w:b w:val="false"/>
                <w:bCs w:val="false"/>
                <w:sz w:val="19"/>
                <w:szCs w:val="19"/>
              </w:rPr>
              <w:t xml:space="preserve">plant-explorer-drawer.js</w:t>
            </w:r>
          </w:p>
        </w:tc>
        <w:tc>
          <w:tcPr>
            <w:tcW w:type="dxa" w:w="6560"/>
            <w:tcMar>
              <w:top w:type="dxa" w:w="80"/>
              <w:left w:type="dxa" w:w="100"/>
              <w:bottom w:type="dxa" w:w="80"/>
              <w:right w:type="dxa" w:w="100"/>
            </w:tcMar>
          </w:tcPr>
          <w:p>
            <w:r>
              <w:rPr>
                <w:b w:val="false"/>
                <w:bCs w:val="false"/>
                <w:sz w:val="19"/>
                <w:szCs w:val="19"/>
              </w:rPr>
              <w:t xml:space="preserve">Full Plant Explorer — zone map + per-reactor cutaway images ("layer 2"), building drill-down, search. Reads images/plant-explorer/plant_tree_v2.json directly. See §7.</w:t>
            </w:r>
          </w:p>
        </w:tc>
      </w:tr>
      <w:tr>
        <w:tc>
          <w:tcPr>
            <w:tcW w:type="dxa" w:w="2900"/>
            <w:tcMar>
              <w:top w:type="dxa" w:w="80"/>
              <w:left w:type="dxa" w:w="100"/>
              <w:bottom w:type="dxa" w:w="80"/>
              <w:right w:type="dxa" w:w="100"/>
            </w:tcMar>
          </w:tcPr>
          <w:p>
            <w:r>
              <w:rPr>
                <w:b w:val="false"/>
                <w:bCs w:val="false"/>
                <w:sz w:val="19"/>
                <w:szCs w:val="19"/>
              </w:rPr>
              <w:t xml:space="preserve">plant-drawer.js</w:t>
            </w:r>
          </w:p>
        </w:tc>
        <w:tc>
          <w:tcPr>
            <w:tcW w:type="dxa" w:w="6560"/>
            <w:tcMar>
              <w:top w:type="dxa" w:w="80"/>
              <w:left w:type="dxa" w:w="100"/>
              <w:bottom w:type="dxa" w:w="80"/>
              <w:right w:type="dxa" w:w="100"/>
            </w:tcMar>
          </w:tcPr>
          <w:p>
            <w:r>
              <w:rPr>
                <w:b w:val="false"/>
                <w:bCs w:val="false"/>
                <w:sz w:val="19"/>
                <w:szCs w:val="19"/>
              </w:rPr>
              <w:t xml:space="preserve">Separate, older "quick search" plant drawer that auto-opens from a chat plant/component question. Reads the generic (non-reactor-mapped) tree via the Worker — a deliberate, currently-unresolved fork from plant-explorer-drawer.js’s data source.</w:t>
            </w:r>
          </w:p>
        </w:tc>
      </w:tr>
      <w:tr>
        <w:tc>
          <w:tcPr>
            <w:tcW w:type="dxa" w:w="2900"/>
            <w:tcMar>
              <w:top w:type="dxa" w:w="80"/>
              <w:left w:type="dxa" w:w="100"/>
              <w:bottom w:type="dxa" w:w="80"/>
              <w:right w:type="dxa" w:w="100"/>
            </w:tcMar>
          </w:tcPr>
          <w:p>
            <w:r>
              <w:rPr>
                <w:b w:val="false"/>
                <w:bCs w:val="false"/>
                <w:sz w:val="19"/>
                <w:szCs w:val="19"/>
              </w:rPr>
              <w:t xml:space="preserve">handbook-drawer.js / handbook-links.js</w:t>
            </w:r>
          </w:p>
        </w:tc>
        <w:tc>
          <w:tcPr>
            <w:tcW w:type="dxa" w:w="6560"/>
            <w:tcMar>
              <w:top w:type="dxa" w:w="80"/>
              <w:left w:type="dxa" w:w="100"/>
              <w:bottom w:type="dxa" w:w="80"/>
              <w:right w:type="dxa" w:w="100"/>
            </w:tcMar>
          </w:tcPr>
          <w:p>
            <w:r>
              <w:rPr>
                <w:b w:val="false"/>
                <w:bCs w:val="false"/>
                <w:sz w:val="19"/>
                <w:szCs w:val="19"/>
              </w:rPr>
              <w:t xml:space="preserve">Inline Business/Nuclear Excellence Handbook viewer and deep-link matching from chat citations into it.</w:t>
            </w:r>
          </w:p>
        </w:tc>
      </w:tr>
      <w:tr>
        <w:tc>
          <w:tcPr>
            <w:tcW w:type="dxa" w:w="2900"/>
            <w:tcMar>
              <w:top w:type="dxa" w:w="80"/>
              <w:left w:type="dxa" w:w="100"/>
              <w:bottom w:type="dxa" w:w="80"/>
              <w:right w:type="dxa" w:w="100"/>
            </w:tcMar>
          </w:tcPr>
          <w:p>
            <w:r>
              <w:rPr>
                <w:b w:val="false"/>
                <w:bCs w:val="false"/>
                <w:sz w:val="19"/>
                <w:szCs w:val="19"/>
              </w:rPr>
              <w:t xml:space="preserve">evidence-vault-drawer.js, website-review.js, iso19443-drawer.js, social-value-drawer.js, due-diligence-drawer.js</w:t>
            </w:r>
          </w:p>
        </w:tc>
        <w:tc>
          <w:tcPr>
            <w:tcW w:type="dxa" w:w="6560"/>
            <w:tcMar>
              <w:top w:type="dxa" w:w="80"/>
              <w:left w:type="dxa" w:w="100"/>
              <w:bottom w:type="dxa" w:w="80"/>
              <w:right w:type="dxa" w:w="100"/>
            </w:tcMar>
          </w:tcPr>
          <w:p>
            <w:r>
              <w:rPr>
                <w:b w:val="false"/>
                <w:bCs w:val="false"/>
                <w:sz w:val="19"/>
                <w:szCs w:val="19"/>
              </w:rPr>
              <w:t xml:space="preserve">Compliance &amp; Evidence tool group — unchanged in purpose since v9, see §6/§8 for what moved (Worker-routed calls, CSP fixes).</w:t>
            </w:r>
          </w:p>
        </w:tc>
      </w:tr>
      <w:tr>
        <w:tc>
          <w:tcPr>
            <w:tcW w:type="dxa" w:w="2900"/>
            <w:tcMar>
              <w:top w:type="dxa" w:w="80"/>
              <w:left w:type="dxa" w:w="100"/>
              <w:bottom w:type="dxa" w:w="80"/>
              <w:right w:type="dxa" w:w="100"/>
            </w:tcMar>
          </w:tcPr>
          <w:p>
            <w:r>
              <w:rPr>
                <w:b w:val="false"/>
                <w:bCs w:val="false"/>
                <w:sz w:val="19"/>
                <w:szCs w:val="19"/>
              </w:rPr>
              <w:t xml:space="preserve">toolbox-talk-drawer.js, sop-builder-drawer.js, safety-culture-drawer.js, cqp-drawer.js, sqdcp-drawer.js, ncr-drawer.js, strategy-drawer.js</w:t>
            </w:r>
          </w:p>
        </w:tc>
        <w:tc>
          <w:tcPr>
            <w:tcW w:type="dxa" w:w="6560"/>
            <w:tcMar>
              <w:top w:type="dxa" w:w="80"/>
              <w:left w:type="dxa" w:w="100"/>
              <w:bottom w:type="dxa" w:w="80"/>
              <w:right w:type="dxa" w:w="100"/>
            </w:tcMar>
          </w:tcPr>
          <w:p>
            <w:r>
              <w:rPr>
                <w:b w:val="false"/>
                <w:bCs w:val="false"/>
                <w:sz w:val="19"/>
                <w:szCs w:val="19"/>
              </w:rPr>
              <w:t xml:space="preserve">Toolbox Builder group, F9–F15 from v9, unchanged in scope.</w:t>
            </w:r>
          </w:p>
        </w:tc>
      </w:tr>
      <w:tr>
        <w:tc>
          <w:tcPr>
            <w:tcW w:type="dxa" w:w="2900"/>
            <w:tcMar>
              <w:top w:type="dxa" w:w="80"/>
              <w:left w:type="dxa" w:w="100"/>
              <w:bottom w:type="dxa" w:w="80"/>
              <w:right w:type="dxa" w:w="100"/>
            </w:tcMar>
          </w:tcPr>
          <w:p>
            <w:r>
              <w:rPr>
                <w:b w:val="false"/>
                <w:bCs w:val="false"/>
                <w:sz w:val="19"/>
                <w:szCs w:val="19"/>
              </w:rPr>
              <w:t xml:space="preserve">assessment-drawer.js</w:t>
            </w:r>
          </w:p>
        </w:tc>
        <w:tc>
          <w:tcPr>
            <w:tcW w:type="dxa" w:w="6560"/>
            <w:tcMar>
              <w:top w:type="dxa" w:w="80"/>
              <w:left w:type="dxa" w:w="100"/>
              <w:bottom w:type="dxa" w:w="80"/>
              <w:right w:type="dxa" w:w="100"/>
            </w:tcMar>
          </w:tcPr>
          <w:p>
            <w:r>
              <w:rPr>
                <w:b w:val="false"/>
                <w:bCs w:val="false"/>
                <w:sz w:val="19"/>
                <w:szCs w:val="19"/>
              </w:rPr>
              <w:t xml:space="preserve">Business Excellence + Fit for Nuclear self-assessment, one drawer/one splash for both modes.</w:t>
            </w:r>
          </w:p>
        </w:tc>
      </w:tr>
      <w:tr>
        <w:tc>
          <w:tcPr>
            <w:tcW w:type="dxa" w:w="2900"/>
            <w:tcMar>
              <w:top w:type="dxa" w:w="80"/>
              <w:left w:type="dxa" w:w="100"/>
              <w:bottom w:type="dxa" w:w="80"/>
              <w:right w:type="dxa" w:w="100"/>
            </w:tcMar>
          </w:tcPr>
          <w:p>
            <w:r>
              <w:rPr>
                <w:b w:val="false"/>
                <w:bCs w:val="false"/>
                <w:sz w:val="19"/>
                <w:szCs w:val="19"/>
              </w:rPr>
              <w:t xml:space="preserve">faq-drawer.js</w:t>
            </w:r>
          </w:p>
        </w:tc>
        <w:tc>
          <w:tcPr>
            <w:tcW w:type="dxa" w:w="6560"/>
            <w:tcMar>
              <w:top w:type="dxa" w:w="80"/>
              <w:left w:type="dxa" w:w="100"/>
              <w:bottom w:type="dxa" w:w="80"/>
              <w:right w:type="dxa" w:w="100"/>
            </w:tcMar>
          </w:tcPr>
          <w:p>
            <w:r>
              <w:rPr>
                <w:b w:val="false"/>
                <w:bCs w:val="false"/>
                <w:sz w:val="19"/>
                <w:szCs w:val="19"/>
              </w:rPr>
              <w:t xml:space="preserve">Common Questions — pre-baked answers, zero-token-cost fast path, falls back to the live pipeline if unmatched.</w:t>
            </w:r>
          </w:p>
        </w:tc>
      </w:tr>
      <w:tr>
        <w:tc>
          <w:tcPr>
            <w:tcW w:type="dxa" w:w="2900"/>
            <w:tcMar>
              <w:top w:type="dxa" w:w="80"/>
              <w:left w:type="dxa" w:w="100"/>
              <w:bottom w:type="dxa" w:w="80"/>
              <w:right w:type="dxa" w:w="100"/>
            </w:tcMar>
          </w:tcPr>
          <w:p>
            <w:r>
              <w:rPr>
                <w:b w:val="false"/>
                <w:bCs w:val="false"/>
                <w:sz w:val="19"/>
                <w:szCs w:val="19"/>
              </w:rPr>
              <w:t xml:space="preserve">braincheck.js / braincheck-ui.js</w:t>
            </w:r>
          </w:p>
        </w:tc>
        <w:tc>
          <w:tcPr>
            <w:tcW w:type="dxa" w:w="6560"/>
            <w:tcMar>
              <w:top w:type="dxa" w:w="80"/>
              <w:left w:type="dxa" w:w="100"/>
              <w:bottom w:type="dxa" w:w="80"/>
              <w:right w:type="dxa" w:w="100"/>
            </w:tcMar>
          </w:tcPr>
          <w:p>
            <w:r>
              <w:rPr>
                <w:b w:val="false"/>
                <w:bCs w:val="false"/>
                <w:sz w:val="19"/>
                <w:szCs w:val="19"/>
              </w:rPr>
              <w:t xml:space="preserve">KB stats + live system-status panel (the "All systems go" pill).</w:t>
            </w:r>
          </w:p>
        </w:tc>
      </w:tr>
    </w:tbl>
    <w:p>
      <w:pPr>
        <w:pStyle w:val="Heading2"/>
        <w:spacing w:after="120" w:before="260"/>
      </w:pPr>
      <w:r>
        <w:t xml:space="preserve">css/ — one file per tool, plus</w:t>
      </w:r>
    </w:p>
    <w:p>
      <w:pPr>
        <w:pStyle w:val="ListParagraph"/>
        <w:numPr>
          <w:ilvl w:val="0"/>
          <w:numId w:val="1"/>
        </w:numPr>
        <w:spacing w:after="60"/>
      </w:pPr>
      <w:r>
        <w:t xml:space="preserve">styles.css — base styles, shared .assess-* drawer shell, sidebar nav, right rail, hero grid</w:t>
      </w:r>
    </w:p>
    <w:p>
      <w:pPr>
        <w:pStyle w:val="ListParagraph"/>
        <w:numPr>
          <w:ilvl w:val="0"/>
          <w:numId w:val="1"/>
        </w:numPr>
        <w:spacing w:after="60"/>
      </w:pPr>
      <w:r>
        <w:t xml:space="preserve">drawer-splash.css — shared intro-screen styling for every tool</w:t>
      </w:r>
    </w:p>
    <w:p>
      <w:pPr>
        <w:pStyle w:val="ListParagraph"/>
        <w:numPr>
          <w:ilvl w:val="0"/>
          <w:numId w:val="1"/>
        </w:numPr>
        <w:spacing w:after="60"/>
      </w:pPr>
      <w:r>
        <w:t xml:space="preserve">hero-landing.css — the pre-chat hero screen</w:t>
      </w:r>
    </w:p>
    <w:p>
      <w:pPr>
        <w:pStyle w:val="ListParagraph"/>
        <w:numPr>
          <w:ilvl w:val="0"/>
          <w:numId w:val="1"/>
        </w:numPr>
        <w:spacing w:after="60"/>
      </w:pPr>
      <w:r>
        <w:t xml:space="preserve">nuccolpedia.css — both NucColpedia tabs (library + Reactor Documents), including the tab strip added this version</w:t>
      </w:r>
    </w:p>
    <w:p>
      <w:pPr>
        <w:pStyle w:val="ListParagraph"/>
        <w:numPr>
          <w:ilvl w:val="0"/>
          <w:numId w:val="1"/>
        </w:numPr>
        <w:spacing w:after="60"/>
      </w:pPr>
      <w:r>
        <w:t xml:space="preserve">plant-explorer.css — the one drawer deliberately excluded from the full-width panel treatment (§8) — stays a full-screen canvas for the zone map/cutaways</w:t>
      </w:r>
    </w:p>
    <w:p>
      <w:pPr>
        <w:pStyle w:val="Heading1"/>
        <w:spacing w:after="160" w:before="360"/>
      </w:pPr>
      <w:r>
        <w:t xml:space="preserve">6. Complete Feature Inventory</w:t>
      </w:r>
    </w:p>
    <w:p>
      <w:pPr>
        <w:spacing w:after="140"/>
      </w:pPr>
      <w:r>
        <w:t xml:space="preserve">v9’s F1–F15 numbering is preserved below for continuity, but the sidebar itself is no longer organised by that numbering — it is grouped into five nav sections, reproduced here exactly as index.html defines them today.</w:t>
      </w:r>
    </w:p>
    <w:p>
      <w:pPr>
        <w:pStyle w:val="Heading2"/>
        <w:spacing w:after="120" w:before="260"/>
      </w:pPr>
      <w:r>
        <w:t xml:space="preserve">Current sidebar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Section</w:t>
            </w:r>
          </w:p>
        </w:tc>
        <w:tc>
          <w:tcPr>
            <w:tcW w:type="dxa" w:w="7060"/>
            <w:shd w:fill="10243A" w:val="clear"/>
            <w:tcMar>
              <w:top w:type="dxa" w:w="80"/>
              <w:left w:type="dxa" w:w="100"/>
              <w:bottom w:type="dxa" w:w="80"/>
              <w:right w:type="dxa" w:w="100"/>
            </w:tcMar>
          </w:tcPr>
          <w:p>
            <w:r>
              <w:rPr>
                <w:b/>
                <w:bCs/>
                <w:color w:val="FFFFFF"/>
                <w:sz w:val="19"/>
                <w:szCs w:val="19"/>
              </w:rPr>
              <w:t xml:space="preserve">Items</w:t>
            </w:r>
          </w:p>
        </w:tc>
      </w:tr>
      <w:tr>
        <w:tc>
          <w:tcPr>
            <w:tcW w:type="dxa" w:w="2400"/>
            <w:tcMar>
              <w:top w:type="dxa" w:w="80"/>
              <w:left w:type="dxa" w:w="100"/>
              <w:bottom w:type="dxa" w:w="80"/>
              <w:right w:type="dxa" w:w="100"/>
            </w:tcMar>
          </w:tcPr>
          <w:p>
            <w:r>
              <w:rPr>
                <w:b w:val="false"/>
                <w:bCs w:val="false"/>
                <w:sz w:val="19"/>
                <w:szCs w:val="19"/>
              </w:rPr>
              <w:t xml:space="preserve">Frankie Chat</w:t>
            </w:r>
          </w:p>
        </w:tc>
        <w:tc>
          <w:tcPr>
            <w:tcW w:type="dxa" w:w="7060"/>
            <w:tcMar>
              <w:top w:type="dxa" w:w="80"/>
              <w:left w:type="dxa" w:w="100"/>
              <w:bottom w:type="dxa" w:w="80"/>
              <w:right w:type="dxa" w:w="100"/>
            </w:tcMar>
          </w:tcPr>
          <w:p>
            <w:r>
              <w:rPr>
                <w:b w:val="false"/>
                <w:bCs w:val="false"/>
                <w:sz w:val="19"/>
                <w:szCs w:val="19"/>
              </w:rPr>
              <w:t xml:space="preserve">Chat with Frankie · Common Questions (FAQ drawer)</w:t>
            </w:r>
          </w:p>
        </w:tc>
      </w:tr>
      <w:tr>
        <w:tc>
          <w:tcPr>
            <w:tcW w:type="dxa" w:w="2400"/>
            <w:tcMar>
              <w:top w:type="dxa" w:w="80"/>
              <w:left w:type="dxa" w:w="100"/>
              <w:bottom w:type="dxa" w:w="80"/>
              <w:right w:type="dxa" w:w="100"/>
            </w:tcMar>
          </w:tcPr>
          <w:p>
            <w:r>
              <w:rPr>
                <w:b w:val="false"/>
                <w:bCs w:val="false"/>
                <w:sz w:val="19"/>
                <w:szCs w:val="19"/>
              </w:rPr>
              <w:t xml:space="preserve">References</w:t>
            </w:r>
          </w:p>
        </w:tc>
        <w:tc>
          <w:tcPr>
            <w:tcW w:type="dxa" w:w="7060"/>
            <w:tcMar>
              <w:top w:type="dxa" w:w="80"/>
              <w:left w:type="dxa" w:w="100"/>
              <w:bottom w:type="dxa" w:w="80"/>
              <w:right w:type="dxa" w:w="100"/>
            </w:tcMar>
          </w:tcPr>
          <w:p>
            <w:r>
              <w:rPr>
                <w:b w:val="false"/>
                <w:bCs w:val="false"/>
                <w:sz w:val="19"/>
                <w:szCs w:val="19"/>
              </w:rPr>
              <w:t xml:space="preserve">Plant Explorer · NucColpedia (now two tabs — Research Library + Reactor Documents)</w:t>
            </w:r>
          </w:p>
        </w:tc>
      </w:tr>
      <w:tr>
        <w:tc>
          <w:tcPr>
            <w:tcW w:type="dxa" w:w="2400"/>
            <w:tcMar>
              <w:top w:type="dxa" w:w="80"/>
              <w:left w:type="dxa" w:w="100"/>
              <w:bottom w:type="dxa" w:w="80"/>
              <w:right w:type="dxa" w:w="100"/>
            </w:tcMar>
          </w:tcPr>
          <w:p>
            <w:r>
              <w:rPr>
                <w:b w:val="false"/>
                <w:bCs w:val="false"/>
                <w:sz w:val="19"/>
                <w:szCs w:val="19"/>
              </w:rPr>
              <w:t xml:space="preserve">Compliance &amp; Evidence</w:t>
            </w:r>
          </w:p>
        </w:tc>
        <w:tc>
          <w:tcPr>
            <w:tcW w:type="dxa" w:w="7060"/>
            <w:tcMar>
              <w:top w:type="dxa" w:w="80"/>
              <w:left w:type="dxa" w:w="100"/>
              <w:bottom w:type="dxa" w:w="80"/>
              <w:right w:type="dxa" w:w="100"/>
            </w:tcMar>
          </w:tcPr>
          <w:p>
            <w:r>
              <w:rPr>
                <w:b w:val="false"/>
                <w:bCs w:val="false"/>
                <w:sz w:val="19"/>
                <w:szCs w:val="19"/>
              </w:rPr>
              <w:t xml:space="preserve">Evidence Vault · Website Review · ISO 19443 Position · Social Value Finder · Supplier Intel</w:t>
            </w:r>
          </w:p>
        </w:tc>
      </w:tr>
      <w:tr>
        <w:tc>
          <w:tcPr>
            <w:tcW w:type="dxa" w:w="2400"/>
            <w:tcMar>
              <w:top w:type="dxa" w:w="80"/>
              <w:left w:type="dxa" w:w="100"/>
              <w:bottom w:type="dxa" w:w="80"/>
              <w:right w:type="dxa" w:w="100"/>
            </w:tcMar>
          </w:tcPr>
          <w:p>
            <w:r>
              <w:rPr>
                <w:b w:val="false"/>
                <w:bCs w:val="false"/>
                <w:sz w:val="19"/>
                <w:szCs w:val="19"/>
              </w:rPr>
              <w:t xml:space="preserve">Toolbox Builder</w:t>
            </w:r>
          </w:p>
        </w:tc>
        <w:tc>
          <w:tcPr>
            <w:tcW w:type="dxa" w:w="7060"/>
            <w:tcMar>
              <w:top w:type="dxa" w:w="80"/>
              <w:left w:type="dxa" w:w="100"/>
              <w:bottom w:type="dxa" w:w="80"/>
              <w:right w:type="dxa" w:w="100"/>
            </w:tcMar>
          </w:tcPr>
          <w:p>
            <w:r>
              <w:rPr>
                <w:b w:val="false"/>
                <w:bCs w:val="false"/>
                <w:sz w:val="19"/>
                <w:szCs w:val="19"/>
              </w:rPr>
              <w:t xml:space="preserve">Toolbox Talk · SOP Builder · Safety Culture · Quality Plan · SQDCP Wizard · NCR Investigation · Strategy Builder</w:t>
            </w:r>
          </w:p>
        </w:tc>
      </w:tr>
      <w:tr>
        <w:tc>
          <w:tcPr>
            <w:tcW w:type="dxa" w:w="2400"/>
            <w:tcMar>
              <w:top w:type="dxa" w:w="80"/>
              <w:left w:type="dxa" w:w="100"/>
              <w:bottom w:type="dxa" w:w="80"/>
              <w:right w:type="dxa" w:w="100"/>
            </w:tcMar>
          </w:tcPr>
          <w:p>
            <w:r>
              <w:rPr>
                <w:b w:val="false"/>
                <w:bCs w:val="false"/>
                <w:sz w:val="19"/>
                <w:szCs w:val="19"/>
              </w:rPr>
              <w:t xml:space="preserve">Self Assessment</w:t>
            </w:r>
          </w:p>
        </w:tc>
        <w:tc>
          <w:tcPr>
            <w:tcW w:type="dxa" w:w="7060"/>
            <w:tcMar>
              <w:top w:type="dxa" w:w="80"/>
              <w:left w:type="dxa" w:w="100"/>
              <w:bottom w:type="dxa" w:w="80"/>
              <w:right w:type="dxa" w:w="100"/>
            </w:tcMar>
          </w:tcPr>
          <w:p>
            <w:r>
              <w:rPr>
                <w:b w:val="false"/>
                <w:bCs w:val="false"/>
                <w:sz w:val="19"/>
                <w:szCs w:val="19"/>
              </w:rPr>
              <w:t xml:space="preserve">Business Excellence · Fit for Nuclear</w:t>
            </w:r>
          </w:p>
        </w:tc>
      </w:tr>
    </w:tbl>
    <w:p>
      <w:pPr>
        <w:pStyle w:val="Heading2"/>
        <w:spacing w:after="120" w:before="260"/>
      </w:pPr>
      <w:r>
        <w:t xml:space="preserve">Core Intelligence &amp; Assessment (F1–F5) — status unchanged, implementation details updated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60"/>
      </w:tblGrid>
      <w:tr>
        <w:trPr>
          <w:tblHeader/>
        </w:trPr>
        <w:tc>
          <w:tcPr>
            <w:tcW w:type="dxa" w:w="900"/>
            <w:shd w:fill="10243A" w:val="clear"/>
            <w:tcMar>
              <w:top w:type="dxa" w:w="80"/>
              <w:left w:type="dxa" w:w="100"/>
              <w:bottom w:type="dxa" w:w="80"/>
              <w:right w:type="dxa" w:w="100"/>
            </w:tcMar>
          </w:tcPr>
          <w:p>
            <w:r>
              <w:rPr>
                <w:b/>
                <w:bCs/>
                <w:color w:val="FFFFFF"/>
                <w:sz w:val="19"/>
                <w:szCs w:val="19"/>
              </w:rPr>
              <w:t xml:space="preserve">ID</w:t>
            </w:r>
          </w:p>
        </w:tc>
        <w:tc>
          <w:tcPr>
            <w:tcW w:type="dxa" w:w="2500"/>
            <w:shd w:fill="10243A" w:val="clear"/>
            <w:tcMar>
              <w:top w:type="dxa" w:w="80"/>
              <w:left w:type="dxa" w:w="100"/>
              <w:bottom w:type="dxa" w:w="80"/>
              <w:right w:type="dxa" w:w="100"/>
            </w:tcMar>
          </w:tcPr>
          <w:p>
            <w:r>
              <w:rPr>
                <w:b/>
                <w:bCs/>
                <w:color w:val="FFFFFF"/>
                <w:sz w:val="19"/>
                <w:szCs w:val="19"/>
              </w:rPr>
              <w:t xml:space="preserve">Feature</w:t>
            </w:r>
          </w:p>
        </w:tc>
        <w:tc>
          <w:tcPr>
            <w:tcW w:type="dxa" w:w="5660"/>
            <w:shd w:fill="10243A" w:val="clear"/>
            <w:tcMar>
              <w:top w:type="dxa" w:w="80"/>
              <w:left w:type="dxa" w:w="100"/>
              <w:bottom w:type="dxa" w:w="80"/>
              <w:right w:type="dxa" w:w="100"/>
            </w:tcMar>
          </w:tcPr>
          <w:p>
            <w:r>
              <w:rPr>
                <w:b/>
                <w:bCs/>
                <w:color w:val="FFFFFF"/>
                <w:sz w:val="19"/>
                <w:szCs w:val="19"/>
              </w:rPr>
              <w:t xml:space="preserve">What changed since v9</w:t>
            </w:r>
          </w:p>
        </w:tc>
      </w:tr>
      <w:tr>
        <w:tc>
          <w:tcPr>
            <w:tcW w:type="dxa" w:w="900"/>
            <w:tcMar>
              <w:top w:type="dxa" w:w="80"/>
              <w:left w:type="dxa" w:w="100"/>
              <w:bottom w:type="dxa" w:w="80"/>
              <w:right w:type="dxa" w:w="100"/>
            </w:tcMar>
          </w:tcPr>
          <w:p>
            <w:r>
              <w:rPr>
                <w:b w:val="false"/>
                <w:bCs w:val="false"/>
                <w:sz w:val="19"/>
                <w:szCs w:val="19"/>
              </w:rPr>
              <w:t xml:space="preserve">F1</w:t>
            </w:r>
          </w:p>
        </w:tc>
        <w:tc>
          <w:tcPr>
            <w:tcW w:type="dxa" w:w="2500"/>
            <w:tcMar>
              <w:top w:type="dxa" w:w="80"/>
              <w:left w:type="dxa" w:w="100"/>
              <w:bottom w:type="dxa" w:w="80"/>
              <w:right w:type="dxa" w:w="100"/>
            </w:tcMar>
          </w:tcPr>
          <w:p>
            <w:r>
              <w:rPr>
                <w:b w:val="false"/>
                <w:bCs w:val="false"/>
                <w:sz w:val="19"/>
                <w:szCs w:val="19"/>
              </w:rPr>
              <w:t xml:space="preserve">Evidence Vault</w:t>
            </w:r>
          </w:p>
        </w:tc>
        <w:tc>
          <w:tcPr>
            <w:tcW w:type="dxa" w:w="5660"/>
            <w:tcMar>
              <w:top w:type="dxa" w:w="80"/>
              <w:left w:type="dxa" w:w="100"/>
              <w:bottom w:type="dxa" w:w="80"/>
              <w:right w:type="dxa" w:w="100"/>
            </w:tcMar>
          </w:tcPr>
          <w:p>
            <w:r>
              <w:rPr>
                <w:b w:val="false"/>
                <w:bCs w:val="false"/>
                <w:sz w:val="19"/>
                <w:szCs w:val="19"/>
              </w:rPr>
              <w:t xml:space="preserve">Still starts fresh each session (open to-do carried forward, §9)</w:t>
            </w:r>
          </w:p>
        </w:tc>
      </w:tr>
      <w:tr>
        <w:tc>
          <w:tcPr>
            <w:tcW w:type="dxa" w:w="900"/>
            <w:tcMar>
              <w:top w:type="dxa" w:w="80"/>
              <w:left w:type="dxa" w:w="100"/>
              <w:bottom w:type="dxa" w:w="80"/>
              <w:right w:type="dxa" w:w="100"/>
            </w:tcMar>
          </w:tcPr>
          <w:p>
            <w:r>
              <w:rPr>
                <w:b w:val="false"/>
                <w:bCs w:val="false"/>
                <w:sz w:val="19"/>
                <w:szCs w:val="19"/>
              </w:rPr>
              <w:t xml:space="preserve">F2</w:t>
            </w:r>
          </w:p>
        </w:tc>
        <w:tc>
          <w:tcPr>
            <w:tcW w:type="dxa" w:w="2500"/>
            <w:tcMar>
              <w:top w:type="dxa" w:w="80"/>
              <w:left w:type="dxa" w:w="100"/>
              <w:bottom w:type="dxa" w:w="80"/>
              <w:right w:type="dxa" w:w="100"/>
            </w:tcMar>
          </w:tcPr>
          <w:p>
            <w:r>
              <w:rPr>
                <w:b w:val="false"/>
                <w:bCs w:val="false"/>
                <w:sz w:val="19"/>
                <w:szCs w:val="19"/>
              </w:rPr>
              <w:t xml:space="preserve">Website Reviewer</w:t>
            </w:r>
          </w:p>
        </w:tc>
        <w:tc>
          <w:tcPr>
            <w:tcW w:type="dxa" w:w="5660"/>
            <w:tcMar>
              <w:top w:type="dxa" w:w="80"/>
              <w:left w:type="dxa" w:w="100"/>
              <w:bottom w:type="dxa" w:w="80"/>
              <w:right w:type="dxa" w:w="100"/>
            </w:tcMar>
          </w:tcPr>
          <w:p>
            <w:r>
              <w:rPr>
                <w:b w:val="false"/>
                <w:bCs w:val="false"/>
                <w:sz w:val="19"/>
                <w:szCs w:val="19"/>
              </w:rPr>
              <w:t xml:space="preserve">Rewired 2026-08-04 to call the Worker’s /fetch and /claude/v1/messages routes instead of corsproxy.io and a client-stored Claude key directly — those direct calls were silently CSP-blocked</w:t>
            </w:r>
          </w:p>
        </w:tc>
      </w:tr>
      <w:tr>
        <w:tc>
          <w:tcPr>
            <w:tcW w:type="dxa" w:w="900"/>
            <w:tcMar>
              <w:top w:type="dxa" w:w="80"/>
              <w:left w:type="dxa" w:w="100"/>
              <w:bottom w:type="dxa" w:w="80"/>
              <w:right w:type="dxa" w:w="100"/>
            </w:tcMar>
          </w:tcPr>
          <w:p>
            <w:r>
              <w:rPr>
                <w:b w:val="false"/>
                <w:bCs w:val="false"/>
                <w:sz w:val="19"/>
                <w:szCs w:val="19"/>
              </w:rPr>
              <w:t xml:space="preserve">F3</w:t>
            </w:r>
          </w:p>
        </w:tc>
        <w:tc>
          <w:tcPr>
            <w:tcW w:type="dxa" w:w="2500"/>
            <w:tcMar>
              <w:top w:type="dxa" w:w="80"/>
              <w:left w:type="dxa" w:w="100"/>
              <w:bottom w:type="dxa" w:w="80"/>
              <w:right w:type="dxa" w:w="100"/>
            </w:tcMar>
          </w:tcPr>
          <w:p>
            <w:r>
              <w:rPr>
                <w:b w:val="false"/>
                <w:bCs w:val="false"/>
                <w:sz w:val="19"/>
                <w:szCs w:val="19"/>
              </w:rPr>
              <w:t xml:space="preserve">ISO 19443 Position</w:t>
            </w:r>
          </w:p>
        </w:tc>
        <w:tc>
          <w:tcPr>
            <w:tcW w:type="dxa" w:w="5660"/>
            <w:tcMar>
              <w:top w:type="dxa" w:w="80"/>
              <w:left w:type="dxa" w:w="100"/>
              <w:bottom w:type="dxa" w:w="80"/>
              <w:right w:type="dxa" w:w="100"/>
            </w:tcMar>
          </w:tcPr>
          <w:p>
            <w:r>
              <w:rPr>
                <w:b w:val="false"/>
                <w:bCs w:val="false"/>
                <w:sz w:val="19"/>
                <w:szCs w:val="19"/>
              </w:rPr>
              <w:t xml:space="preserve">Unchanged in scope; SCC backend POST integration still open (§9)</w:t>
            </w:r>
          </w:p>
        </w:tc>
      </w:tr>
      <w:tr>
        <w:tc>
          <w:tcPr>
            <w:tcW w:type="dxa" w:w="900"/>
            <w:tcMar>
              <w:top w:type="dxa" w:w="80"/>
              <w:left w:type="dxa" w:w="100"/>
              <w:bottom w:type="dxa" w:w="80"/>
              <w:right w:type="dxa" w:w="100"/>
            </w:tcMar>
          </w:tcPr>
          <w:p>
            <w:r>
              <w:rPr>
                <w:b w:val="false"/>
                <w:bCs w:val="false"/>
                <w:sz w:val="19"/>
                <w:szCs w:val="19"/>
              </w:rPr>
              <w:t xml:space="preserve">F4</w:t>
            </w:r>
          </w:p>
        </w:tc>
        <w:tc>
          <w:tcPr>
            <w:tcW w:type="dxa" w:w="2500"/>
            <w:tcMar>
              <w:top w:type="dxa" w:w="80"/>
              <w:left w:type="dxa" w:w="100"/>
              <w:bottom w:type="dxa" w:w="80"/>
              <w:right w:type="dxa" w:w="100"/>
            </w:tcMar>
          </w:tcPr>
          <w:p>
            <w:r>
              <w:rPr>
                <w:b w:val="false"/>
                <w:bCs w:val="false"/>
                <w:sz w:val="19"/>
                <w:szCs w:val="19"/>
              </w:rPr>
              <w:t xml:space="preserve">Social Value Finder</w:t>
            </w:r>
          </w:p>
        </w:tc>
        <w:tc>
          <w:tcPr>
            <w:tcW w:type="dxa" w:w="5660"/>
            <w:tcMar>
              <w:top w:type="dxa" w:w="80"/>
              <w:left w:type="dxa" w:w="100"/>
              <w:bottom w:type="dxa" w:w="80"/>
              <w:right w:type="dxa" w:w="100"/>
            </w:tcMar>
          </w:tcPr>
          <w:p>
            <w:r>
              <w:rPr>
                <w:b w:val="false"/>
                <w:bCs w:val="false"/>
                <w:sz w:val="19"/>
                <w:szCs w:val="19"/>
              </w:rPr>
              <w:t xml:space="preserve">Unchanged</w:t>
            </w:r>
          </w:p>
        </w:tc>
      </w:tr>
      <w:tr>
        <w:tc>
          <w:tcPr>
            <w:tcW w:type="dxa" w:w="900"/>
            <w:tcMar>
              <w:top w:type="dxa" w:w="80"/>
              <w:left w:type="dxa" w:w="100"/>
              <w:bottom w:type="dxa" w:w="80"/>
              <w:right w:type="dxa" w:w="100"/>
            </w:tcMar>
          </w:tcPr>
          <w:p>
            <w:r>
              <w:rPr>
                <w:b w:val="false"/>
                <w:bCs w:val="false"/>
                <w:sz w:val="19"/>
                <w:szCs w:val="19"/>
              </w:rPr>
              <w:t xml:space="preserve">F5</w:t>
            </w:r>
          </w:p>
        </w:tc>
        <w:tc>
          <w:tcPr>
            <w:tcW w:type="dxa" w:w="2500"/>
            <w:tcMar>
              <w:top w:type="dxa" w:w="80"/>
              <w:left w:type="dxa" w:w="100"/>
              <w:bottom w:type="dxa" w:w="80"/>
              <w:right w:type="dxa" w:w="100"/>
            </w:tcMar>
          </w:tcPr>
          <w:p>
            <w:r>
              <w:rPr>
                <w:b w:val="false"/>
                <w:bCs w:val="false"/>
                <w:sz w:val="19"/>
                <w:szCs w:val="19"/>
              </w:rPr>
              <w:t xml:space="preserve">RAG Chat Engine</w:t>
            </w:r>
          </w:p>
        </w:tc>
        <w:tc>
          <w:tcPr>
            <w:tcW w:type="dxa" w:w="5660"/>
            <w:tcMar>
              <w:top w:type="dxa" w:w="80"/>
              <w:left w:type="dxa" w:w="100"/>
              <w:bottom w:type="dxa" w:w="80"/>
              <w:right w:type="dxa" w:w="100"/>
            </w:tcMar>
          </w:tcPr>
          <w:p>
            <w:r>
              <w:rPr>
                <w:b w:val="false"/>
                <w:bCs w:val="false"/>
                <w:sz w:val="19"/>
                <w:szCs w:val="19"/>
              </w:rPr>
              <w:t xml:space="preserve">Retrieval completely rebuilt — see §4</w:t>
            </w:r>
          </w:p>
        </w:tc>
      </w:tr>
    </w:tbl>
    <w:p>
      <w:pPr>
        <w:pStyle w:val="Heading2"/>
        <w:spacing w:after="120" w:before="260"/>
      </w:pPr>
      <w:r>
        <w:t xml:space="preserve">Additional tools now live (beyond v9’s inventory)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Tool</w:t>
            </w:r>
          </w:p>
        </w:tc>
        <w:tc>
          <w:tcPr>
            <w:tcW w:type="dxa" w:w="1400"/>
            <w:shd w:fill="10243A" w:val="clear"/>
            <w:tcMar>
              <w:top w:type="dxa" w:w="80"/>
              <w:left w:type="dxa" w:w="100"/>
              <w:bottom w:type="dxa" w:w="80"/>
              <w:right w:type="dxa" w:w="100"/>
            </w:tcMar>
          </w:tcPr>
          <w:p>
            <w:r>
              <w:rPr>
                <w:b/>
                <w:bCs/>
                <w:color w:val="FFFFFF"/>
                <w:sz w:val="19"/>
                <w:szCs w:val="19"/>
              </w:rPr>
              <w:t xml:space="preserve">Added</w:t>
            </w:r>
          </w:p>
        </w:tc>
        <w:tc>
          <w:tcPr>
            <w:tcW w:type="dxa" w:w="5060"/>
            <w:shd w:fill="10243A"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Hero landing page</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Frankie no longer opens straight into chat — opens on a "Hi, I’m Frankie" hero screen with live status and an "Open Frankie Chat →" button. Chat/composer/rail stay in the DOM, hidden, until opened.</w:t>
            </w:r>
          </w:p>
        </w:tc>
      </w:tr>
      <w:tr>
        <w:tc>
          <w:tcPr>
            <w:tcW w:type="dxa" w:w="2600"/>
            <w:tcMar>
              <w:top w:type="dxa" w:w="80"/>
              <w:left w:type="dxa" w:w="100"/>
              <w:bottom w:type="dxa" w:w="80"/>
              <w:right w:type="dxa" w:w="100"/>
            </w:tcMar>
          </w:tcPr>
          <w:p>
            <w:r>
              <w:rPr>
                <w:b w:val="false"/>
                <w:bCs w:val="false"/>
                <w:sz w:val="19"/>
                <w:szCs w:val="19"/>
              </w:rPr>
              <w:t xml:space="preserve">Drawer intro splashes</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Every tool drawer’s first open shows a branded intro screen (what it does, checklist, illustration); remembered per-tool, reopenable via an ℹ️ button.</w:t>
            </w:r>
          </w:p>
        </w:tc>
      </w:tr>
      <w:tr>
        <w:tc>
          <w:tcPr>
            <w:tcW w:type="dxa" w:w="2600"/>
            <w:tcMar>
              <w:top w:type="dxa" w:w="80"/>
              <w:left w:type="dxa" w:w="100"/>
              <w:bottom w:type="dxa" w:w="80"/>
              <w:right w:type="dxa" w:w="100"/>
            </w:tcMar>
          </w:tcPr>
          <w:p>
            <w:r>
              <w:rPr>
                <w:b w:val="false"/>
                <w:bCs w:val="false"/>
                <w:sz w:val="19"/>
                <w:szCs w:val="19"/>
              </w:rPr>
              <w:t xml:space="preserve">NucColpedia — Research Library</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924 external research links, searchable/filterable by category/country/doctype/topic.</w:t>
            </w:r>
          </w:p>
        </w:tc>
      </w:tr>
      <w:tr>
        <w:tc>
          <w:tcPr>
            <w:tcW w:type="dxa" w:w="2600"/>
            <w:tcMar>
              <w:top w:type="dxa" w:w="80"/>
              <w:left w:type="dxa" w:w="100"/>
              <w:bottom w:type="dxa" w:w="80"/>
              <w:right w:type="dxa" w:w="100"/>
            </w:tcMar>
          </w:tcPr>
          <w:p>
            <w:r>
              <w:rPr>
                <w:b w:val="false"/>
                <w:bCs w:val="false"/>
                <w:sz w:val="19"/>
                <w:szCs w:val="19"/>
              </w:rPr>
              <w:t xml:space="preserve">NucColpedia — Reactor Documents</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New tab, new tool: search-and-snippet access to the 61,374-chunk reactors KB, retired from default chat. Full detail in §7.</w:t>
            </w:r>
          </w:p>
        </w:tc>
      </w:tr>
      <w:tr>
        <w:tc>
          <w:tcPr>
            <w:tcW w:type="dxa" w:w="2600"/>
            <w:tcMar>
              <w:top w:type="dxa" w:w="80"/>
              <w:left w:type="dxa" w:w="100"/>
              <w:bottom w:type="dxa" w:w="80"/>
              <w:right w:type="dxa" w:w="100"/>
            </w:tcMar>
          </w:tcPr>
          <w:p>
            <w:r>
              <w:rPr>
                <w:b w:val="false"/>
                <w:bCs w:val="false"/>
                <w:sz w:val="19"/>
                <w:szCs w:val="19"/>
              </w:rPr>
              <w:t xml:space="preserve">Plant Explorer — layer 2 cutaways</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Per-reactor cutaway diagrams with clickable buildings and numbered equipment callouts, on top of the original flat zone map.</w:t>
            </w:r>
          </w:p>
        </w:tc>
      </w:tr>
      <w:tr>
        <w:tc>
          <w:tcPr>
            <w:tcW w:type="dxa" w:w="2600"/>
            <w:tcMar>
              <w:top w:type="dxa" w:w="80"/>
              <w:left w:type="dxa" w:w="100"/>
              <w:bottom w:type="dxa" w:w="80"/>
              <w:right w:type="dxa" w:w="100"/>
            </w:tcMar>
          </w:tcPr>
          <w:p>
            <w:r>
              <w:rPr>
                <w:b w:val="false"/>
                <w:bCs w:val="false"/>
                <w:sz w:val="19"/>
                <w:szCs w:val="19"/>
              </w:rPr>
              <w:t xml:space="preserve">Plant Explorer ⇄ chat integration</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A plant/component chat question now auto-opens a quick-search drawer with a "Reopen Plant Explorer →" link plus an "Open full explorer →" escalation path into the full tool, carrying the search term across. Three real bugs fixed getting there — see §7.</w:t>
            </w:r>
          </w:p>
        </w:tc>
      </w:tr>
      <w:tr>
        <w:tc>
          <w:tcPr>
            <w:tcW w:type="dxa" w:w="2600"/>
            <w:tcMar>
              <w:top w:type="dxa" w:w="80"/>
              <w:left w:type="dxa" w:w="100"/>
              <w:bottom w:type="dxa" w:w="80"/>
              <w:right w:type="dxa" w:w="100"/>
            </w:tcMar>
          </w:tcPr>
          <w:p>
            <w:r>
              <w:rPr>
                <w:b w:val="false"/>
                <w:bCs w:val="false"/>
                <w:sz w:val="19"/>
                <w:szCs w:val="19"/>
              </w:rPr>
              <w:t xml:space="preserve">Single-drawer enforcement</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drawer-manager.js — opening a second tool force-closes whichever was already open, instead of stacking overlays.</w:t>
            </w:r>
          </w:p>
        </w:tc>
      </w:tr>
    </w:tbl>
    <w:p>
      <w:pPr>
        <w:pStyle w:val="Heading1"/>
        <w:spacing w:after="160" w:before="360"/>
      </w:pPr>
      <w:r>
        <w:t xml:space="preserve">7. Key Feature Detail — This Version’s Work</w:t>
      </w:r>
    </w:p>
    <w:p>
      <w:pPr>
        <w:pStyle w:val="Heading2"/>
        <w:spacing w:after="120" w:before="260"/>
      </w:pPr>
      <w:r>
        <w:t xml:space="preserve">NucColpedia — Reactor Documents tab</w:t>
      </w:r>
    </w:p>
    <w:p>
      <w:pPr>
        <w:spacing w:after="140"/>
      </w:pPr>
      <w:r>
        <w:t xml:space="preserve">The reactors KB partition (61,374 chunks of real DCD/FSAR/PCSR/GDA text across 19 reactor programmes — AP1000, ABWR, APR1400, UK EPR, NuScale, HPR1000, and others, plus Ref_OperatingPlants for real operating-plant FSARs) was fully built and hosted but never reachable — retired from default chat retrieval for the soft launch (§4) with no other way in. This version gives it a dedicated NucColpedia tab: type a query, get scored snippet results back, click through to the full stored passage. Deliberately not the same interaction model as the existing link-library tab (search-and-snippet vs. filter-a-directory), so it’s a second tab inside the same drawer shell rather than a bolt-on to the existing filters.</w:t>
      </w:r>
    </w:p>
    <w:p>
      <w:pPr>
        <w:pStyle w:val="ListParagraph"/>
        <w:numPr>
          <w:ilvl w:val="0"/>
          <w:numId w:val="1"/>
        </w:numPr>
        <w:spacing w:after="60"/>
      </w:pPr>
      <w:r>
        <w:t xml:space="preserve">js/reactors-kb-search.js — new, standalone. Two-stage search: a cheap Set-lookup pass narrows all 61k chunks to ~150 candidates by which distinct query words they contain, then only those candidates get exact frequency-weighted scoring (the same approach retrieval.js’s keywordScore() uses). A full regex rescan of the whole corpus on every keystroke was tested and judged too slow to feel responsive at this scale.</w:t>
      </w:r>
    </w:p>
    <w:p>
      <w:pPr>
        <w:pStyle w:val="ListParagraph"/>
        <w:numPr>
          <w:ilvl w:val="0"/>
          <w:numId w:val="1"/>
        </w:numPr>
        <w:spacing w:after="60"/>
      </w:pPr>
      <w:r>
        <w:t xml:space="preserve">Filters: reactor type (19 values), document type (DCD/FSAR/PCSR/GDA/PSA/etc., 10 values), discipline (Mechanical/Electrical/I&amp;C/etc., 10 values) — all derived from the loaded data, not hardcoded</w:t>
      </w:r>
    </w:p>
    <w:p>
      <w:pPr>
        <w:pStyle w:val="ListParagraph"/>
        <w:numPr>
          <w:ilvl w:val="0"/>
          <w:numId w:val="1"/>
        </w:numPr>
        <w:spacing w:after="60"/>
      </w:pPr>
      <w:r>
        <w:t xml:space="preserve">Result cards reuse source-chunk-drawer.js (originally built for the chat rail) for "View full passage" — the exact same drawer, with two new metadata fields (document type, discipline) added to what it displays</w:t>
      </w:r>
    </w:p>
    <w:p>
      <w:pPr>
        <w:pStyle w:val="ListParagraph"/>
        <w:numPr>
          <w:ilvl w:val="0"/>
          <w:numId w:val="1"/>
        </w:numPr>
        <w:spacing w:after="60"/>
      </w:pPr>
      <w:r>
        <w:t xml:space="preserve">Deliberately independent of retrieval.js — does not import from it, so it cannot perturb the main chat’s default retrieval path</w:t>
      </w:r>
    </w:p>
    <w:p>
      <w:pPr>
        <w:pStyle w:val="ListParagraph"/>
        <w:numPr>
          <w:ilvl w:val="0"/>
          <w:numId w:val="1"/>
        </w:numPr>
        <w:spacing w:after="60"/>
      </w:pPr>
      <w:r>
        <w:t xml:space="preserve">Lazy: the 61,374-chunk file (~166MB) only fetches on first use of the tab, not on NucColpedia open, and is cached in memory for the rest of the session. Search input/filters are disabled with a visible loading state while that first fetch+index is in flight — fixed after initial testing showed searching mid-load silently did nothing</w:t>
      </w:r>
    </w:p>
    <w:p>
      <w:pPr>
        <w:spacing w:after="160"/>
      </w:pPr>
      <w:r>
        <w:rPr>
          <w:i/>
          <w:iCs/>
          <w:color w:val="65758A"/>
        </w:rPr>
        <w:t xml:space="preserve">Size note for anyone extending this: retrieval.js’s own partition comment says "2.1GB — graph + keyword" for this partition. That figure is the KB file (~166MB, confirmed against the source build’s own meta block — 61,374 chunks, built 2026-08-01) plus a 1.8GB companion vectors file that sits alongside it in the same storage location but is never fetched (vectors: null in the partition config). The actual network cost of opening this tab is ~166MB, not 2.1GB.</w:t>
      </w:r>
    </w:p>
    <w:p>
      <w:pPr>
        <w:pStyle w:val="Heading2"/>
        <w:spacing w:after="120" w:before="260"/>
      </w:pPr>
      <w:r>
        <w:t xml:space="preserve">Plant Explorer — chat integration &amp; bug fixes</w:t>
      </w:r>
    </w:p>
    <w:p>
      <w:pPr>
        <w:pStyle w:val="ListParagraph"/>
        <w:numPr>
          <w:ilvl w:val="0"/>
          <w:numId w:val="1"/>
        </w:numPr>
        <w:spacing w:after="60"/>
      </w:pPr>
      <w:r>
        <w:t xml:space="preserve">Plant-question chat replies now show a one-line "Opened Plant Explorer for “X”" message with a Reopen Plant Explorer → link that works from anywhere later in the conversation (reads the query off a data attribute, not a live global)</w:t>
      </w:r>
    </w:p>
    <w:p>
      <w:pPr>
        <w:pStyle w:val="ListParagraph"/>
        <w:numPr>
          <w:ilvl w:val="0"/>
          <w:numId w:val="1"/>
        </w:numPr>
        <w:spacing w:after="60"/>
      </w:pPr>
      <w:r>
        <w:t xml:space="preserve">An "Open full explorer →" link in the quick-search drawer escalates into the full tool, carrying the search term across and setting the reactor filter to "All 18 designs"</w:t>
      </w:r>
    </w:p>
    <w:p>
      <w:pPr>
        <w:pStyle w:val="ListParagraph"/>
        <w:numPr>
          <w:ilvl w:val="0"/>
          <w:numId w:val="1"/>
        </w:numPr>
        <w:spacing w:after="60"/>
      </w:pPr>
      <w:r>
        <w:t xml:space="preserve">Bug fixed: the full explorer previously hardcoded AP1000 on open and ignored any passed-in search term</w:t>
      </w:r>
    </w:p>
    <w:p>
      <w:pPr>
        <w:pStyle w:val="ListParagraph"/>
        <w:numPr>
          <w:ilvl w:val="0"/>
          <w:numId w:val="1"/>
        </w:numPr>
        <w:spacing w:after="60"/>
      </w:pPr>
      <w:r>
        <w:t xml:space="preserve">Bug fixed: the "All 18 designs" composite view was silently falling back to a stale, unrelated 5-zone hand-drawn image with no current building layout; now reuses AP1000’s correct image/polygons (the underlying data still spans all 18 reactors — only the rendered image/polygons changed)</w:t>
      </w:r>
    </w:p>
    <w:p>
      <w:pPr>
        <w:pStyle w:val="ListParagraph"/>
        <w:numPr>
          <w:ilvl w:val="0"/>
          <w:numId w:val="1"/>
        </w:numPr>
        <w:spacing w:after="60"/>
      </w:pPr>
      <w:r>
        <w:t xml:space="preserve">Bug fixed: full-explorer search did a literal whole-phrase substring match, so any multi-word term (e.g. carried over from the quick-search drawer) matched nothing; now splits on whitespace and unions per-word matches, same approach the quick-search drawer already used</w:t>
      </w:r>
    </w:p>
    <w:p>
      <w:pPr>
        <w:pStyle w:val="Heading2"/>
        <w:spacing w:after="120" w:before="260"/>
      </w:pPr>
      <w:r>
        <w:t xml:space="preserve">Plant Explorer — underlying BOM/DSE data pipeline</w:t>
      </w:r>
    </w:p>
    <w:p>
      <w:pPr>
        <w:spacing w:after="140"/>
      </w:pPr>
      <w:r>
        <w:t xml:space="preserve">Separate from the frontend work above: the workbook backing Plant Explorer’s data (Reactor_BOM_DSE_Mapping_v3.xlsx, on Rene’s machine at Feed_Frankie/Reactors/) went through a multi-session classification effort mapping reactor design-document components onto NuCCoL’s own Plant System/Plant Component taxonomy.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700"/>
        <w:gridCol w:w="1500"/>
        <w:gridCol w:w="1700"/>
        <w:gridCol w:w="1560"/>
      </w:tblGrid>
      <w:tr>
        <w:trPr>
          <w:tblHeader/>
        </w:trPr>
        <w:tc>
          <w:tcPr>
            <w:tcW w:type="dxa" w:w="4700"/>
            <w:shd w:fill="10243A" w:val="clear"/>
            <w:tcMar>
              <w:top w:type="dxa" w:w="80"/>
              <w:left w:type="dxa" w:w="100"/>
              <w:bottom w:type="dxa" w:w="80"/>
              <w:right w:type="dxa" w:w="100"/>
            </w:tcMar>
          </w:tcPr>
          <w:p>
            <w:r>
              <w:rPr>
                <w:b/>
                <w:bCs/>
                <w:color w:val="FFFFFF"/>
                <w:sz w:val="19"/>
                <w:szCs w:val="19"/>
              </w:rPr>
              <w:t xml:space="preserve">Measure</w:t>
            </w:r>
          </w:p>
        </w:tc>
        <w:tc>
          <w:tcPr>
            <w:tcW w:type="dxa" w:w="1500"/>
            <w:shd w:fill="10243A" w:val="clear"/>
            <w:tcMar>
              <w:top w:type="dxa" w:w="80"/>
              <w:left w:type="dxa" w:w="100"/>
              <w:bottom w:type="dxa" w:w="80"/>
              <w:right w:type="dxa" w:w="100"/>
            </w:tcMar>
          </w:tcPr>
          <w:p>
            <w:r>
              <w:rPr>
                <w:b/>
                <w:bCs/>
                <w:color w:val="FFFFFF"/>
                <w:sz w:val="19"/>
                <w:szCs w:val="19"/>
              </w:rPr>
              <w:t xml:space="preserve">Project start</w:t>
            </w:r>
          </w:p>
        </w:tc>
        <w:tc>
          <w:tcPr>
            <w:tcW w:type="dxa" w:w="1700"/>
            <w:shd w:fill="10243A" w:val="clear"/>
            <w:tcMar>
              <w:top w:type="dxa" w:w="80"/>
              <w:left w:type="dxa" w:w="100"/>
              <w:bottom w:type="dxa" w:w="80"/>
              <w:right w:type="dxa" w:w="100"/>
            </w:tcMar>
          </w:tcPr>
          <w:p>
            <w:r>
              <w:rPr>
                <w:b/>
                <w:bCs/>
                <w:color w:val="FFFFFF"/>
                <w:sz w:val="19"/>
                <w:szCs w:val="19"/>
              </w:rPr>
              <w:t xml:space="preserve">Before this push</w:t>
            </w:r>
          </w:p>
        </w:tc>
        <w:tc>
          <w:tcPr>
            <w:tcW w:type="dxa" w:w="1560"/>
            <w:shd w:fill="10243A" w:val="clear"/>
            <w:tcMar>
              <w:top w:type="dxa" w:w="80"/>
              <w:left w:type="dxa" w:w="100"/>
              <w:bottom w:type="dxa" w:w="80"/>
              <w:right w:type="dxa" w:w="100"/>
            </w:tcMar>
          </w:tcPr>
          <w:p>
            <w:r>
              <w:rPr>
                <w:b/>
                <w:bCs/>
                <w:color w:val="FFFFFF"/>
                <w:sz w:val="19"/>
                <w:szCs w:val="19"/>
              </w:rPr>
              <w:t xml:space="preserve">After this push</w:t>
            </w:r>
          </w:p>
        </w:tc>
      </w:tr>
      <w:tr>
        <w:tc>
          <w:tcPr>
            <w:tcW w:type="dxa" w:w="4700"/>
            <w:tcMar>
              <w:top w:type="dxa" w:w="80"/>
              <w:left w:type="dxa" w:w="100"/>
              <w:bottom w:type="dxa" w:w="80"/>
              <w:right w:type="dxa" w:w="100"/>
            </w:tcMar>
          </w:tcPr>
          <w:p>
            <w:r>
              <w:rPr>
                <w:b w:val="false"/>
                <w:bCs w:val="false"/>
                <w:sz w:val="19"/>
                <w:szCs w:val="19"/>
              </w:rPr>
              <w:t xml:space="preserve">Blank Plant Component</w:t>
            </w:r>
          </w:p>
        </w:tc>
        <w:tc>
          <w:tcPr>
            <w:tcW w:type="dxa" w:w="1500"/>
            <w:tcMar>
              <w:top w:type="dxa" w:w="80"/>
              <w:left w:type="dxa" w:w="100"/>
              <w:bottom w:type="dxa" w:w="80"/>
              <w:right w:type="dxa" w:w="100"/>
            </w:tcMar>
          </w:tcPr>
          <w:p>
            <w:r>
              <w:rPr>
                <w:b w:val="false"/>
                <w:bCs w:val="false"/>
                <w:sz w:val="19"/>
                <w:szCs w:val="19"/>
              </w:rPr>
              <w:t xml:space="preserve">15,963</w:t>
            </w:r>
          </w:p>
        </w:tc>
        <w:tc>
          <w:tcPr>
            <w:tcW w:type="dxa" w:w="1700"/>
            <w:tcMar>
              <w:top w:type="dxa" w:w="80"/>
              <w:left w:type="dxa" w:w="100"/>
              <w:bottom w:type="dxa" w:w="80"/>
              <w:right w:type="dxa" w:w="100"/>
            </w:tcMar>
          </w:tcPr>
          <w:p>
            <w:r>
              <w:rPr>
                <w:b w:val="false"/>
                <w:bCs w:val="false"/>
                <w:sz w:val="19"/>
                <w:szCs w:val="19"/>
              </w:rPr>
              <w:t xml:space="preserve">3,573</w:t>
            </w:r>
          </w:p>
        </w:tc>
        <w:tc>
          <w:tcPr>
            <w:tcW w:type="dxa" w:w="1560"/>
            <w:tcMar>
              <w:top w:type="dxa" w:w="80"/>
              <w:left w:type="dxa" w:w="100"/>
              <w:bottom w:type="dxa" w:w="80"/>
              <w:right w:type="dxa" w:w="100"/>
            </w:tcMar>
          </w:tcPr>
          <w:p>
            <w:r>
              <w:rPr>
                <w:b w:val="false"/>
                <w:bCs w:val="false"/>
                <w:sz w:val="19"/>
                <w:szCs w:val="19"/>
              </w:rPr>
              <w:t xml:space="preserve">1,605</w:t>
            </w:r>
          </w:p>
        </w:tc>
      </w:tr>
      <w:tr>
        <w:tc>
          <w:tcPr>
            <w:tcW w:type="dxa" w:w="4700"/>
            <w:tcMar>
              <w:top w:type="dxa" w:w="80"/>
              <w:left w:type="dxa" w:w="100"/>
              <w:bottom w:type="dxa" w:w="80"/>
              <w:right w:type="dxa" w:w="100"/>
            </w:tcMar>
          </w:tcPr>
          <w:p>
            <w:r>
              <w:rPr>
                <w:b w:val="false"/>
                <w:bCs w:val="false"/>
                <w:sz w:val="19"/>
                <w:szCs w:val="19"/>
              </w:rPr>
              <w:t xml:space="preserve">Classified rows</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25,150 (87.6%)</w:t>
            </w:r>
          </w:p>
        </w:tc>
        <w:tc>
          <w:tcPr>
            <w:tcW w:type="dxa" w:w="1560"/>
            <w:tcMar>
              <w:top w:type="dxa" w:w="80"/>
              <w:left w:type="dxa" w:w="100"/>
              <w:bottom w:type="dxa" w:w="80"/>
              <w:right w:type="dxa" w:w="100"/>
            </w:tcMar>
          </w:tcPr>
          <w:p>
            <w:r>
              <w:rPr>
                <w:b w:val="false"/>
                <w:bCs w:val="false"/>
                <w:sz w:val="19"/>
                <w:szCs w:val="19"/>
              </w:rPr>
              <w:t xml:space="preserve">27,118 (94.4%)</w:t>
            </w:r>
          </w:p>
        </w:tc>
      </w:tr>
      <w:tr>
        <w:tc>
          <w:tcPr>
            <w:tcW w:type="dxa" w:w="4700"/>
            <w:tcMar>
              <w:top w:type="dxa" w:w="80"/>
              <w:left w:type="dxa" w:w="100"/>
              <w:bottom w:type="dxa" w:w="80"/>
              <w:right w:type="dxa" w:w="100"/>
            </w:tcMar>
          </w:tcPr>
          <w:p>
            <w:r>
              <w:rPr>
                <w:b w:val="false"/>
                <w:bCs w:val="false"/>
                <w:sz w:val="19"/>
                <w:szCs w:val="19"/>
              </w:rPr>
              <w:t xml:space="preserve">Orphan rows (Component filled, System blank — invisible to the 94.4% figure, rendered as "Unclassified System" in the tool)</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1,072</w:t>
            </w:r>
          </w:p>
        </w:tc>
        <w:tc>
          <w:tcPr>
            <w:tcW w:type="dxa" w:w="1560"/>
            <w:tcMar>
              <w:top w:type="dxa" w:w="80"/>
              <w:left w:type="dxa" w:w="100"/>
              <w:bottom w:type="dxa" w:w="80"/>
              <w:right w:type="dxa" w:w="100"/>
            </w:tcMar>
          </w:tcPr>
          <w:p>
            <w:r>
              <w:rPr>
                <w:b w:val="false"/>
                <w:bCs w:val="false"/>
                <w:sz w:val="19"/>
                <w:szCs w:val="19"/>
              </w:rPr>
              <w:t xml:space="preserve">131</w:t>
            </w:r>
          </w:p>
        </w:tc>
      </w:tr>
    </w:tbl>
    <w:p>
      <w:pPr>
        <w:spacing w:after="140"/>
      </w:pPr>
      <w:r>
        <w:t xml:space="preserve">The orphan-row gap (1,072 rows that counted as "classified" in the spreadsheet metric but still showed as unclassified in the actual tool) was found and fixed with a deterministic dictionary lookup (apply_orphan_system_fix.py) against the 171-pair Data Structure Extract.xlsx taxonomy — not a statistical majority vote. 941 of 1,072 fixed; 131 left genuinely ambiguous (logged to orphan_system_fix_needs_review.csv, dominated by a Heating &amp; Ventilation split the dictionary itself doesn’t resolve). The tree was regenerated (regen_tree.py) and the resulting plant_tree_v2.json copied into the site repo — this is the only way workbook changes reach the live tool; there is no live connection between the two.</w:t>
      </w:r>
    </w:p>
    <w:p>
      <w:pPr>
        <w:spacing w:after="140"/>
      </w:pPr>
      <w:r>
        <w:t xml:space="preserve">Two systematic mislabels were also found and fixed in this pass: ~869 concrete/civil-structure rows (containment domes, basemats, shield-building structure) had been filed under Cooling Towers purely because that pairing is valid for the Concrete &amp; Cement commodity group with no counter-example anywhere in the workbook; and ~242 Emergency Diesel Generator rows were filed under "Structure" rather than the machine itself.</w:t>
      </w:r>
    </w:p>
    <w:p>
      <w:pPr>
        <w:pStyle w:val="Heading2"/>
        <w:spacing w:after="120" w:before="260"/>
      </w:pPr>
      <w:r>
        <w:t xml:space="preserve">Hero landing / Sources rail visibility</w:t>
      </w:r>
    </w:p>
    <w:p>
      <w:pPr>
        <w:spacing w:after="140"/>
      </w:pPr>
      <w:r>
        <w:t xml:space="preserve">Fixed this version: the right-hand "Sources" rail (a layout sibling of the hero/chat area, not inside either) had no hidden state of its own and showed on the hero landing screen too, before there was anything to cite — hero-landing.js even had a code comment admitting it ("rail has no toggle of its own, leave as-is"). Now hidden by default and only shown once chat is actually open. A second, related fix: .app’s CSS Grid reserves a fixed 318px third column for the rail regardless of whether it’s rendered (a hidden grid item still gets its track sized from an explicit template), which left dead space on the hero screen even once the rail itself stopped showing — a .no-rail class now drops the grid to two columns whenever the rail is hidden.</w:t>
      </w:r>
    </w:p>
    <w:p>
      <w:pPr>
        <w:pStyle w:val="Heading1"/>
        <w:spacing w:after="160" w:before="360"/>
      </w:pPr>
      <w:r>
        <w:t xml:space="preserve">8. Technical Patterns</w:t>
      </w:r>
    </w:p>
    <w:p>
      <w:pPr>
        <w:pStyle w:val="Heading2"/>
        <w:spacing w:after="120" w:before="260"/>
      </w:pPr>
      <w:r>
        <w:t xml:space="preserve">Drawer Pattern (unchanged shape, two new shared behaviours)</w:t>
      </w:r>
    </w:p>
    <w:p>
      <w:pPr>
        <w:spacing w:after="140"/>
      </w:pPr>
      <w:r>
        <w:t xml:space="preserve">Every tool module is still an IIFE creating a drawer div once and appending it to body on first open, exposing one window.XxxDrawer global. Two things now sit on top of every drawer without each one needing its own code:</w:t>
      </w:r>
    </w:p>
    <w:p>
      <w:pPr>
        <w:pStyle w:val="ListParagraph"/>
        <w:numPr>
          <w:ilvl w:val="0"/>
          <w:numId w:val="1"/>
        </w:numPr>
        <w:spacing w:after="60"/>
      </w:pPr>
      <w:r>
        <w:t xml:space="preserve">drawer-manager.js — watches for any *-drawer root gaining an --open class and force-closes every other open one, the same way each drawer’s own close() does</w:t>
      </w:r>
    </w:p>
    <w:p>
      <w:pPr>
        <w:pStyle w:val="ListParagraph"/>
        <w:numPr>
          <w:ilvl w:val="0"/>
          <w:numId w:val="1"/>
        </w:numPr>
        <w:spacing w:after="60"/>
      </w:pPr>
      <w:r>
        <w:t xml:space="preserve">drawer-splash.js — DrawerSplashKit.attach(el, config) call added right after appendChild(el) in each drawer’s inject(); shows a first-open intro once per tool (localStorage-remembered), reopenable via an ℹ️ button next to the close button</w:t>
      </w:r>
    </w:p>
    <w:p>
      <w:pPr>
        <w:spacing w:after="160"/>
      </w:pPr>
      <w:r>
        <w:rPr>
          <w:i/>
          <w:iCs/>
          <w:color w:val="65758A"/>
        </w:rPr>
        <w:t xml:space="preserve">Gotcha worth documenting: a hidden-by-attribute element (el.hidden = true) only actually disappears if the CSS gives [hidden] enough specificity to beat that element’s own class-based display rule — the UA stylesheet’s bare [hidden]{display:none} loses to any plain .foo{display:flex} rule with equal or higher specificity. Hit and fixed twice this version (the reactor-search results’ chunk-drawer z-index, and the Sources rail’s hidden state) — worth checking for on any future hidden/shown element.</w:t>
      </w:r>
    </w:p>
    <w:p>
      <w:pPr>
        <w:pStyle w:val="Heading2"/>
        <w:spacing w:after="120" w:before="260"/>
      </w:pPr>
      <w:r>
        <w:t xml:space="preserve">API Call Pattern (changed — no longer direct-to-Anthropic)</w:t>
      </w:r>
    </w:p>
    <w:p>
      <w:pPr>
        <w:spacing w:after="140"/>
      </w:pPr>
      <w:r>
        <w:t xml:space="preserve">v9’s pattern called api.anthropic.com directly from the browser with a client-stored key. That is gone. Every Claude/Groq/embedding call now goes to the Worker:</w:t>
      </w:r>
    </w:p>
    <w:p>
      <w:pPr>
        <w:spacing w:after="140"/>
      </w:pPr>
      <w:r>
        <w:rPr>
          <w:rFonts w:ascii="Consolas" w:cs="Consolas" w:eastAsia="Consolas" w:hAnsi="Consolas"/>
          <w:sz w:val="18"/>
          <w:szCs w:val="18"/>
        </w:rPr>
        <w:t xml:space="preserve">fetch(`${WORKER_URL}/claude/v1/messages`, { headers: { Authorization: `Bearer ${frankieUserToken}` }, body: JSON.stringify({ model, max_tokens }) })</w:t>
      </w:r>
    </w:p>
    <w:p>
      <w:pPr>
        <w:pStyle w:val="ListParagraph"/>
        <w:numPr>
          <w:ilvl w:val="0"/>
          <w:numId w:val="1"/>
        </w:numPr>
        <w:spacing w:after="60"/>
      </w:pPr>
      <w:r>
        <w:t xml:space="preserve">frankieUserToken is a Supabase access token, not an API key — the Worker holds the real Claude/Groq/OpenAI keys as its own secrets and injects them server-side</w:t>
      </w:r>
    </w:p>
    <w:p>
      <w:pPr>
        <w:pStyle w:val="ListParagraph"/>
        <w:numPr>
          <w:ilvl w:val="0"/>
          <w:numId w:val="1"/>
        </w:numPr>
        <w:spacing w:after="60"/>
      </w:pPr>
      <w:r>
        <w:t xml:space="preserve">Same authHeaders() pattern is duplicated (not imported) in every module that needs it — claude.js, groq.js, retrieval.js, reactors-kb-search.js, and every drawer that hits the Worker — an established convention in this codebase, not an oversight</w:t>
      </w:r>
    </w:p>
    <w:p>
      <w:pPr>
        <w:pStyle w:val="Heading2"/>
        <w:spacing w:after="120" w:before="260"/>
      </w:pPr>
      <w:r>
        <w:t xml:space="preserve">Print Export — unchanged</w:t>
      </w:r>
    </w:p>
    <w:p>
      <w:pPr>
        <w:spacing w:after="140"/>
      </w:pPr>
      <w:r>
        <w:t xml:space="preserve">Tool Kit tools still generate a printable output via window.open() + inline-CSS document.write(), with @media print rules and company header/date/page-number via CSS counters.</w:t>
      </w:r>
    </w:p>
    <w:p>
      <w:pPr>
        <w:pStyle w:val="Heading1"/>
        <w:spacing w:after="160" w:before="360"/>
      </w:pPr>
      <w:r>
        <w:t xml:space="preserve">9. Open To-Dos</w:t>
      </w:r>
    </w:p>
    <w:p>
      <w:pPr>
        <w:spacing w:after="140"/>
      </w:pPr>
      <w:r>
        <w:t xml:space="preserve">Combines v9’s still-open items with everything raised in this version’s session handover docs. Ordered roughly by how directly it was raised/confirmed, not by imposed priority — needs Rene’s steer on sequencing.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60"/>
      </w:tblGrid>
      <w:tr>
        <w:trPr>
          <w:tblHeader/>
        </w:trPr>
        <w:tc>
          <w:tcPr>
            <w:tcW w:type="dxa" w:w="500"/>
            <w:shd w:fill="10243A" w:val="clear"/>
            <w:tcMar>
              <w:top w:type="dxa" w:w="80"/>
              <w:left w:type="dxa" w:w="100"/>
              <w:bottom w:type="dxa" w:w="80"/>
              <w:right w:type="dxa" w:w="100"/>
            </w:tcMar>
          </w:tcPr>
          <w:p>
            <w:r>
              <w:rPr>
                <w:b/>
                <w:bCs/>
                <w:color w:val="FFFFFF"/>
                <w:sz w:val="19"/>
                <w:szCs w:val="19"/>
              </w:rPr>
              <w:t xml:space="preserve">#</w:t>
            </w:r>
          </w:p>
        </w:tc>
        <w:tc>
          <w:tcPr>
            <w:tcW w:type="dxa" w:w="2800"/>
            <w:shd w:fill="10243A" w:val="clear"/>
            <w:tcMar>
              <w:top w:type="dxa" w:w="80"/>
              <w:left w:type="dxa" w:w="100"/>
              <w:bottom w:type="dxa" w:w="80"/>
              <w:right w:type="dxa" w:w="100"/>
            </w:tcMar>
          </w:tcPr>
          <w:p>
            <w:r>
              <w:rPr>
                <w:b/>
                <w:bCs/>
                <w:color w:val="FFFFFF"/>
                <w:sz w:val="19"/>
                <w:szCs w:val="19"/>
              </w:rPr>
              <w:t xml:space="preserve">Item</w:t>
            </w:r>
          </w:p>
        </w:tc>
        <w:tc>
          <w:tcPr>
            <w:tcW w:type="dxa" w:w="6260"/>
            <w:shd w:fill="10243A" w:val="clear"/>
            <w:tcMar>
              <w:top w:type="dxa" w:w="80"/>
              <w:left w:type="dxa" w:w="100"/>
              <w:bottom w:type="dxa" w:w="80"/>
              <w:right w:type="dxa" w:w="100"/>
            </w:tcMar>
          </w:tcPr>
          <w:p>
            <w:r>
              <w:rPr>
                <w:b/>
                <w:bCs/>
                <w:color w:val="FFFFFF"/>
                <w:sz w:val="19"/>
                <w:szCs w:val="19"/>
              </w:rPr>
              <w:t xml:space="preserve">Detail</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800"/>
            <w:tcMar>
              <w:top w:type="dxa" w:w="80"/>
              <w:left w:type="dxa" w:w="100"/>
              <w:bottom w:type="dxa" w:w="80"/>
              <w:right w:type="dxa" w:w="100"/>
            </w:tcMar>
          </w:tcPr>
          <w:p>
            <w:r>
              <w:rPr>
                <w:b w:val="false"/>
                <w:bCs w:val="false"/>
                <w:sz w:val="19"/>
                <w:szCs w:val="19"/>
              </w:rPr>
              <w:t xml:space="preserve">131 ambiguous orphan rows (Plant Explorer data)</w:t>
            </w:r>
          </w:p>
        </w:tc>
        <w:tc>
          <w:tcPr>
            <w:tcW w:type="dxa" w:w="6260"/>
            <w:tcMar>
              <w:top w:type="dxa" w:w="80"/>
              <w:left w:type="dxa" w:w="100"/>
              <w:bottom w:type="dxa" w:w="80"/>
              <w:right w:type="dxa" w:w="100"/>
            </w:tcMar>
          </w:tcPr>
          <w:p>
            <w:r>
              <w:rPr>
                <w:b w:val="false"/>
                <w:bCs w:val="false"/>
                <w:sz w:val="19"/>
                <w:szCs w:val="19"/>
              </w:rPr>
              <w:t xml:space="preserve">Logged in orphan_system_fix_needs_review.csv, dominated by a Heating &amp; Ventilation split the 171-pair dictionary itself doesn’t resolve — needs a human call or document-level investigation.</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800"/>
            <w:tcMar>
              <w:top w:type="dxa" w:w="80"/>
              <w:left w:type="dxa" w:w="100"/>
              <w:bottom w:type="dxa" w:w="80"/>
              <w:right w:type="dxa" w:w="100"/>
            </w:tcMar>
          </w:tcPr>
          <w:p>
            <w:r>
              <w:rPr>
                <w:b w:val="false"/>
                <w:bCs w:val="false"/>
                <w:sz w:val="19"/>
                <w:szCs w:val="19"/>
              </w:rPr>
              <w:t xml:space="preserve">1,605 rows still blank in the BOM/DSE workbook</w:t>
            </w:r>
          </w:p>
        </w:tc>
        <w:tc>
          <w:tcPr>
            <w:tcW w:type="dxa" w:w="6260"/>
            <w:tcMar>
              <w:top w:type="dxa" w:w="80"/>
              <w:left w:type="dxa" w:w="100"/>
              <w:bottom w:type="dxa" w:w="80"/>
              <w:right w:type="dxa" w:w="100"/>
            </w:tcMar>
          </w:tcPr>
          <w:p>
            <w:r>
              <w:rPr>
                <w:b w:val="false"/>
                <w:bCs w:val="false"/>
                <w:sz w:val="19"/>
                <w:szCs w:val="19"/>
              </w:rPr>
              <w:t xml:space="preserve">Breakdown: Materials Plate &amp; Bar 219, Instrumentation 184, Materials Forgings 173, Tanks 157, Fuel Other &amp; Fuel Systems 152, Structural Steel 117, no Commodity Group at all 87, Power Supply/Doors &amp; Hatches/Vessels 198, other 318. ~418 carry a Section_Number that could be joined against source PDFs; ~973 source PDFs (~3.8GB) sit untouched as the next-best route.</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800"/>
            <w:tcMar>
              <w:top w:type="dxa" w:w="80"/>
              <w:left w:type="dxa" w:w="100"/>
              <w:bottom w:type="dxa" w:w="80"/>
              <w:right w:type="dxa" w:w="100"/>
            </w:tcMar>
          </w:tcPr>
          <w:p>
            <w:r>
              <w:rPr>
                <w:b w:val="false"/>
                <w:bCs w:val="false"/>
                <w:sz w:val="19"/>
                <w:szCs w:val="19"/>
              </w:rPr>
              <w:t xml:space="preserve">Materials Forgings/Plate &amp; Bar/Structural Steel bulk-mapping</w:t>
            </w:r>
          </w:p>
        </w:tc>
        <w:tc>
          <w:tcPr>
            <w:tcW w:type="dxa" w:w="6260"/>
            <w:tcMar>
              <w:top w:type="dxa" w:w="80"/>
              <w:left w:type="dxa" w:w="100"/>
              <w:bottom w:type="dxa" w:w="80"/>
              <w:right w:type="dxa" w:w="100"/>
            </w:tcMar>
          </w:tcPr>
          <w:p>
            <w:r>
              <w:rPr>
                <w:b w:val="false"/>
                <w:bCs w:val="false"/>
                <w:sz w:val="19"/>
                <w:szCs w:val="19"/>
              </w:rPr>
              <w:t xml:space="preserve">Raised and evidence-checked this version — no for Forgings/Plate &amp; Bar (genuinely system-specific), partial yes for Structural Steel in the non-building-specific subset only (~34 rows). Not applied; open if Rene wants to revisit.</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800"/>
            <w:tcMar>
              <w:top w:type="dxa" w:w="80"/>
              <w:left w:type="dxa" w:w="100"/>
              <w:bottom w:type="dxa" w:w="80"/>
              <w:right w:type="dxa" w:w="100"/>
            </w:tcMar>
          </w:tcPr>
          <w:p>
            <w:r>
              <w:rPr>
                <w:b w:val="false"/>
                <w:bCs w:val="false"/>
                <w:sz w:val="19"/>
                <w:szCs w:val="19"/>
              </w:rPr>
              <w:t xml:space="preserve">Link to the underlying plant database</w:t>
            </w:r>
          </w:p>
        </w:tc>
        <w:tc>
          <w:tcPr>
            <w:tcW w:type="dxa" w:w="6260"/>
            <w:tcMar>
              <w:top w:type="dxa" w:w="80"/>
              <w:left w:type="dxa" w:w="100"/>
              <w:bottom w:type="dxa" w:w="80"/>
              <w:right w:type="dxa" w:w="100"/>
            </w:tcMar>
          </w:tcPr>
          <w:p>
            <w:r>
              <w:rPr>
                <w:b w:val="false"/>
                <w:bCs w:val="false"/>
                <w:sz w:val="19"/>
                <w:szCs w:val="19"/>
              </w:rPr>
              <w:t xml:space="preserve">Raised, not built. Three options discussed cheapest-first: (a) link straight to the raw xlsx — minutes, needs production sign-off, hands out the raw file; (b) a lightweight hosted JSON + searchable table page inside the site repo, same pattern as plant_tree_v2.json — about an hour, no sign-off needed, recommended starting point; (c) a full mini-database UI matching Plant Explorer’s styling — worth it only if this becomes a regularly-used reference. Scope (whole workbook vs. just the 171-pair dictionary) not decided.</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800"/>
            <w:tcMar>
              <w:top w:type="dxa" w:w="80"/>
              <w:left w:type="dxa" w:w="100"/>
              <w:bottom w:type="dxa" w:w="80"/>
              <w:right w:type="dxa" w:w="100"/>
            </w:tcMar>
          </w:tcPr>
          <w:p>
            <w:r>
              <w:rPr>
                <w:b w:val="false"/>
                <w:bCs w:val="false"/>
                <w:sz w:val="19"/>
                <w:szCs w:val="19"/>
              </w:rPr>
              <w:t xml:space="preserve">Nuclear Engineering Mode for chat</w:t>
            </w:r>
          </w:p>
        </w:tc>
        <w:tc>
          <w:tcPr>
            <w:tcW w:type="dxa" w:w="6260"/>
            <w:tcMar>
              <w:top w:type="dxa" w:w="80"/>
              <w:left w:type="dxa" w:w="100"/>
              <w:bottom w:type="dxa" w:w="80"/>
              <w:right w:type="dxa" w:w="100"/>
            </w:tcMar>
          </w:tcPr>
          <w:p>
            <w:r>
              <w:rPr>
                <w:b w:val="false"/>
                <w:bCs w:val="false"/>
                <w:sz w:val="19"/>
                <w:szCs w:val="19"/>
              </w:rPr>
              <w:t xml:space="preserve">isNuclearQuery()/NUCLEAR_SIGNALS in retrieval.js were deliberately left in place, unused, for exactly this. Would need to be an explicit opt-in toggle, not a default-behaviour change, and needs sign-off before starting since it touches the main chat retrieval path.</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800"/>
            <w:tcMar>
              <w:top w:type="dxa" w:w="80"/>
              <w:left w:type="dxa" w:w="100"/>
              <w:bottom w:type="dxa" w:w="80"/>
              <w:right w:type="dxa" w:w="100"/>
            </w:tcMar>
          </w:tcPr>
          <w:p>
            <w:r>
              <w:rPr>
                <w:b w:val="false"/>
                <w:bCs w:val="false"/>
                <w:sz w:val="19"/>
                <w:szCs w:val="19"/>
              </w:rPr>
              <w:t xml:space="preserve">Cross-link Reactor Documents results to Plant Explorer</w:t>
            </w:r>
          </w:p>
        </w:tc>
        <w:tc>
          <w:tcPr>
            <w:tcW w:type="dxa" w:w="6260"/>
            <w:tcMar>
              <w:top w:type="dxa" w:w="80"/>
              <w:left w:type="dxa" w:w="100"/>
              <w:bottom w:type="dxa" w:w="80"/>
              <w:right w:type="dxa" w:w="100"/>
            </w:tcMar>
          </w:tcPr>
          <w:p>
            <w:r>
              <w:rPr>
                <w:b w:val="false"/>
                <w:bCs w:val="false"/>
                <w:sz w:val="19"/>
                <w:szCs w:val="19"/>
              </w:rPr>
              <w:t xml:space="preserve">A reactor-document result card already carries reactor_type — a "View in Plant Explorer →" action alongside "View full passage" would connect prose to the structured BOM data for the same reactor.</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800"/>
            <w:tcMar>
              <w:top w:type="dxa" w:w="80"/>
              <w:left w:type="dxa" w:w="100"/>
              <w:bottom w:type="dxa" w:w="80"/>
              <w:right w:type="dxa" w:w="100"/>
            </w:tcMar>
          </w:tcPr>
          <w:p>
            <w:r>
              <w:rPr>
                <w:b w:val="false"/>
                <w:bCs w:val="false"/>
                <w:sz w:val="19"/>
                <w:szCs w:val="19"/>
              </w:rPr>
              <w:t xml:space="preserve">plant-drawer.js vs. plant-explorer-drawer.js data fork</w:t>
            </w:r>
          </w:p>
        </w:tc>
        <w:tc>
          <w:tcPr>
            <w:tcW w:type="dxa" w:w="6260"/>
            <w:tcMar>
              <w:top w:type="dxa" w:w="80"/>
              <w:left w:type="dxa" w:w="100"/>
              <w:bottom w:type="dxa" w:w="80"/>
              <w:right w:type="dxa" w:w="100"/>
            </w:tcMar>
          </w:tcPr>
          <w:p>
            <w:r>
              <w:rPr>
                <w:b w:val="false"/>
                <w:bCs w:val="false"/>
                <w:sz w:val="19"/>
                <w:szCs w:val="19"/>
              </w:rPr>
              <w:t xml:space="preserve">The chat’s quick-search plant feature still reads the older, generic (non-reactor-mapped) tree via the Worker, while the full explorer reads the reactor-mapped plant_tree_v2.json directly. A deliberate short-term trade-off, not yet resolved — rebuilding the live Worker KB endpoint with the v2 schema would let both share one source of truth again.</w:t>
            </w:r>
          </w:p>
        </w:tc>
      </w:tr>
      <w:tr>
        <w:tc>
          <w:tcPr>
            <w:tcW w:type="dxa" w:w="500"/>
            <w:tcMar>
              <w:top w:type="dxa" w:w="80"/>
              <w:left w:type="dxa" w:w="100"/>
              <w:bottom w:type="dxa" w:w="80"/>
              <w:right w:type="dxa" w:w="100"/>
            </w:tcMar>
          </w:tcPr>
          <w:p>
            <w:r>
              <w:rPr>
                <w:b w:val="false"/>
                <w:bCs w:val="false"/>
                <w:sz w:val="19"/>
                <w:szCs w:val="19"/>
              </w:rPr>
              <w:t xml:space="preserve">8</w:t>
            </w:r>
          </w:p>
        </w:tc>
        <w:tc>
          <w:tcPr>
            <w:tcW w:type="dxa" w:w="2800"/>
            <w:tcMar>
              <w:top w:type="dxa" w:w="80"/>
              <w:left w:type="dxa" w:w="100"/>
              <w:bottom w:type="dxa" w:w="80"/>
              <w:right w:type="dxa" w:w="100"/>
            </w:tcMar>
          </w:tcPr>
          <w:p>
            <w:r>
              <w:rPr>
                <w:b w:val="false"/>
                <w:bCs w:val="false"/>
                <w:sz w:val="19"/>
                <w:szCs w:val="19"/>
              </w:rPr>
              <w:t xml:space="preserve">Evidence Vault — show existing uploads on reopen</w:t>
            </w:r>
          </w:p>
        </w:tc>
        <w:tc>
          <w:tcPr>
            <w:tcW w:type="dxa" w:w="6260"/>
            <w:tcMar>
              <w:top w:type="dxa" w:w="80"/>
              <w:left w:type="dxa" w:w="100"/>
              <w:bottom w:type="dxa" w:w="80"/>
              <w:right w:type="dxa" w:w="100"/>
            </w:tcMar>
          </w:tcPr>
          <w:p>
            <w:r>
              <w:rPr>
                <w:b w:val="false"/>
                <w:bCs w:val="false"/>
                <w:sz w:val="19"/>
                <w:szCs w:val="19"/>
              </w:rPr>
              <w:t xml:space="preserve">Carried from v9, unchanged: starts fresh every session. Needs: list files from the Supabase path on drawer open, render ticked items.</w:t>
            </w:r>
          </w:p>
        </w:tc>
      </w:tr>
      <w:tr>
        <w:tc>
          <w:tcPr>
            <w:tcW w:type="dxa" w:w="500"/>
            <w:tcMar>
              <w:top w:type="dxa" w:w="80"/>
              <w:left w:type="dxa" w:w="100"/>
              <w:bottom w:type="dxa" w:w="80"/>
              <w:right w:type="dxa" w:w="100"/>
            </w:tcMar>
          </w:tcPr>
          <w:p>
            <w:r>
              <w:rPr>
                <w:b w:val="false"/>
                <w:bCs w:val="false"/>
                <w:sz w:val="19"/>
                <w:szCs w:val="19"/>
              </w:rPr>
              <w:t xml:space="preserve">9</w:t>
            </w:r>
          </w:p>
        </w:tc>
        <w:tc>
          <w:tcPr>
            <w:tcW w:type="dxa" w:w="2800"/>
            <w:tcMar>
              <w:top w:type="dxa" w:w="80"/>
              <w:left w:type="dxa" w:w="100"/>
              <w:bottom w:type="dxa" w:w="80"/>
              <w:right w:type="dxa" w:w="100"/>
            </w:tcMar>
          </w:tcPr>
          <w:p>
            <w:r>
              <w:rPr>
                <w:b w:val="false"/>
                <w:bCs w:val="false"/>
                <w:sz w:val="19"/>
                <w:szCs w:val="19"/>
              </w:rPr>
              <w:t xml:space="preserve">ISO 19443 → SCC backend POST</w:t>
            </w:r>
          </w:p>
        </w:tc>
        <w:tc>
          <w:tcPr>
            <w:tcW w:type="dxa" w:w="6260"/>
            <w:tcMar>
              <w:top w:type="dxa" w:w="80"/>
              <w:left w:type="dxa" w:w="100"/>
              <w:bottom w:type="dxa" w:w="80"/>
              <w:right w:type="dxa" w:w="100"/>
            </w:tcMar>
          </w:tcPr>
          <w:p>
            <w:r>
              <w:rPr>
                <w:b w:val="false"/>
                <w:bCs w:val="false"/>
                <w:sz w:val="19"/>
                <w:szCs w:val="19"/>
              </w:rPr>
              <w:t xml:space="preserve">Carried from v9, unchanged: needs an SCC portal API endpoint, Azure AD/Entra SSO auth, company ID from session.</w:t>
            </w:r>
          </w:p>
        </w:tc>
      </w:tr>
      <w:tr>
        <w:tc>
          <w:tcPr>
            <w:tcW w:type="dxa" w:w="500"/>
            <w:tcMar>
              <w:top w:type="dxa" w:w="80"/>
              <w:left w:type="dxa" w:w="100"/>
              <w:bottom w:type="dxa" w:w="80"/>
              <w:right w:type="dxa" w:w="100"/>
            </w:tcMar>
          </w:tcPr>
          <w:p>
            <w:r>
              <w:rPr>
                <w:b w:val="false"/>
                <w:bCs w:val="false"/>
                <w:sz w:val="19"/>
                <w:szCs w:val="19"/>
              </w:rPr>
              <w:t xml:space="preserve">10</w:t>
            </w:r>
          </w:p>
        </w:tc>
        <w:tc>
          <w:tcPr>
            <w:tcW w:type="dxa" w:w="2800"/>
            <w:tcMar>
              <w:top w:type="dxa" w:w="80"/>
              <w:left w:type="dxa" w:w="100"/>
              <w:bottom w:type="dxa" w:w="80"/>
              <w:right w:type="dxa" w:w="100"/>
            </w:tcMar>
          </w:tcPr>
          <w:p>
            <w:r>
              <w:rPr>
                <w:b w:val="false"/>
                <w:bCs w:val="false"/>
                <w:sz w:val="19"/>
                <w:szCs w:val="19"/>
              </w:rPr>
              <w:t xml:space="preserve">Repo housekeeping</w:t>
            </w:r>
          </w:p>
        </w:tc>
        <w:tc>
          <w:tcPr>
            <w:tcW w:type="dxa" w:w="6260"/>
            <w:tcMar>
              <w:top w:type="dxa" w:w="80"/>
              <w:left w:type="dxa" w:w="100"/>
              <w:bottom w:type="dxa" w:w="80"/>
              <w:right w:type="dxa" w:w="100"/>
            </w:tcMar>
          </w:tcPr>
          <w:p>
            <w:r>
              <w:rPr>
                <w:b w:val="false"/>
                <w:bCs w:val="false"/>
                <w:sz w:val="19"/>
                <w:szCs w:val="19"/>
              </w:rPr>
              <w:t xml:space="preserve">The bulk commit that brought the site repo up to date folded in several untracked directories that predate recent sessions (Nuclear/, _misc_files/, _to_delete/, Claude outputs/). Nothing deleted; _to_delete/ is still sitting there under that name if it should actually go.</w:t>
            </w:r>
          </w:p>
        </w:tc>
      </w:tr>
    </w:tbl>
    <w:p>
      <w:pPr>
        <w:pStyle w:val="Heading1"/>
        <w:spacing w:after="160" w:before="360"/>
      </w:pPr>
      <w:r>
        <w:t xml:space="preserve">10. Planned Features — Next Phase (carried from v9, unchanged)</w:t>
      </w:r>
    </w:p>
    <w:p>
      <w:pPr>
        <w:spacing w:after="140"/>
      </w:pPr>
      <w:r>
        <w:t xml:space="preserve">No evidence any of the following six were started — checked against the current js/ inventory (no vault-drawer.js, no dedicated SQEP/compliance-quiz/document-review drawer exists). Carried forward from v9 as-is; re-confirm scope with Rene before starting any of them, since two and a half months have passed.</w:t>
      </w:r>
    </w:p>
    <w:p>
      <w:pPr>
        <w:pStyle w:val="Heading3"/>
        <w:spacing w:after="100" w:before="200"/>
      </w:pPr>
      <w:r>
        <w:t xml:space="preserve">Feature A — Guided Document Vault</w:t>
      </w:r>
    </w:p>
    <w:p>
      <w:pPr>
        <w:spacing w:after="140"/>
      </w:pPr>
      <w:r>
        <w:t xml:space="preserve">SCC-verified templates (Quality Manual, SQEP Matrix, CSIP, Risk Register, Document Control Procedure) that Frankie guides a company through section by section — targeted questions, not a blank prompt, Claude drafts from the answers, company reviews/edits/confirms. The Ownership Principle: Frankie reviews and asks hard questions but does not rewrite for the company.</w:t>
      </w:r>
    </w:p>
    <w:p>
      <w:pPr>
        <w:pStyle w:val="Heading3"/>
        <w:spacing w:after="100" w:before="200"/>
      </w:pPr>
      <w:r>
        <w:t xml:space="preserve">Feature B — Evidence Vault v2 (SCC Assessment Interface)</w:t>
      </w:r>
    </w:p>
    <w:p>
      <w:pPr>
        <w:spacing w:after="140"/>
      </w:pPr>
      <w:r>
        <w:t xml:space="preserve">AI-powered analysis of uploaded evidence on the SCC side — suggested score + rationale, evidence summary, prep notes, SCC override field — pre-populating a scoring interface so the SCC arrives at a meeting already informed.</w:t>
      </w:r>
    </w:p>
    <w:p>
      <w:pPr>
        <w:pStyle w:val="Heading3"/>
        <w:spacing w:after="100" w:before="200"/>
      </w:pPr>
      <w:r>
        <w:t xml:space="preserve">Feature C — Pre-OSV &amp; Pre-Meeting Pack</w:t>
      </w:r>
    </w:p>
    <w:p>
      <w:pPr>
        <w:spacing w:after="140"/>
      </w:pPr>
      <w:r>
        <w:t xml:space="preserve">A personalised intelligence pack for both sides before any meeting/OSV — gap checklist and prep guide for the company, submission summary and flagged risk areas for the SCC. Depends on Feature B.</w:t>
      </w:r>
    </w:p>
    <w:p>
      <w:pPr>
        <w:pStyle w:val="Heading3"/>
        <w:spacing w:after="100" w:before="200"/>
      </w:pPr>
      <w:r>
        <w:t xml:space="preserve">Feature D — Skills &amp; SQEP Gap Diagnostic</w:t>
      </w:r>
    </w:p>
    <w:p>
      <w:pPr>
        <w:spacing w:after="140"/>
      </w:pPr>
      <w:r>
        <w:t xml:space="preserve">Maps a company’s stated scope of work against SQEP requirements in the F4N KB, categorises gaps (evidence/competency/resource), links to the Guided Document Vault’s SQEP Matrix template.</w:t>
      </w:r>
    </w:p>
    <w:p>
      <w:pPr>
        <w:pStyle w:val="Heading3"/>
        <w:spacing w:after="100" w:before="200"/>
      </w:pPr>
      <w:r>
        <w:t xml:space="preserve">Feature E — Compliance Training Quizzes</w:t>
      </w:r>
    </w:p>
    <w:p>
      <w:pPr>
        <w:spacing w:after="140"/>
      </w:pPr>
      <w:r>
        <w:t xml:space="preserve">Scenario-based modules (Export Control/ITAR, Modern Slavery, Cyber Essentials, GDPR) with logged completions the SCC can view and export as a training register.</w:t>
      </w:r>
    </w:p>
    <w:p>
      <w:pPr>
        <w:pStyle w:val="Heading3"/>
        <w:spacing w:after="100" w:before="200"/>
      </w:pPr>
      <w:r>
        <w:t xml:space="preserve">Feature F — Document Upload &amp; Review</w:t>
      </w:r>
    </w:p>
    <w:p>
      <w:pPr>
        <w:spacing w:after="140"/>
      </w:pPr>
      <w:r>
        <w:t xml:space="preserve">Replaces companies getting confident-but-wrong feedback from generic AI tools with review grounded in verified F4N criteria — same Ownership Principle as Feature A, with an iterative upload/review/improve/re-upload loop and an SCC pre-read summary.</w:t>
      </w:r>
    </w:p>
    <w:p>
      <w:pPr>
        <w:pStyle w:val="Heading1"/>
        <w:spacing w:after="160" w:before="360"/>
      </w:pPr>
      <w:r>
        <w:t xml:space="preserve">11. The Vision — Frankie at Full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4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Stage</w:t>
            </w:r>
          </w:p>
        </w:tc>
        <w:tc>
          <w:tcPr>
            <w:tcW w:type="dxa" w:w="2600"/>
            <w:shd w:fill="10243A" w:val="clear"/>
            <w:tcMar>
              <w:top w:type="dxa" w:w="80"/>
              <w:left w:type="dxa" w:w="100"/>
              <w:bottom w:type="dxa" w:w="80"/>
              <w:right w:type="dxa" w:w="100"/>
            </w:tcMar>
          </w:tcPr>
          <w:p>
            <w:r>
              <w:rPr>
                <w:b/>
                <w:bCs/>
                <w:color w:val="FFFFFF"/>
                <w:sz w:val="19"/>
                <w:szCs w:val="19"/>
              </w:rPr>
              <w:t xml:space="preserve">Name</w:t>
            </w:r>
          </w:p>
        </w:tc>
        <w:tc>
          <w:tcPr>
            <w:tcW w:type="dxa" w:w="5460"/>
            <w:shd w:fill="10243A" w:val="clear"/>
            <w:tcMar>
              <w:top w:type="dxa" w:w="80"/>
              <w:left w:type="dxa" w:w="100"/>
              <w:bottom w:type="dxa" w:w="80"/>
              <w:right w:type="dxa" w:w="100"/>
            </w:tcMar>
          </w:tcPr>
          <w:p>
            <w:r>
              <w:rPr>
                <w:b/>
                <w:bCs/>
                <w:color w:val="FFFFFF"/>
                <w:sz w:val="19"/>
                <w:szCs w:val="19"/>
              </w:rPr>
              <w:t xml:space="preserve">What It Covers</w:t>
            </w:r>
          </w:p>
        </w:tc>
      </w:tr>
      <w:tr>
        <w:tc>
          <w:tcPr>
            <w:tcW w:type="dxa" w:w="1500"/>
            <w:tcMar>
              <w:top w:type="dxa" w:w="80"/>
              <w:left w:type="dxa" w:w="100"/>
              <w:bottom w:type="dxa" w:w="80"/>
              <w:right w:type="dxa" w:w="100"/>
            </w:tcMar>
          </w:tcPr>
          <w:p>
            <w:r>
              <w:rPr>
                <w:b w:val="false"/>
                <w:bCs w:val="false"/>
                <w:sz w:val="19"/>
                <w:szCs w:val="19"/>
              </w:rPr>
              <w:t xml:space="preserve">Stage 1</w:t>
            </w:r>
          </w:p>
        </w:tc>
        <w:tc>
          <w:tcPr>
            <w:tcW w:type="dxa" w:w="2600"/>
            <w:tcMar>
              <w:top w:type="dxa" w:w="80"/>
              <w:left w:type="dxa" w:w="100"/>
              <w:bottom w:type="dxa" w:w="80"/>
              <w:right w:type="dxa" w:w="100"/>
            </w:tcMar>
          </w:tcPr>
          <w:p>
            <w:r>
              <w:rPr>
                <w:b w:val="false"/>
                <w:bCs w:val="false"/>
                <w:sz w:val="19"/>
                <w:szCs w:val="19"/>
              </w:rPr>
              <w:t xml:space="preserve">F4N Intelligence</w:t>
            </w:r>
          </w:p>
        </w:tc>
        <w:tc>
          <w:tcPr>
            <w:tcW w:type="dxa" w:w="5460"/>
            <w:tcMar>
              <w:top w:type="dxa" w:w="80"/>
              <w:left w:type="dxa" w:w="100"/>
              <w:bottom w:type="dxa" w:w="80"/>
              <w:right w:type="dxa" w:w="100"/>
            </w:tcMar>
          </w:tcPr>
          <w:p>
            <w:r>
              <w:rPr>
                <w:b w:val="false"/>
                <w:bCs w:val="false"/>
                <w:sz w:val="19"/>
                <w:szCs w:val="19"/>
              </w:rPr>
              <w:t xml:space="preserve">Assessment readiness, evidence, diagnostics, practical Tool Kit tools. This blueprint. Now includes the reactors-KB / NucColpedia and Plant Explorer BOM-data work as part of proving the model, not originally scoped in v9.</w:t>
            </w:r>
          </w:p>
        </w:tc>
      </w:tr>
      <w:tr>
        <w:tc>
          <w:tcPr>
            <w:tcW w:type="dxa" w:w="1500"/>
            <w:tcMar>
              <w:top w:type="dxa" w:w="80"/>
              <w:left w:type="dxa" w:w="100"/>
              <w:bottom w:type="dxa" w:w="80"/>
              <w:right w:type="dxa" w:w="100"/>
            </w:tcMar>
          </w:tcPr>
          <w:p>
            <w:r>
              <w:rPr>
                <w:b w:val="false"/>
                <w:bCs w:val="false"/>
                <w:sz w:val="19"/>
                <w:szCs w:val="19"/>
              </w:rPr>
              <w:t xml:space="preserve">Stage 2</w:t>
            </w:r>
          </w:p>
        </w:tc>
        <w:tc>
          <w:tcPr>
            <w:tcW w:type="dxa" w:w="2600"/>
            <w:tcMar>
              <w:top w:type="dxa" w:w="80"/>
              <w:left w:type="dxa" w:w="100"/>
              <w:bottom w:type="dxa" w:w="80"/>
              <w:right w:type="dxa" w:w="100"/>
            </w:tcMar>
          </w:tcPr>
          <w:p>
            <w:r>
              <w:rPr>
                <w:b w:val="false"/>
                <w:bCs w:val="false"/>
                <w:sz w:val="19"/>
                <w:szCs w:val="19"/>
              </w:rPr>
              <w:t xml:space="preserve">Supply Chain Intelligence</w:t>
            </w:r>
          </w:p>
        </w:tc>
        <w:tc>
          <w:tcPr>
            <w:tcW w:type="dxa" w:w="5460"/>
            <w:tcMar>
              <w:top w:type="dxa" w:w="80"/>
              <w:left w:type="dxa" w:w="100"/>
              <w:bottom w:type="dxa" w:w="80"/>
              <w:right w:type="dxa" w:w="100"/>
            </w:tcMar>
          </w:tcPr>
          <w:p>
            <w:r>
              <w:rPr>
                <w:b w:val="false"/>
                <w:bCs w:val="false"/>
                <w:sz w:val="19"/>
                <w:szCs w:val="19"/>
              </w:rPr>
              <w:t xml:space="preserve">Tender matching, SCRL integration, demand forecasting, plant data. Frankie becomes the intelligence layer for buyers and SCCs as well as suppliers.</w:t>
            </w:r>
          </w:p>
        </w:tc>
      </w:tr>
      <w:tr>
        <w:tc>
          <w:tcPr>
            <w:tcW w:type="dxa" w:w="1500"/>
            <w:tcMar>
              <w:top w:type="dxa" w:w="80"/>
              <w:left w:type="dxa" w:w="100"/>
              <w:bottom w:type="dxa" w:w="80"/>
              <w:right w:type="dxa" w:w="100"/>
            </w:tcMar>
          </w:tcPr>
          <w:p>
            <w:r>
              <w:rPr>
                <w:b w:val="false"/>
                <w:bCs w:val="false"/>
                <w:sz w:val="19"/>
                <w:szCs w:val="19"/>
              </w:rPr>
              <w:t xml:space="preserve">Stage 3</w:t>
            </w:r>
          </w:p>
        </w:tc>
        <w:tc>
          <w:tcPr>
            <w:tcW w:type="dxa" w:w="2600"/>
            <w:tcMar>
              <w:top w:type="dxa" w:w="80"/>
              <w:left w:type="dxa" w:w="100"/>
              <w:bottom w:type="dxa" w:w="80"/>
              <w:right w:type="dxa" w:w="100"/>
            </w:tcMar>
          </w:tcPr>
          <w:p>
            <w:r>
              <w:rPr>
                <w:b w:val="false"/>
                <w:bCs w:val="false"/>
                <w:sz w:val="19"/>
                <w:szCs w:val="19"/>
              </w:rPr>
              <w:t xml:space="preserve">Sector Platform</w:t>
            </w:r>
          </w:p>
        </w:tc>
        <w:tc>
          <w:tcPr>
            <w:tcW w:type="dxa" w:w="5460"/>
            <w:tcMar>
              <w:top w:type="dxa" w:w="80"/>
              <w:left w:type="dxa" w:w="100"/>
              <w:bottom w:type="dxa" w:w="80"/>
              <w:right w:type="dxa" w:w="100"/>
            </w:tcMar>
          </w:tcPr>
          <w:p>
            <w:r>
              <w:rPr>
                <w:b w:val="false"/>
                <w:bCs w:val="false"/>
                <w:sz w:val="19"/>
                <w:szCs w:val="19"/>
              </w:rPr>
              <w:t xml:space="preserve">Buyer-facing tools, benchmark data, accreditation tracking, cross-company insight.</w:t>
            </w:r>
          </w:p>
        </w:tc>
      </w:tr>
    </w:tbl>
    <w:p>
      <w:pPr>
        <w:pStyle w:val="Heading2"/>
        <w:spacing w:after="120" w:before="260"/>
      </w:pPr>
      <w:r>
        <w:t xml:space="preserve">The Proprietary Data Moat — updated</w:t>
      </w:r>
    </w:p>
    <w:p>
      <w:pPr>
        <w:pStyle w:val="ListParagraph"/>
        <w:numPr>
          <w:ilvl w:val="0"/>
          <w:numId w:val="1"/>
        </w:numPr>
        <w:spacing w:after="60"/>
      </w:pPr>
      <w:r>
        <w:t xml:space="preserve">F4N KB — now split into a handbook + supplier + toolkit + UK-narrowed regs partition architecture, entity-graph boosted, rather than one flat file</w:t>
      </w:r>
    </w:p>
    <w:p>
      <w:pPr>
        <w:pStyle w:val="ListParagraph"/>
        <w:numPr>
          <w:ilvl w:val="0"/>
          <w:numId w:val="1"/>
        </w:numPr>
        <w:spacing w:after="60"/>
      </w:pPr>
      <w:r>
        <w:t xml:space="preserve">Reactors KB — 61,374 chunks of real DCD/FSAR/PCSR/GDA text across 19 reactor programmes, previously retired from chat and now reachable through NucColpedia — a genuinely new moat asset v9 didn’t have</w:t>
      </w:r>
    </w:p>
    <w:p>
      <w:pPr>
        <w:pStyle w:val="ListParagraph"/>
        <w:numPr>
          <w:ilvl w:val="0"/>
          <w:numId w:val="1"/>
        </w:numPr>
        <w:spacing w:after="60"/>
      </w:pPr>
      <w:r>
        <w:t xml:space="preserve">Plant Explorer BOM/DSE data — 94.4% of a 15,963-row component taxonomy now classified against NuCCoL’s own 171-pair Plant System/Component dictionary, evidence-checked rather than pure statistical inference</w:t>
      </w:r>
    </w:p>
    <w:p>
      <w:pPr>
        <w:pStyle w:val="ListParagraph"/>
        <w:numPr>
          <w:ilvl w:val="0"/>
          <w:numId w:val="1"/>
        </w:numPr>
        <w:spacing w:after="60"/>
      </w:pPr>
      <w:r>
        <w:t xml:space="preserve">SCRL database, SCC assessment history, NuCCoL-verified templates, uploaded company evidence, training completion records — unchanged from v9’s description, still not built/populated at scale</w:t>
      </w:r>
    </w:p>
    <w:p>
      <w:pPr>
        <w:pBdr>
          <w:bottom w:val="single" w:color="D8E2EC" w:sz="6" w:space="1"/>
        </w:pBdr>
        <w:spacing w:after="240"/>
      </w:pPr>
    </w:p>
    <w:p>
      <w:pPr>
        <w:spacing w:after="60"/>
        <w:jc w:val="center"/>
      </w:pPr>
      <w:r>
        <w:rPr>
          <w:b/>
          <w:bCs/>
          <w:sz w:val="18"/>
          <w:szCs w:val="18"/>
        </w:rPr>
        <w:t xml:space="preserve">F.R.A.N.K.I.E. v3  |  Blueprint v10  |  NuCCoL  |  9 September 2026  |  Confidential</w:t>
      </w:r>
    </w:p>
    <w:p>
      <w:pPr>
        <w:jc w:val="center"/>
      </w:pPr>
      <w:r>
        <w:rPr>
          <w:color w:val="65758A"/>
          <w:sz w:val="18"/>
          <w:szCs w:val="18"/>
        </w:rPr>
        <w:t xml:space="preserve">Supersedes v9  |  Live at 2026_Website_Update v2/frankie/, deployed to nuccol.co.uk/frankie/  |  5 KB partitions + entity graph + 61k-chunk reactors KB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2026-09-09T14:14:28.090Z</dcterms:created>
  <dcterms:modified xsi:type="dcterms:W3CDTF">2026-09-09T14:14:28.093Z</dcterms:modified>
</cp:coreProperties>
</file>

<file path=docProps/custom.xml><?xml version="1.0" encoding="utf-8"?>
<Properties xmlns="http://schemas.openxmlformats.org/officeDocument/2006/custom-properties" xmlns:vt="http://schemas.openxmlformats.org/officeDocument/2006/docPropsVTypes"/>
</file>