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v13</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10 September 2026 (same day as v12, second session)</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Supersedes v12 (10 September 2026). Ships Nuclear Engineering Mode for chat (SCC-controlled, fail-closed toggle) and scopes Features D &amp; E’s build prerequisites against the current codebase. No BOM/DSE, other frontend-drawer, or infrastructure changes beyond the toggle itself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Blueprint v13 is the authoritative reference for the Frankie platform as of 10 September 2026, superseding v12 (also 10 September 2026 — same day, second session). This version’s delta has two parts, both outside the Plant Explorer BOM/DSE work v12 covered: (1) Nuclear Engineering Mode for chat was built and shipped — a site-wide, SCC-controlled Supabase flag now gates the previously-dormant isNuclearQuery() detector in retrieval.js, so the 61,374-chunk reactors KB can be opted into default chat retrieval (§4, §9); and (2) Features D (Skills &amp; SQEP Gap Diagnostic) and E (Compliance Training Quizzes) from §10’s Planned Features were scoped against the current codebase, surfacing concrete build prerequisites for each rather than leaving them as unscoped blueprint entries (§10). §2–§3, §5–§8, and §11 are otherwise unchanged from v12 and reproduced here for continuity.</w:t>
      </w:r>
    </w:p>
    <w:p>
      <w:pPr>
        <w:spacing w:after="140"/>
      </w:pPr>
      <w:r>
        <w:t>This version is compiled directly from the live codebase and git history, same as v12, plus this session’s own commits (retrieval.js and scc.html for Nuclear Engineering Mode) and a targeted codebase audit (grep/read against frankie/js/ and frankie/css/) run specifically to ground the Feature D/E prerequisites in real file citations rather than assumption. Where v12’s content is still accurate it is carried forward unchanged; only §4’s Reactors-partition note, §9’s Open To-Dos, and §10’s new Build Prerequisites subsection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c>
          <w:tcPr>
            <w:tcW w:type="dxa" w:w="1560"/>
          </w:tcPr>
          <w:p>
            <w:r>
              <w:t>v12 (this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c>
          <w:tcPr>
            <w:tcW w:type="dxa" w:w="1560"/>
          </w:tcPr>
          <w:p>
            <w:r>
              <w:t>370</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c>
          <w:tcPr>
            <w:tcW w:type="dxa" w:w="1560"/>
          </w:tcPr>
          <w:p>
            <w:r>
              <w:t>28,343 (98.7% of rows)</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c>
          <w:tcPr>
            <w:tcW w:type="dxa" w:w="1560"/>
          </w:tcPr>
          <w:p>
            <w:r>
              <w:t>0 — still fully resolved</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3"/>
      </w:pPr>
      <w:r>
        <w:t>New this version (v12): continued classification, an audit-trail queue, and a data-extraction bug fix</w:t>
      </w:r>
    </w:p>
    <w:p>
      <w:r>
        <w:t>Continued the cluster-by-cluster classification approach established in v11 — exact/near-exact precedent-name matching checked for purity first, the 171-pair DSE dictionary consulted for previously-unused-but-valid pairs, domain knowledge applied only where genuinely decisive and logged as such, ambiguous rows deferred rather than forced. Worked through roughly twenty Commodity Group clusters (Power Supply, Penetrations, Seals &amp; Gaskets, Pumps, Doors &amp; Hatches, the three Materials groups, Tanks, Instrumentation, and a dozen smaller ones), taking blank Plant Component rows from 943 to 370.</w:t>
      </w:r>
    </w:p>
    <w:p>
      <w:r>
        <w:t>Two traps repeated from v11’s own methodology notes, both caught before applying anything: Pipework Supports’ major-component supports (RPV skirts, steam-dryer/CRDS supports) mistaken for generic pipe hangers, and Tanks’ Suppression Pool family mistaken for generic holding tanks — re-confirmed directly this version that Suppression Pool precedent splits five ways workbook-wide with no majority, so the ~100 remaining BWR/passive-safety pool rows were deferred rather than forced.</w:t>
      </w:r>
    </w:p>
    <w:p>
      <w:pPr>
        <w:pStyle w:val="Heading3"/>
      </w:pPr>
      <w:r>
        <w:t>A second AI’s review, verified rather than trusted</w:t>
      </w:r>
    </w:p>
    <w:p>
      <w:r>
        <w:t>A separate AI assistant was asked to work through the accumulating needs_human_review_log.csv and produced a genuinely useful classification pass — but its own confidence labels didn’t hold up to inspection: 158 rows marked “High confidence”, but 111 of those had zero documented research, and 68 traced to workbook rows with no source citation at all to research against. Verifying its claims against the actual cited FSAR/DCD PDFs (held locally, not assumed) surfaced a real, systemic data-extraction bug: every US-format FSAR/DCD contains a mandatory boilerplate section (“6.5.5 Pressure Suppression Pool as a Fission Product Cleanup System”) that every design addresses regardless of whether it applies — the original BOM-extraction pipeline had picked up this section heading as real plant content for six rows across five non-BWR designs (APR1400 ×2, NuScale US460, NuScale VOYGR, US-APWR, BWRX-300), several of which state explicitly they don’t use one. Deleted — same disposition as the four ABWR metallurgical-specimen rows removed earlier in this project. The remaining ~140 cited rows were checked for whether the cited page actually supports the claimed classification (not just whether the component’s own name appears, which is circular) before 64 were applied.</w:t>
      </w:r>
    </w:p>
    <w:p>
      <w:pPr>
        <w:pStyle w:val="Heading3"/>
      </w:pPr>
      <w:r>
        <w:t>needs_human_review_log.csv — a persistent, cross-session audit queue</w:t>
      </w:r>
    </w:p>
    <w:p>
      <w:r>
        <w:t>Every classification pass now logs what it couldn’t confidently place — reactor, row, component name, and a specific reason — to Reactors/needs_human_review_log.csv rather than silently leaving rows blank. 291 rows remain logged after this version’s resolutions, carrying real candidates and reasons forward for whoever (human or AI) picks this up next, rather than re-deriving the same open questions from scratch.</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1"/>
        <w:spacing w:after="160" w:before="360"/>
      </w:pPr>
      <w:r>
        <w:t xml:space="preserve">10. Planned Features — Next Phase (carried from v9, unchanged)</w:t>
      </w:r>
    </w:p>
    <w:p>
      <w:pPr>
        <w:spacing w:after="140"/>
      </w:pPr>
      <w:r>
        <w:t xml:space="preserve">No evidence any of the following six were started — checked against the current js/ inventory (no vault-drawer.js, no dedicated SQEP/compliance-quiz/document-review drawer exists). Carried forward from v9 as-is; re-confirm scope with Rene before starting any of them, since two and a half months have passed.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 xml:space="preserve">AI-powered analysis of uploaded evidence on the SCC side — suggested score + rationale, evidence summary, prep notes, SCC override field — pre-populating a scoring interface so the SCC arrives at a meeting already informed.</w:t>
      </w:r>
    </w:p>
    <w:p>
      <w:pPr>
        <w:pStyle w:val="Heading3"/>
        <w:spacing w:after="100" w:before="200"/>
      </w:pPr>
      <w:r>
        <w:t xml:space="preserve">Feature C — Pre-OSV &amp; Pre-Meeting Pack</w:t>
      </w:r>
    </w:p>
    <w:p>
      <w:pPr>
        <w:spacing w:after="140"/>
      </w:pPr>
      <w:r>
        <w:t xml:space="preserve">A personalised intelligence pack for both sides before any meeting/OSV — gap checklist and prep guide for the company, submission summary and flagged risk areas for the SCC. Depends on Feature B.</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 xml:space="preserve">Replaces companies getting confident-but-wrong feedback from generic AI tools with review grounded in verified F4N criteria — same Ownership Principle as Feature A, with an iterative upload/review/improve/re-upload loop and an SCC pre-read summary.</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One reusable asset, one clear engineering gap, one non-engineering blocker. (1) Quiz-taking UI — reusable: assessment-drawer.js is already a scored, section-by-section questionnaire drawer with scoring bands and a live-score Prev/Next footer; iso19443-drawer.js is explicitly built to match it, and both share ready-made CSS (styles.css’s .assess-options / .assess-option--selected / .assess-opt-score rules). Cloning this pattern for scenario-based quiz modules is a contained, realistic build. (2) Completions log and SCC register — not built: neither existing drawer persists a score or completion anywhere; results live only in in-memory state. “SCC can view/export a training register” needs a new Supabase table plus a new SCC-side view — new engineering, not an extension of anything live. (3) Content — outside engineering scope: none of the four named topics (Export Control/ITAR, Modern Slavery, Cyber Essentials, GDPR) has real source content anywhere in the codebase today — Cyber Essentials appears only as a free-text certification option, GDPR/Export Control only as placeholder example copy, and ITAR/Modern Slavery don’t appear at all. The four scenario modules need content sourced and approved by F4N/SCC before build work on them can start — that’s the actual blocker, not engineering capacity. Recommendation: start the completions-log/register engineering in parallel with content sourcing, since neither blocks the other; the quiz UI itself can begin as soon as one topic’s content is ready, using it as the first built module.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v13  |  NuCCoL  |  10 September 2026  |  Confidential</w:t>
      </w:r>
    </w:p>
    <w:p>
      <w:pPr>
        <w:jc w:val="center"/>
      </w:pPr>
      <w:r>
        <w:rPr>
          <w:color w:val="65758A"/>
          <w:sz w:val="18"/>
          <w:szCs w:val="18"/>
        </w:rPr>
        <w:t>Supersedes v12 (10 September 2026)  |  Live at 2026_Website_Update v2/frankie/, deployed to nuccol.co.uk/frankie/  |  5 KB partitions + entity graph + 61k-chunk reactors KB (now opt-in via SCC-controlled Nuclear Engineering Mode)  |  BOM/DSE workbook 370 blank rows (unchanged since v12)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