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20"/>
        </w:tblCellMar>
      </w:tblPr>
      <w:tblGrid>
        <w:gridCol w:w="100"/>
      </w:tblGrid>
      <w:tr>
        <w:tc>
          <w:tcPr>
            <w:shd w:fill="1E3A5F" w:color="1E3A5F" w:val="solid"/>
            <w:tcMar>
              <w:top w:type="dxa" w:w="400"/>
              <w:left w:type="dxa" w:w="400"/>
              <w:bottom w:type="dxa" w:w="400"/>
              <w:right w:type="dxa" w:w="400"/>
            </w:tcMar>
          </w:tcPr>
          <w:p>
            <w:pPr>
              <w:spacing w:after="200" w:before="200"/>
              <w:jc w:val="center"/>
            </w:pPr>
            <w:r>
              <w:drawing>
                <wp:inline distT="0" distB="0" distL="0" distR="0">
                  <wp:extent cx="152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762000"/>
                          </a:xfrm>
                          <a:prstGeom prst="rect">
                            <a:avLst/>
                          </a:prstGeom>
                        </pic:spPr>
                      </pic:pic>
                    </a:graphicData>
                  </a:graphic>
                </wp:inline>
              </w:drawing>
            </w:r>
          </w:p>
          <w:p>
            <w:pPr>
              <w:spacing w:after="40" w:before="80"/>
              <w:jc w:val="center"/>
            </w:pPr>
            <w:r>
              <w:rPr>
                <w:rFonts w:ascii="Arial" w:cs="Arial" w:eastAsia="Arial" w:hAnsi="Arial"/>
                <w:b/>
                <w:bCs/>
                <w:color w:val="FFFFFF"/>
                <w:sz w:val="56"/>
                <w:szCs w:val="56"/>
              </w:rPr>
              <w:t xml:space="preserve">TRAINING GUIDE</w:t>
            </w:r>
          </w:p>
          <w:p>
            <w:pPr>
              <w:spacing w:after="80" w:before="0"/>
              <w:jc w:val="center"/>
            </w:pPr>
            <w:r>
              <w:rPr>
                <w:rFonts w:ascii="Arial" w:cs="Arial" w:eastAsia="Arial" w:hAnsi="Arial"/>
                <w:b/>
                <w:bCs/>
                <w:color w:val="CCE9F6"/>
                <w:sz w:val="40"/>
                <w:szCs w:val="40"/>
              </w:rPr>
              <w:t xml:space="preserve">Performance Measurement and KPIs</w:t>
            </w:r>
          </w:p>
          <w:p>
            <w:pPr>
              <w:spacing w:after="200" w:before="40"/>
              <w:jc w:val="center"/>
            </w:pPr>
            <w:r>
              <w:rPr>
                <w:rFonts w:ascii="Arial" w:cs="Arial" w:eastAsia="Arial" w:hAnsi="Arial"/>
                <w:color w:val="99CCEE"/>
                <w:sz w:val="26"/>
                <w:szCs w:val="26"/>
              </w:rPr>
              <w:t xml:space="preserve">Process Excellence  |  PE-03c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c>
          <w:tcPr>
            <w:tcW w:type="pct" w:w="12%"/>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Version</w:t>
            </w:r>
          </w:p>
        </w:tc>
        <w:tc>
          <w:tcPr>
            <w:tcW w:type="pct" w:w="18%"/>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Date</w:t>
            </w:r>
          </w:p>
        </w:tc>
        <w:tc>
          <w:tcPr>
            <w:tcW w:type="pct" w:w="50%"/>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Change Description</w:t>
            </w:r>
          </w:p>
        </w:tc>
        <w:tc>
          <w:tcPr>
            <w:tcW w:type="pct" w:w="20%"/>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Author</w:t>
            </w:r>
          </w:p>
        </w:tc>
      </w:tr>
      <w:tr>
        <w:tc>
          <w:tcPr>
            <w:tcW w:type="pct" w:w="1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1.0</w:t>
            </w:r>
          </w:p>
        </w:tc>
        <w:tc>
          <w:tcPr>
            <w:tcW w:type="pct" w:w="1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June 2025</w:t>
            </w:r>
          </w:p>
        </w:tc>
        <w:tc>
          <w:tcPr>
            <w:tcW w:type="pct" w:w="5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Initial release</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NucCol Ltd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320"/>
        </w:tblCellMar>
      </w:tblPr>
      <w:tblGrid>
        <w:gridCol w:w="100"/>
        <w:gridCol w:w="100"/>
      </w:tblGrid>
      <w:tr>
        <w:tc>
          <w:tcPr>
            <w:tcBorders>
              <w:top w:val="none"/>
              <w:left w:val="single" w:color="009FE3" w:sz="18"/>
              <w:bottom w:val="none"/>
              <w:right w:val="none"/>
            </w:tcBorders>
            <w:shd w:fill="E0F4FD" w:color="E0F4FD" w:val="solid"/>
            <w:tcMar>
              <w:top w:type="dxa" w:w="100"/>
              <w:left w:type="dxa" w:w="160"/>
              <w:bottom w:type="dxa" w:w="100"/>
              <w:right w:type="dxa" w:w="160"/>
            </w:tcMar>
          </w:tcPr>
          <w:p>
            <w:pPr>
              <w:spacing w:after="40" w:before="60"/>
            </w:pPr>
            <w:r>
              <w:rPr>
                <w:rFonts w:ascii="Arial" w:cs="Arial" w:eastAsia="Arial" w:hAnsi="Arial"/>
                <w:b/>
                <w:bCs/>
                <w:color w:val="FFFFFF"/>
                <w:sz w:val="22"/>
                <w:szCs w:val="22"/>
              </w:rPr>
              <w:t xml:space="preserve">PURPOSE</w:t>
            </w:r>
          </w:p>
          <w:p>
            <w:pPr>
              <w:spacing w:after="60" w:before="0"/>
            </w:pPr>
            <w:r>
              <w:rPr>
                <w:rFonts w:ascii="Arial" w:cs="Arial" w:eastAsia="Arial" w:hAnsi="Arial"/>
                <w:color w:val="5B595A"/>
                <w:sz w:val="22"/>
                <w:szCs w:val="22"/>
              </w:rPr>
              <w:t xml:space="preserve">This guide explains why performance measurement matters, how to structure an SQDCP KPI framework, and how to run an effective performance review process. It covers the tools provided in the PE-03 suite and how to use them to meet the F4N Performance Measurement assessment requirement.</w:t>
            </w:r>
          </w:p>
        </w:tc>
        <w:tc>
          <w:tcPr>
            <w:tcBorders>
              <w:top w:val="none"/>
              <w:left w:val="single" w:color="83348F" w:sz="18"/>
              <w:bottom w:val="none"/>
              <w:right w:val="none"/>
            </w:tcBorders>
            <w:shd w:fill="F3EAF4" w:color="F3EAF4" w:val="solid"/>
            <w:tcMar>
              <w:top w:type="dxa" w:w="100"/>
              <w:left w:type="dxa" w:w="160"/>
              <w:bottom w:type="dxa" w:w="100"/>
              <w:right w:type="dxa" w:w="160"/>
            </w:tcMar>
          </w:tcPr>
          <w:p>
            <w:pPr>
              <w:spacing w:after="40" w:before="60"/>
            </w:pPr>
            <w:r>
              <w:rPr>
                <w:rFonts w:ascii="Arial" w:cs="Arial" w:eastAsia="Arial" w:hAnsi="Arial"/>
                <w:b/>
                <w:bCs/>
                <w:color w:val="FFFFFF"/>
                <w:sz w:val="22"/>
                <w:szCs w:val="22"/>
              </w:rPr>
              <w:t xml:space="preserve">AUDIENCE</w:t>
            </w:r>
          </w:p>
          <w:p>
            <w:pPr>
              <w:spacing w:after="60" w:before="0"/>
            </w:pPr>
            <w:r>
              <w:rPr>
                <w:rFonts w:ascii="Arial" w:cs="Arial" w:eastAsia="Arial" w:hAnsi="Arial"/>
                <w:color w:val="5B595A"/>
                <w:sz w:val="22"/>
                <w:szCs w:val="22"/>
              </w:rPr>
              <w:t xml:space="preserve">Production managers, operations directors, quality managers, and any employee with responsibility for tracking and reporting performance data. Shopfloor team leaders will also benefit from the section on understanding what each KPI means and why it matters.</w:t>
            </w:r>
          </w:p>
        </w:tc>
      </w:tr>
    </w:tbl>
    <w:p>
      <w:r>
        <w:br w:type="page"/>
      </w:r>
    </w:p>
    <w:p>
      <w:pPr>
        <w:shd w:fill="009FE3" w:color="009FE3" w:val="solid"/>
        <w:spacing w:after="120" w:before="240"/>
        <w:ind w:left="160" w:right="160"/>
      </w:pPr>
      <w:r>
        <w:rPr>
          <w:rFonts w:ascii="Arial" w:cs="Arial" w:eastAsia="Arial" w:hAnsi="Arial"/>
          <w:b/>
          <w:bCs/>
          <w:color w:val="FFFFFF"/>
          <w:sz w:val="32"/>
          <w:szCs w:val="32"/>
        </w:rPr>
        <w:t xml:space="preserve">1  |  Why Measure Performance?</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Most manufacturing businesses have some form of data collection. The question is not whether you measure performance, but whether you measure the right things, make the data visible to the right people, and act on what it tells you. Those three conditions are what distinguish a performance measurement system from a reporting exercise.</w:t>
      </w:r>
    </w:p>
    <w:p>
      <w:pPr>
        <w:spacing w:after="0" w:before="80"/>
      </w:pPr>
      <w:r>
        <w:rPr>
          <w:rFonts w:ascii="Arial" w:cs="Arial" w:eastAsia="Arial" w:hAnsi="Arial"/>
          <w:color w:val="5B595A"/>
          <w:sz w:val="22"/>
          <w:szCs w:val="22"/>
        </w:rPr>
        <w:t xml:space="preserve"/>
      </w:r>
    </w:p>
    <w:p>
      <w:pPr>
        <w:shd w:fill="009FE3" w:color="009FE3" w:val="solid"/>
        <w:spacing w:after="80" w:before="200"/>
        <w:ind w:left="120"/>
      </w:pPr>
      <w:r>
        <w:rPr>
          <w:rFonts w:ascii="Arial" w:cs="Arial" w:eastAsia="Arial" w:hAnsi="Arial"/>
          <w:b/>
          <w:bCs/>
          <w:color w:val="FFFFFF"/>
          <w:sz w:val="26"/>
          <w:szCs w:val="26"/>
        </w:rPr>
        <w:t xml:space="preserve">1.1  The Commercial Case</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Performance measurement is not an administrative requirement. It is the mechanism by which a business understands whether it is achieving its objectives, identifies problems before they become crises, and demonstrates to customers that it is in control of its processes.</w:t>
      </w:r>
    </w:p>
    <w:p>
      <w:pPr>
        <w:spacing w:after="0" w:before="60"/>
      </w:pPr>
      <w:r>
        <w:rPr>
          <w:rFonts w:ascii="Arial" w:cs="Arial" w:eastAsia="Arial" w:hAnsi="Arial"/>
          <w:color w:val="5B595A"/>
          <w:sz w:val="22"/>
          <w:szCs w:val="22"/>
        </w:rPr>
        <w:t xml:space="preserve"/>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A company that knows its OTIF is 87% can investigate why and act. A company that does not measure OTIF finds out when a customer calls to complain.</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A company that tracks First Pass Yield week by week can identify a deteriorating trend before it generates a customer escape. A company that only counts finished scrap finds out after the fact.</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A company that measures labour efficiency can model the cost impact of improvement projects and make the business case for investment. A company that does not measure it cannot justify or prioritise.</w:t>
      </w:r>
    </w:p>
    <w:p>
      <w:pPr>
        <w:spacing w:after="0" w:before="80"/>
      </w:pPr>
      <w:r>
        <w:rPr>
          <w:rFonts w:ascii="Arial" w:cs="Arial" w:eastAsia="Arial" w:hAnsi="Arial"/>
          <w:color w:val="5B595A"/>
          <w:sz w:val="22"/>
          <w:szCs w:val="22"/>
        </w:rPr>
        <w:t xml:space="preserve"/>
      </w:r>
    </w:p>
    <w:p>
      <w:pPr>
        <w:shd w:fill="C00000" w:color="C00000" w:val="solid"/>
        <w:spacing w:after="80" w:before="200"/>
        <w:ind w:left="120"/>
      </w:pPr>
      <w:r>
        <w:rPr>
          <w:rFonts w:ascii="Arial" w:cs="Arial" w:eastAsia="Arial" w:hAnsi="Arial"/>
          <w:b/>
          <w:bCs/>
          <w:color w:val="FFFFFF"/>
          <w:sz w:val="26"/>
          <w:szCs w:val="26"/>
        </w:rPr>
        <w:t xml:space="preserve">1.2  The Nuclear Context</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Nuclear customers require their supply chain to demonstrate control. KPIs are a visible, quantifiable form of that demonstration. When a nuclear customer or assessor visits your site, they are looking for evidence that the organisation understands its own performance and has a structured approach to maintaining and improving it.</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shd w:fill="C00000" w:color="C00000" w:val="solid"/>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What the F4N assessment asks for (Performance Measurement)</w:t>
            </w:r>
          </w:p>
        </w:tc>
      </w:tr>
      <w:tr>
        <w:tc>
          <w:tcPr>
            <w:tcBorders>
              <w:top w:val="single" w:color="C00000" w:sz="6"/>
              <w:left w:val="single" w:color="C00000" w:sz="12"/>
              <w:bottom w:val="none"/>
              <w:right w:val="none"/>
            </w:tcBorders>
            <w:shd w:fill="F8F8F8" w:color="F8F8F8" w:val="solid"/>
            <w:tcMar>
              <w:top w:type="dxa" w:w="80"/>
              <w:left w:type="dxa" w:w="160"/>
              <w:bottom w:type="dxa" w:w="80"/>
              <w:right w:type="dxa" w:w="160"/>
            </w:tcMar>
          </w:tcPr>
          <w:p>
            <w:pPr>
              <w:spacing w:after="60" w:before="60"/>
            </w:pPr>
            <w:r>
              <w:rPr>
                <w:rFonts w:ascii="Arial" w:cs="Arial" w:eastAsia="Arial" w:hAnsi="Arial"/>
                <w:color w:val="5B595A"/>
                <w:sz w:val="22"/>
                <w:szCs w:val="22"/>
              </w:rPr>
              <w:t xml:space="preserve">The assessment asks to see KPI dashboards for production, quality, cost, and delivery; visual performance boards on the shopfloor showing OTIF, yield, and downtime; evidence of employee engagement in KPI review meetings; and examples of KPI-driven CSIP projects.</w:t>
            </w:r>
          </w:p>
          <w:p>
            <w:pPr>
              <w:spacing w:after="60" w:before="60"/>
            </w:pPr>
            <w:r>
              <w:rPr>
                <w:rFonts w:ascii="Arial" w:cs="Arial" w:eastAsia="Arial" w:hAnsi="Arial"/>
                <w:color w:val="5B595A"/>
                <w:sz w:val="22"/>
                <w:szCs w:val="22"/>
              </w:rPr>
              <w:t xml:space="preserve">The critical phrase is "visible and employees fully engaged." A dashboard that exists only on a manager's laptop does not satisfy this requirement. The KPIs must be displayed where the people who influence them can see them and understand them.</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2  |  The SQDCP Framework</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SQDCP (Safety, Quality, Delivery, Cost, People) is the standard framework for shopfloor performance measurement in manufacturing. It provides a structured way to organise KPIs across the dimensions that matter most to a manufacturing business and to its customers.</w:t>
      </w:r>
    </w:p>
    <w:p>
      <w:pPr>
        <w:spacing w:after="0" w:before="80"/>
      </w:pPr>
      <w:r>
        <w:rPr>
          <w:rFonts w:ascii="Arial" w:cs="Arial" w:eastAsia="Arial" w:hAnsi="Arial"/>
          <w:color w:val="5B595A"/>
          <w:sz w:val="22"/>
          <w:szCs w:val="22"/>
        </w:rPr>
        <w:t xml:space="preserve"/>
      </w:r>
    </w:p>
    <w:p>
      <w:pPr>
        <w:shd w:fill="1E3A5F" w:color="1E3A5F" w:val="solid"/>
        <w:spacing w:after="80" w:before="200"/>
        <w:ind w:left="120"/>
      </w:pPr>
      <w:r>
        <w:rPr>
          <w:rFonts w:ascii="Arial" w:cs="Arial" w:eastAsia="Arial" w:hAnsi="Arial"/>
          <w:b/>
          <w:bCs/>
          <w:color w:val="FFFFFF"/>
          <w:sz w:val="26"/>
          <w:szCs w:val="26"/>
        </w:rPr>
        <w:t xml:space="preserve">2.1  Why SQDCP?</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framework is deliberately sequenced. Safety comes first because no production target justifies exposing people to risk. Quality comes second because a product that does not meet specification has zero value regardless of how quickly or cheaply it was made. Delivery comes third because on-time performance is the promise to the customer. Cost comes fourth because it is the outcome of how well the first three are managed. People comes last not because it is least important, but because it is the enabling condition for all the others.</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c>
          <w:tcPr>
            <w:tcW w:type="pct" w:w="8%"/>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Pillar</w:t>
            </w:r>
          </w:p>
        </w:tc>
        <w:tc>
          <w:tcPr>
            <w:tcW w:type="pct" w:w="15%"/>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Stands For</w:t>
            </w:r>
          </w:p>
        </w:tc>
        <w:tc>
          <w:tcPr>
            <w:tcW w:type="pct" w:w="35%"/>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What It Measures</w:t>
            </w:r>
          </w:p>
        </w:tc>
        <w:tc>
          <w:tcPr>
            <w:tcW w:type="pct" w:w="42%"/>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Example KPIs</w:t>
            </w:r>
          </w:p>
        </w:tc>
      </w:tr>
      <w:tr>
        <w:tc>
          <w:tcPr>
            <w:tcW w:type="pct" w:w="8%"/>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w:t>
            </w:r>
          </w:p>
        </w:tc>
        <w:tc>
          <w:tcPr>
            <w:tcW w:type="pct" w:w="15%"/>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Safety</w:t>
            </w:r>
          </w:p>
        </w:tc>
        <w:tc>
          <w:tcPr>
            <w:tcW w:type="pct" w:w="35%"/>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Workplace safety incidents, near misses, safety observations, toolbox talk completion, LTI rate</w:t>
            </w:r>
          </w:p>
        </w:tc>
        <w:tc>
          <w:tcPr>
            <w:tcW w:type="pct" w:w="4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LTI count, near miss frequency, toolbox talks/month, safety observations completed</w:t>
            </w:r>
          </w:p>
        </w:tc>
      </w:tr>
      <w:tr>
        <w:tc>
          <w:tcPr>
            <w:tcW w:type="pct" w:w="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Q</w:t>
            </w:r>
          </w:p>
        </w:tc>
        <w:tc>
          <w:tcPr>
            <w:tcW w:type="pct" w:w="15%"/>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Quality</w:t>
            </w:r>
          </w:p>
        </w:tc>
        <w:tc>
          <w:tcPr>
            <w:tcW w:type="pct" w:w="35%"/>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Product conformance, defect rates, customer complaints, rework and scrap, NCR count</w:t>
            </w:r>
          </w:p>
        </w:tc>
        <w:tc>
          <w:tcPr>
            <w:tcW w:type="pct" w:w="4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First Pass Yield (%), NCR count, customer complaints, scrap cost (£), RFT rate (%)</w:t>
            </w:r>
          </w:p>
        </w:tc>
      </w:tr>
      <w:tr>
        <w:tc>
          <w:tcPr>
            <w:tcW w:type="pct" w:w="8%"/>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D</w:t>
            </w:r>
          </w:p>
        </w:tc>
        <w:tc>
          <w:tcPr>
            <w:tcW w:type="pct" w:w="15%"/>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Delivery</w:t>
            </w:r>
          </w:p>
        </w:tc>
        <w:tc>
          <w:tcPr>
            <w:tcW w:type="pct" w:w="35%"/>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On-time performance, schedule adherence, lead time, despatch accuracy</w:t>
            </w:r>
          </w:p>
        </w:tc>
        <w:tc>
          <w:tcPr>
            <w:tcW w:type="pct" w:w="4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OTIF (%), order lead time (days), schedule adherence (%), despatch on time (%)</w:t>
            </w:r>
          </w:p>
        </w:tc>
      </w:tr>
      <w:tr>
        <w:tc>
          <w:tcPr>
            <w:tcW w:type="pct" w:w="8%"/>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w:t>
            </w:r>
          </w:p>
        </w:tc>
        <w:tc>
          <w:tcPr>
            <w:tcW w:type="pct" w:w="15%"/>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Cost</w:t>
            </w:r>
          </w:p>
        </w:tc>
        <w:tc>
          <w:tcPr>
            <w:tcW w:type="pct" w:w="35%"/>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Revenue vs target, labour and overhead efficiency, cost of poor quality, waste cost</w:t>
            </w:r>
          </w:p>
        </w:tc>
        <w:tc>
          <w:tcPr>
            <w:tcW w:type="pct" w:w="4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Revenue vs target (%), labour efficiency (%), overhead absorption (%), COPQ (£)</w:t>
            </w:r>
          </w:p>
        </w:tc>
      </w:tr>
      <w:tr>
        <w:tc>
          <w:tcPr>
            <w:tcW w:type="pct" w:w="8%"/>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w:t>
            </w:r>
          </w:p>
        </w:tc>
        <w:tc>
          <w:tcPr>
            <w:tcW w:type="pct" w:w="15%"/>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People</w:t>
            </w:r>
          </w:p>
        </w:tc>
        <w:tc>
          <w:tcPr>
            <w:tcW w:type="pct" w:w="35%"/>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Absence, improvement ideas, training, engagement, succession</w:t>
            </w:r>
          </w:p>
        </w:tc>
        <w:tc>
          <w:tcPr>
            <w:tcW w:type="pct" w:w="42%"/>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Absence rate (%), ideas submitted per person, training hours, engagement score (%)</w:t>
            </w:r>
          </w:p>
        </w:tc>
      </w:tr>
    </w:tbl>
    <w:p>
      <w:pPr>
        <w:spacing w:after="0" w:before="160"/>
      </w:pPr>
      <w:r>
        <w:rPr>
          <w:rFonts w:ascii="Arial" w:cs="Arial" w:eastAsia="Arial" w:hAnsi="Arial"/>
          <w:color w:val="5B595A"/>
          <w:sz w:val="22"/>
          <w:szCs w:val="22"/>
        </w:rPr>
        <w:t xml:space="preserve"/>
      </w:r>
    </w:p>
    <w:p>
      <w:pPr>
        <w:shd w:fill="009FE3" w:color="009FE3" w:val="solid"/>
        <w:spacing w:after="80" w:before="200"/>
        <w:ind w:left="120"/>
      </w:pPr>
      <w:r>
        <w:rPr>
          <w:rFonts w:ascii="Arial" w:cs="Arial" w:eastAsia="Arial" w:hAnsi="Arial"/>
          <w:b/>
          <w:bCs/>
          <w:color w:val="FFFFFF"/>
          <w:sz w:val="26"/>
          <w:szCs w:val="26"/>
        </w:rPr>
        <w:t xml:space="preserve">2.2  Choosing the Right KPIs</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Not every KPI in the table above will be relevant to every company. The selection of KPIs should follow three principles:</w:t>
      </w:r>
    </w:p>
    <w:p>
      <w:pPr>
        <w:spacing w:after="0" w:before="60"/>
      </w:pPr>
      <w:r>
        <w:rPr>
          <w:rFonts w:ascii="Arial" w:cs="Arial" w:eastAsia="Arial" w:hAnsi="Arial"/>
          <w:color w:val="5B595A"/>
          <w:sz w:val="22"/>
          <w:szCs w:val="22"/>
        </w:rPr>
        <w:t xml:space="preserve"/>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Measure what you can act on. A KPI only has value if poor performance generates an investigation and an action. Measuring something you cannot influence or respond to creates noise, not insight.</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Measure what your customer cares about. OTIF and quality rate are non-negotiable for nuclear customers. If these are not on your board, the assessment conversation will be difficult.</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Start with four to six KPIs and build. A board with three good, well-understood KPIs is far more valuable than one with twenty metrics that nobody can explain. Add KPIs as your review process matures.</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shd w:fill="217346" w:color="217346" w:val="solid"/>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Good practice: the minimum set for nuclear assessment readiness</w:t>
            </w:r>
          </w:p>
        </w:tc>
      </w:tr>
      <w:tr>
        <w:tc>
          <w:tcPr>
            <w:tcBorders>
              <w:top w:val="single" w:color="217346" w:sz="6"/>
              <w:left w:val="single" w:color="217346" w:sz="12"/>
              <w:bottom w:val="none"/>
              <w:right w:val="none"/>
            </w:tcBorders>
            <w:shd w:fill="F8F8F8" w:color="F8F8F8" w:val="solid"/>
            <w:tcMar>
              <w:top w:type="dxa" w:w="80"/>
              <w:left w:type="dxa" w:w="160"/>
              <w:bottom w:type="dxa" w:w="80"/>
              <w:right w:type="dxa" w:w="160"/>
            </w:tcMar>
          </w:tcPr>
          <w:p>
            <w:pPr>
              <w:spacing w:after="60" w:before="60"/>
            </w:pPr>
            <w:r>
              <w:rPr>
                <w:rFonts w:ascii="Arial" w:cs="Arial" w:eastAsia="Arial" w:hAnsi="Arial"/>
                <w:color w:val="5B595A"/>
                <w:sz w:val="22"/>
                <w:szCs w:val="22"/>
              </w:rPr>
              <w:t xml:space="preserve">Safety: LTI count + near miss frequency.</w:t>
            </w:r>
          </w:p>
          <w:p>
            <w:pPr>
              <w:spacing w:after="60" w:before="60"/>
            </w:pPr>
            <w:r>
              <w:rPr>
                <w:rFonts w:ascii="Arial" w:cs="Arial" w:eastAsia="Arial" w:hAnsi="Arial"/>
                <w:color w:val="5B595A"/>
                <w:sz w:val="22"/>
                <w:szCs w:val="22"/>
              </w:rPr>
              <w:t xml:space="preserve">Quality: First Pass Yield (%) + NCR count.</w:t>
            </w:r>
          </w:p>
          <w:p>
            <w:pPr>
              <w:spacing w:after="60" w:before="60"/>
            </w:pPr>
            <w:r>
              <w:rPr>
                <w:rFonts w:ascii="Arial" w:cs="Arial" w:eastAsia="Arial" w:hAnsi="Arial"/>
                <w:color w:val="5B595A"/>
                <w:sz w:val="22"/>
                <w:szCs w:val="22"/>
              </w:rPr>
              <w:t xml:space="preserve">Delivery: OTIF (%).</w:t>
            </w:r>
          </w:p>
          <w:p>
            <w:pPr>
              <w:spacing w:after="60" w:before="60"/>
            </w:pPr>
            <w:r>
              <w:rPr>
                <w:rFonts w:ascii="Arial" w:cs="Arial" w:eastAsia="Arial" w:hAnsi="Arial"/>
                <w:color w:val="5B595A"/>
                <w:sz w:val="22"/>
                <w:szCs w:val="22"/>
              </w:rPr>
              <w:t xml:space="preserve">Cost: Revenue vs target (%).</w:t>
            </w:r>
          </w:p>
          <w:p>
            <w:pPr>
              <w:spacing w:after="60" w:before="60"/>
            </w:pPr>
            <w:r>
              <w:rPr>
                <w:rFonts w:ascii="Arial" w:cs="Arial" w:eastAsia="Arial" w:hAnsi="Arial"/>
                <w:color w:val="5B595A"/>
                <w:sz w:val="22"/>
                <w:szCs w:val="22"/>
              </w:rPr>
              <w:t xml:space="preserve">People: Absence rate (%).</w:t>
            </w:r>
          </w:p>
          <w:p>
            <w:pPr>
              <w:spacing w:after="60" w:before="60"/>
            </w:pPr>
            <w:r>
              <w:rPr>
                <w:rFonts w:ascii="Arial" w:cs="Arial" w:eastAsia="Arial" w:hAnsi="Arial"/>
                <w:color w:val="5B595A"/>
                <w:sz w:val="22"/>
                <w:szCs w:val="22"/>
              </w:rPr>
              <w:t xml:space="preserve">These five KPIs, consistently tracked, visually displayed, and linked to improvement actions, are sufficient to satisfy the F4N Performance Measurement requirement. Add more only when you have the review process in place to act on the data.</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3  |  Making Performance Visible: The SQDCP Board</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Performance data that is only accessible in a system, a spreadsheet, or a manager's report is not visible performance measurement. For the data to drive behaviour and improvement, it must be displayed where the people responsible for it can see it, understand it, and respond to it.</w:t>
      </w:r>
    </w:p>
    <w:p>
      <w:pPr>
        <w:spacing w:after="0" w:before="80"/>
      </w:pPr>
      <w:r>
        <w:rPr>
          <w:rFonts w:ascii="Arial" w:cs="Arial" w:eastAsia="Arial" w:hAnsi="Arial"/>
          <w:color w:val="5B595A"/>
          <w:sz w:val="22"/>
          <w:szCs w:val="22"/>
        </w:rPr>
        <w:t xml:space="preserve"/>
      </w:r>
    </w:p>
    <w:p>
      <w:pPr>
        <w:shd w:fill="009FE3" w:color="009FE3" w:val="solid"/>
        <w:spacing w:after="80" w:before="200"/>
        <w:ind w:left="120"/>
      </w:pPr>
      <w:r>
        <w:rPr>
          <w:rFonts w:ascii="Arial" w:cs="Arial" w:eastAsia="Arial" w:hAnsi="Arial"/>
          <w:b/>
          <w:bCs/>
          <w:color w:val="FFFFFF"/>
          <w:sz w:val="26"/>
          <w:szCs w:val="26"/>
        </w:rPr>
        <w:t xml:space="preserve">3.1  What Goes on the Board</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c>
          <w:tcPr>
            <w:tcW w:type="pct" w:w="25%"/>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Element</w:t>
            </w:r>
          </w:p>
        </w:tc>
        <w:tc>
          <w:tcPr>
            <w:tcW w:type="pct" w:w="38%"/>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What It Shows</w:t>
            </w:r>
          </w:p>
        </w:tc>
        <w:tc>
          <w:tcPr>
            <w:tcW w:type="pct" w:w="37%"/>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Why It Matters</w:t>
            </w:r>
          </w:p>
        </w:tc>
      </w:tr>
      <w:tr>
        <w:tc>
          <w:tcPr>
            <w:tcW w:type="pct" w:w="25%"/>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Monthly calendar (letter shape)</w:t>
            </w:r>
          </w:p>
        </w:tc>
        <w:tc>
          <w:tcPr>
            <w:tcW w:type="pct" w:w="3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Each day of the month colour-coded: green (no incidents/no misses), amber (near miss or borderline), red (incident or miss)</w:t>
            </w:r>
          </w:p>
        </w:tc>
        <w:tc>
          <w:tcPr>
            <w:tcW w:type="pct" w:w="37%"/>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Gives an immediate visual history of the month. Anyone can see at a glance how the month is trending without reading a single number.</w:t>
            </w:r>
          </w:p>
        </w:tc>
      </w:tr>
      <w:tr>
        <w:tc>
          <w:tcPr>
            <w:tcW w:type="pct" w:w="25%"/>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Run chart</w:t>
            </w:r>
          </w:p>
        </w:tc>
        <w:tc>
          <w:tcPr>
            <w:tcW w:type="pct" w:w="3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Actual performance plotted against target across the month by working day or week</w:t>
            </w:r>
          </w:p>
        </w:tc>
        <w:tc>
          <w:tcPr>
            <w:tcW w:type="pct" w:w="37%"/>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Shows trend, not just a snapshot. A declining trend visible on a run chart generates different conversations than a single end-of-month summary.</w:t>
            </w:r>
          </w:p>
        </w:tc>
      </w:tr>
      <w:tr>
        <w:tc>
          <w:tcPr>
            <w:tcW w:type="pct" w:w="25%"/>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Target vs actual status box</w:t>
            </w:r>
          </w:p>
        </w:tc>
        <w:tc>
          <w:tcPr>
            <w:tcW w:type="pct" w:w="3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Current month target and actual value with RAG (Red/Amber/Green) colour</w:t>
            </w:r>
          </w:p>
        </w:tc>
        <w:tc>
          <w:tcPr>
            <w:tcW w:type="pct" w:w="37%"/>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single most visible element on the board. Viewable from a distance. Anyone walking past can see whether the area is on target without stopping.</w:t>
            </w:r>
          </w:p>
        </w:tc>
      </w:tr>
      <w:tr>
        <w:tc>
          <w:tcPr>
            <w:tcW w:type="pct" w:w="25%"/>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Improvement actions</w:t>
            </w:r>
          </w:p>
        </w:tc>
        <w:tc>
          <w:tcPr>
            <w:tcW w:type="pct" w:w="3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Actions raised from this month's performance, with owner and due date</w:t>
            </w:r>
          </w:p>
        </w:tc>
        <w:tc>
          <w:tcPr>
            <w:tcW w:type="pct" w:w="37%"/>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Completes the loop between measurement and improvement. Without this section, the board is a scoreboard. With it, it is a management tool.</w:t>
            </w:r>
          </w:p>
        </w:tc>
      </w:tr>
    </w:tbl>
    <w:p>
      <w:pPr>
        <w:spacing w:after="0" w:before="80"/>
      </w:pPr>
      <w:r>
        <w:rPr>
          <w:rFonts w:ascii="Arial" w:cs="Arial" w:eastAsia="Arial" w:hAnsi="Arial"/>
          <w:color w:val="5B595A"/>
          <w:sz w:val="22"/>
          <w:szCs w:val="22"/>
        </w:rPr>
        <w:t xml:space="preserve"/>
      </w:r>
    </w:p>
    <w:p>
      <w:pPr>
        <w:shd w:fill="83348F" w:color="83348F" w:val="solid"/>
        <w:spacing w:after="80" w:before="200"/>
        <w:ind w:left="120"/>
      </w:pPr>
      <w:r>
        <w:rPr>
          <w:rFonts w:ascii="Arial" w:cs="Arial" w:eastAsia="Arial" w:hAnsi="Arial"/>
          <w:b/>
          <w:bCs/>
          <w:color w:val="FFFFFF"/>
          <w:sz w:val="26"/>
          <w:szCs w:val="26"/>
        </w:rPr>
        <w:t xml:space="preserve">3.2  Where to Put the Board</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board should be located where the team it serves can interact with it regularly, ideally at the point of production or at the entrance to the relevant area. It should be at eye level, well lit, and accessible without a key or permission. Some practical rules:</w:t>
      </w:r>
    </w:p>
    <w:p>
      <w:pPr>
        <w:spacing w:after="0" w:before="60"/>
      </w:pPr>
      <w:r>
        <w:rPr>
          <w:rFonts w:ascii="Arial" w:cs="Arial" w:eastAsia="Arial" w:hAnsi="Arial"/>
          <w:color w:val="5B595A"/>
          <w:sz w:val="22"/>
          <w:szCs w:val="22"/>
        </w:rPr>
        <w:t xml:space="preserve"/>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Place it where the daily team briefing takes place. The board and the briefing should occupy the same physical location.</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Do not place it in the manager's office, the boardroom, or behind a locked door. If only managers can see it, it is not a shopfloor performance board.</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Ensure it is writable. A board that is printed but cannot be updated is a poster, not a management tool. Use laminated inserts or write-on frames.</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Keep it current. An out-of-date board is actively harmful: it signals that performance measurement is not taken seriously.</w:t>
      </w:r>
    </w:p>
    <w:p>
      <w:pPr>
        <w:spacing w:after="0" w:before="80"/>
      </w:pPr>
      <w:r>
        <w:rPr>
          <w:rFonts w:ascii="Arial" w:cs="Arial" w:eastAsia="Arial" w:hAnsi="Arial"/>
          <w:color w:val="5B595A"/>
          <w:sz w:val="22"/>
          <w:szCs w:val="22"/>
        </w:rPr>
        <w:t xml:space="preserve"/>
      </w:r>
    </w:p>
    <w:p>
      <w:pPr>
        <w:shd w:fill="217346" w:color="217346" w:val="solid"/>
        <w:spacing w:after="80" w:before="200"/>
        <w:ind w:left="120"/>
      </w:pPr>
      <w:r>
        <w:rPr>
          <w:rFonts w:ascii="Arial" w:cs="Arial" w:eastAsia="Arial" w:hAnsi="Arial"/>
          <w:b/>
          <w:bCs/>
          <w:color w:val="FFFFFF"/>
          <w:sz w:val="26"/>
          <w:szCs w:val="26"/>
        </w:rPr>
        <w:t xml:space="preserve">3.3  The Daily and Monthly Update Cycle</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c>
          <w:tcPr>
            <w:tcW w:type="pct" w:w="18%"/>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Frequency</w:t>
            </w:r>
          </w:p>
        </w:tc>
        <w:tc>
          <w:tcPr>
            <w:tcW w:type="pct" w:w="34%"/>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What is Updated</w:t>
            </w:r>
          </w:p>
        </w:tc>
        <w:tc>
          <w:tcPr>
            <w:tcW w:type="pct" w:w="26%"/>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Who Updates It</w:t>
            </w:r>
          </w:p>
        </w:tc>
        <w:tc>
          <w:tcPr>
            <w:tcW w:type="pct" w:w="22%"/>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Timing</w:t>
            </w:r>
          </w:p>
        </w:tc>
      </w:tr>
      <w:tr>
        <w:tc>
          <w:tcPr>
            <w:tcW w:type="pct" w:w="1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Daily</w:t>
            </w:r>
          </w:p>
        </w:tc>
        <w:tc>
          <w:tcPr>
            <w:tcW w:type="pct" w:w="3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Calendar day cell coloured to reflect the day's performance. Any safety near-miss or quality event recorded.</w:t>
            </w:r>
          </w:p>
        </w:tc>
        <w:tc>
          <w:tcPr>
            <w:tcW w:type="pct" w:w="2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Team leader or supervisor</w:t>
            </w:r>
          </w:p>
        </w:tc>
        <w:tc>
          <w:tcPr>
            <w:tcW w:type="pct" w:w="2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End of each working day, before the next day starts.</w:t>
            </w:r>
          </w:p>
        </w:tc>
      </w:tr>
      <w:tr>
        <w:tc>
          <w:tcPr>
            <w:tcW w:type="pct" w:w="1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Weekly</w:t>
            </w:r>
          </w:p>
        </w:tc>
        <w:tc>
          <w:tcPr>
            <w:tcW w:type="pct" w:w="3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Run chart updated with week's data. Open improvement actions reviewed.</w:t>
            </w:r>
          </w:p>
        </w:tc>
        <w:tc>
          <w:tcPr>
            <w:tcW w:type="pct" w:w="2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Pillar owner (e.g. Quality Manager for Q column)</w:t>
            </w:r>
          </w:p>
        </w:tc>
        <w:tc>
          <w:tcPr>
            <w:tcW w:type="pct" w:w="2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First working day of the following week.</w:t>
            </w:r>
          </w:p>
        </w:tc>
      </w:tr>
      <w:tr>
        <w:tc>
          <w:tcPr>
            <w:tcW w:type="pct" w:w="1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Monthly</w:t>
            </w:r>
          </w:p>
        </w:tc>
        <w:tc>
          <w:tcPr>
            <w:tcW w:type="pct" w:w="3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Full update: KPI Summary sheet populated, run chart complete, RAG status confirmed, new improvement actions added, closed actions archived.</w:t>
            </w:r>
          </w:p>
        </w:tc>
        <w:tc>
          <w:tcPr>
            <w:tcW w:type="pct" w:w="2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Each pillar owner, reviewed by production manager</w:t>
            </w:r>
          </w:p>
        </w:tc>
        <w:tc>
          <w:tcPr>
            <w:tcW w:type="pct" w:w="2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By the 3rd working day of the new month.</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4  |  Running the Monthly KPI Review Meeting</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monthly review meeting is the engine of the performance measurement system. The board displays data; the meeting decides what to do about it. Without the meeting, the board is a record. With the meeting, it is a management process.</w:t>
      </w:r>
    </w:p>
    <w:p>
      <w:pPr>
        <w:spacing w:after="0" w:before="80"/>
      </w:pPr>
      <w:r>
        <w:rPr>
          <w:rFonts w:ascii="Arial" w:cs="Arial" w:eastAsia="Arial" w:hAnsi="Arial"/>
          <w:color w:val="5B595A"/>
          <w:sz w:val="22"/>
          <w:szCs w:val="22"/>
        </w:rPr>
        <w:t xml:space="preserve"/>
      </w:r>
    </w:p>
    <w:p>
      <w:pPr>
        <w:shd w:fill="1E3A5F" w:color="1E3A5F" w:val="solid"/>
        <w:spacing w:after="80" w:before="200"/>
        <w:ind w:left="120"/>
      </w:pPr>
      <w:r>
        <w:rPr>
          <w:rFonts w:ascii="Arial" w:cs="Arial" w:eastAsia="Arial" w:hAnsi="Arial"/>
          <w:b/>
          <w:bCs/>
          <w:color w:val="FFFFFF"/>
          <w:sz w:val="26"/>
          <w:szCs w:val="26"/>
        </w:rPr>
        <w:t xml:space="preserve">4.1  The Purpose of the Meeting</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meeting has four specific purposes, in this order:</w:t>
      </w:r>
    </w:p>
    <w:p>
      <w:pPr>
        <w:spacing w:after="0" w:before="60"/>
      </w:pPr>
      <w:r>
        <w:rPr>
          <w:rFonts w:ascii="Arial" w:cs="Arial" w:eastAsia="Arial" w:hAnsi="Arial"/>
          <w:color w:val="5B595A"/>
          <w:sz w:val="22"/>
          <w:szCs w:val="22"/>
        </w:rPr>
        <w:t xml:space="preserve"/>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To review actual performance against target for each SQDCP pillar during the previous month.</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To understand why any KPI missed its target and confirm that an appropriate action is in place.</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To update the status of all open improvement actions from previous months.</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To decide whether any recurring miss requires a new CSIP project.</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meeting is not a forum for presenting results to senior management. It is a working meeting. The output is actions, owners, and dates, not slides.</w:t>
      </w:r>
    </w:p>
    <w:p>
      <w:pPr>
        <w:spacing w:after="0" w:before="80"/>
      </w:pPr>
      <w:r>
        <w:rPr>
          <w:rFonts w:ascii="Arial" w:cs="Arial" w:eastAsia="Arial" w:hAnsi="Arial"/>
          <w:color w:val="5B595A"/>
          <w:sz w:val="22"/>
          <w:szCs w:val="22"/>
        </w:rPr>
        <w:t xml:space="preserve"/>
      </w:r>
    </w:p>
    <w:p>
      <w:pPr>
        <w:shd w:fill="009FE3" w:color="009FE3" w:val="solid"/>
        <w:spacing w:after="80" w:before="200"/>
        <w:ind w:left="120"/>
      </w:pPr>
      <w:r>
        <w:rPr>
          <w:rFonts w:ascii="Arial" w:cs="Arial" w:eastAsia="Arial" w:hAnsi="Arial"/>
          <w:b/>
          <w:bCs/>
          <w:color w:val="FFFFFF"/>
          <w:sz w:val="26"/>
          <w:szCs w:val="26"/>
        </w:rPr>
        <w:t xml:space="preserve">4.2  Who Attends</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At minimum: the production or operations manager (chair), and a named owner for each SQDCP pillar. The pillar owner may be the quality manager for Q, the HR manager for P, and so on. Shopfloor team leaders should attend where possible, especially for the pillar that most directly relates to their area of work.</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meeting should be attended by people who can authorise or commit to actions, not just those who can report data. If the meeting generates five actions but none of the attendees have authority to implement them, it is not the right group.</w:t>
      </w:r>
    </w:p>
    <w:p>
      <w:pPr>
        <w:spacing w:after="0" w:before="80"/>
      </w:pPr>
      <w:r>
        <w:rPr>
          <w:rFonts w:ascii="Arial" w:cs="Arial" w:eastAsia="Arial" w:hAnsi="Arial"/>
          <w:color w:val="5B595A"/>
          <w:sz w:val="22"/>
          <w:szCs w:val="22"/>
        </w:rPr>
        <w:t xml:space="preserve"/>
      </w:r>
    </w:p>
    <w:p>
      <w:pPr>
        <w:shd w:fill="83348F" w:color="83348F" w:val="solid"/>
        <w:spacing w:after="80" w:before="200"/>
        <w:ind w:left="120"/>
      </w:pPr>
      <w:r>
        <w:rPr>
          <w:rFonts w:ascii="Arial" w:cs="Arial" w:eastAsia="Arial" w:hAnsi="Arial"/>
          <w:b/>
          <w:bCs/>
          <w:color w:val="FFFFFF"/>
          <w:sz w:val="26"/>
          <w:szCs w:val="26"/>
        </w:rPr>
        <w:t xml:space="preserve">4.3  Frequency and Consistency</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Monthly is the minimum frequency for a formal KPI review. Higher-performing businesses run a weekly summary and a monthly deep-dive. The critical requirement is consistency: the meeting happens on the same day at the same time every month, without exception.</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shd w:fill="1E3A5F" w:color="1E3A5F" w:val="solid"/>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Nuclear assessment perspective: meeting evidence</w:t>
            </w:r>
          </w:p>
        </w:tc>
      </w:tr>
      <w:tr>
        <w:tc>
          <w:tcPr>
            <w:tcBorders>
              <w:top w:val="single" w:color="1E3A5F" w:sz="6"/>
              <w:left w:val="single" w:color="1E3A5F" w:sz="12"/>
              <w:bottom w:val="none"/>
              <w:right w:val="none"/>
            </w:tcBorders>
            <w:shd w:fill="F8F8F8" w:color="F8F8F8" w:val="solid"/>
            <w:tcMar>
              <w:top w:type="dxa" w:w="80"/>
              <w:left w:type="dxa" w:w="160"/>
              <w:bottom w:type="dxa" w:w="80"/>
              <w:right w:type="dxa" w:w="160"/>
            </w:tcMar>
          </w:tcPr>
          <w:p>
            <w:pPr>
              <w:spacing w:after="60" w:before="60"/>
            </w:pPr>
            <w:r>
              <w:rPr>
                <w:rFonts w:ascii="Arial" w:cs="Arial" w:eastAsia="Arial" w:hAnsi="Arial"/>
                <w:color w:val="5B595A"/>
                <w:sz w:val="22"/>
                <w:szCs w:val="22"/>
              </w:rPr>
              <w:t xml:space="preserve">When an assessor asks "How do you use your KPIs to drive improvement?", the expected answer references a structured review process with a regular meeting, named actions, and CSIP links. Meeting minutes, action logs, and CSIP project registers are the evidence that satisfies this question.</w:t>
            </w:r>
          </w:p>
          <w:p>
            <w:pPr>
              <w:spacing w:after="60" w:before="60"/>
            </w:pPr>
            <w:r>
              <w:rPr>
                <w:rFonts w:ascii="Arial" w:cs="Arial" w:eastAsia="Arial" w:hAnsi="Arial"/>
                <w:color w:val="5B595A"/>
                <w:sz w:val="22"/>
                <w:szCs w:val="22"/>
              </w:rPr>
              <w:t xml:space="preserve">An assessor who sees a well-maintained board but finds no evidence of a review meeting will question whether the data is actually used to make decisions. The board and the meeting are inseparable.</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5  |  Linking KPIs to the CSIP</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CSIP (Continuous Sustainable Improvement Plan) and the KPI framework are two parts of the same system. KPIs identify where performance is falling short; the CSIP is where the improvement projects that address those shortfalls are formally managed.</w:t>
      </w:r>
    </w:p>
    <w:p>
      <w:pPr>
        <w:spacing w:after="0" w:before="80"/>
      </w:pPr>
      <w:r>
        <w:rPr>
          <w:rFonts w:ascii="Arial" w:cs="Arial" w:eastAsia="Arial" w:hAnsi="Arial"/>
          <w:color w:val="5B595A"/>
          <w:sz w:val="22"/>
          <w:szCs w:val="22"/>
        </w:rPr>
        <w:t xml:space="preserve"/>
      </w:r>
    </w:p>
    <w:p>
      <w:pPr>
        <w:shd w:fill="C00000" w:color="C00000" w:val="solid"/>
        <w:spacing w:after="80" w:before="200"/>
        <w:ind w:left="120"/>
      </w:pPr>
      <w:r>
        <w:rPr>
          <w:rFonts w:ascii="Arial" w:cs="Arial" w:eastAsia="Arial" w:hAnsi="Arial"/>
          <w:b/>
          <w:bCs/>
          <w:color w:val="FFFFFF"/>
          <w:sz w:val="26"/>
          <w:szCs w:val="26"/>
        </w:rPr>
        <w:t xml:space="preserve">5.1  When a KPI Generates a CSIP Project</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Not every missed target requires a CSIP project. A one-off miss caused by a known, managed event does not need a formal project. A CSIP project is appropriate when:</w:t>
      </w:r>
    </w:p>
    <w:p>
      <w:pPr>
        <w:spacing w:after="0" w:before="60"/>
      </w:pPr>
      <w:r>
        <w:rPr>
          <w:rFonts w:ascii="Arial" w:cs="Arial" w:eastAsia="Arial" w:hAnsi="Arial"/>
          <w:color w:val="5B595A"/>
          <w:sz w:val="22"/>
          <w:szCs w:val="22"/>
        </w:rPr>
        <w:t xml:space="preserve"/>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The same KPI has missed target for two or more consecutive months.</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The miss is significant (more than 10% off target) and the root cause is not yet understood.</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The action required to fix the problem is complex enough to require project management (multiple owners, stages, or resources).</w:t>
      </w:r>
    </w:p>
    <w:p>
      <w:pPr>
        <w:spacing w:after="60" w:before="60"/>
        <w:ind w:left="320" w:hanging="220"/>
      </w:pPr>
      <w:r>
        <w:rPr>
          <w:rFonts w:ascii="Arial" w:cs="Arial" w:eastAsia="Arial" w:hAnsi="Arial"/>
          <w:b/>
          <w:bCs/>
          <w:color w:val="009FE3"/>
          <w:sz w:val="22"/>
          <w:szCs w:val="22"/>
        </w:rPr>
        <w:t xml:space="preserve">•  </w:t>
      </w:r>
      <w:r>
        <w:rPr>
          <w:rFonts w:ascii="Arial" w:cs="Arial" w:eastAsia="Arial" w:hAnsi="Arial"/>
          <w:color w:val="5B595A"/>
          <w:sz w:val="22"/>
          <w:szCs w:val="22"/>
        </w:rPr>
        <w:t xml:space="preserve">The issue has a direct link to customer satisfaction, safety, or quality conformance.</w:t>
      </w:r>
    </w:p>
    <w:p>
      <w:pPr>
        <w:spacing w:after="0" w:before="80"/>
      </w:pPr>
      <w:r>
        <w:rPr>
          <w:rFonts w:ascii="Arial" w:cs="Arial" w:eastAsia="Arial" w:hAnsi="Arial"/>
          <w:color w:val="5B595A"/>
          <w:sz w:val="22"/>
          <w:szCs w:val="22"/>
        </w:rPr>
        <w:t xml:space="preserve"/>
      </w:r>
    </w:p>
    <w:p>
      <w:pPr>
        <w:shd w:fill="217346" w:color="217346" w:val="solid"/>
        <w:spacing w:after="80" w:before="200"/>
        <w:ind w:left="120"/>
      </w:pPr>
      <w:r>
        <w:rPr>
          <w:rFonts w:ascii="Arial" w:cs="Arial" w:eastAsia="Arial" w:hAnsi="Arial"/>
          <w:b/>
          <w:bCs/>
          <w:color w:val="FFFFFF"/>
          <w:sz w:val="26"/>
          <w:szCs w:val="26"/>
        </w:rPr>
        <w:t xml:space="preserve">5.2  The Link Between the KPI Log and the CSIP</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Issues and Action Log in the PE-03a tracker includes a CSIP Reference column. When an issue is escalated to a CSIP project, the CSIP project reference is recorded here. This creates a traceable chain: KPI miss identified in the monthly review, action logged, escalated to CSIP, CSIP project managed to completion, KPI performance verified to have improved.</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This chain is the evidence trail that a nuclear assessor is looking for when they ask "Can you show me an example of a KPI that drove a CSIP project and resulted in measurable improvement?"</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c>
          <w:tcPr>
            <w:tcW w:type="pct" w:w="20%"/>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Stage</w:t>
            </w:r>
          </w:p>
        </w:tc>
        <w:tc>
          <w:tcPr>
            <w:tcW w:type="pct" w:w="50%"/>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Activity</w:t>
            </w:r>
          </w:p>
        </w:tc>
        <w:tc>
          <w:tcPr>
            <w:tcW w:type="pct" w:w="30%"/>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Document / Evidence</w:t>
            </w:r>
          </w:p>
        </w:tc>
      </w:tr>
      <w:tr>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 Miss identified</w:t>
            </w:r>
          </w:p>
        </w:tc>
        <w:tc>
          <w:tcPr>
            <w:tcW w:type="pct" w:w="5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OTIF drops to 82% in January. Two late deliveries recorded in the Issues Log.</w:t>
            </w:r>
          </w:p>
        </w:tc>
        <w:tc>
          <w:tcPr>
            <w:tcW w:type="pct" w:w="3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PE-03a: Issues &amp; Action Log entry</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2. Root cause investigated</w:t>
            </w:r>
          </w:p>
        </w:tc>
        <w:tc>
          <w:tcPr>
            <w:tcW w:type="pct" w:w="5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Production review reveals Cell 1 rework consuming schedule. Root cause: scrap from tool wear.</w:t>
            </w:r>
          </w:p>
        </w:tc>
        <w:tc>
          <w:tcPr>
            <w:tcW w:type="pct" w:w="3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3C or 8D investigation record</w:t>
            </w:r>
          </w:p>
        </w:tc>
      </w:tr>
      <w:tr>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3. CSIP project raised</w:t>
            </w:r>
          </w:p>
        </w:tc>
        <w:tc>
          <w:tcPr>
            <w:tcW w:type="pct" w:w="5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CSIP-15 opened: "Reduce Cell 1 scrap rate from 5.8% to below 2%." Owner: Quality Manager.</w:t>
            </w:r>
          </w:p>
        </w:tc>
        <w:tc>
          <w:tcPr>
            <w:tcW w:type="pct" w:w="3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CSIP register entry</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4. Project completed</w:t>
            </w:r>
          </w:p>
        </w:tc>
        <w:tc>
          <w:tcPr>
            <w:tcW w:type="pct" w:w="5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Tool life management system introduced. Scrap rate reduced to 1.9% by April.</w:t>
            </w:r>
          </w:p>
        </w:tc>
        <w:tc>
          <w:tcPr>
            <w:tcW w:type="pct" w:w="3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CSIP-15 closure report</w:t>
            </w:r>
          </w:p>
        </w:tc>
      </w:tr>
      <w:tr>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5. KPI improvement verified</w:t>
            </w:r>
          </w:p>
        </w:tc>
        <w:tc>
          <w:tcPr>
            <w:tcW w:type="pct" w:w="5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OTIF returns to 94% by May. Trend confirmed over 3 months.</w:t>
            </w:r>
          </w:p>
        </w:tc>
        <w:tc>
          <w:tcPr>
            <w:tcW w:type="pct" w:w="3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PE-03a: KPI Summary, monthly trend</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6  |  KPI Definitions and Formulas</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Consistent definitions matter. If two people measure the same KPI differently, the data cannot be compared over time or between areas. This section defines the recommended calculation method for each SQDCP pillar's primary KPI.</w:t>
      </w:r>
    </w:p>
    <w:p>
      <w:pPr>
        <w:spacing w:after="0" w:before="80"/>
      </w:pPr>
      <w:r>
        <w:rPr>
          <w:rFonts w:ascii="Arial" w:cs="Arial" w:eastAsia="Arial" w:hAnsi="Arial"/>
          <w:color w:val="5B595A"/>
          <w:sz w:val="22"/>
          <w:szCs w:val="22"/>
        </w:rPr>
        <w:t xml:space="preserve"/>
      </w:r>
    </w:p>
    <w:p>
      <w:pPr>
        <w:shd w:fill="C00000" w:color="C00000" w:val="solid"/>
        <w:spacing w:after="80" w:before="200"/>
        <w:ind w:left="120"/>
      </w:pPr>
      <w:r>
        <w:rPr>
          <w:rFonts w:ascii="Arial" w:cs="Arial" w:eastAsia="Arial" w:hAnsi="Arial"/>
          <w:b/>
          <w:bCs/>
          <w:color w:val="FFFFFF"/>
          <w:sz w:val="26"/>
          <w:szCs w:val="26"/>
        </w:rPr>
        <w:t xml:space="preserve">Safety KPIs</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2%"/>
            <w:shd w:fill="C00000" w:color="C00000"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C00000" w:color="C00000"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6%"/>
            <w:shd w:fill="C00000" w:color="C00000"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C00000" w:color="C00000"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Lost Time Incidents (LTI)</w:t>
            </w:r>
          </w:p>
        </w:tc>
        <w:tc>
          <w:tcPr>
            <w:tcW w:type="pct" w:w="40%"/>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Any work-related injury or illness that results in the employee being unable to work on the day following the incident (or beyond).</w:t>
            </w:r>
          </w:p>
        </w:tc>
        <w:tc>
          <w:tcPr>
            <w:tcW w:type="pct" w:w="26%"/>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Count of LTI events in the period. Target: 0.</w:t>
            </w:r>
          </w:p>
        </w:tc>
        <w:tc>
          <w:tcPr>
            <w:tcW w:type="pct" w:w="1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w:t>
            </w:r>
          </w:p>
        </w:tc>
      </w:tr>
      <w:tr>
        <w:tc>
          <w:tcPr>
            <w:tcW w:type="pct" w:w="2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Near Miss Frequency</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Any event that had the potential to cause injury or damage but did not. Near misses that go unreported are wasted learning opportunities.</w:t>
            </w:r>
          </w:p>
        </w:tc>
        <w:tc>
          <w:tcPr>
            <w:tcW w:type="pct" w:w="2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Count of near miss reports submitted in the period.</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(indicates reporting culture)</w:t>
            </w:r>
          </w:p>
        </w:tc>
      </w:tr>
      <w:tr>
        <w:tc>
          <w:tcPr>
            <w:tcW w:type="pct" w:w="2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Safety Observation Rate</w:t>
            </w:r>
          </w:p>
        </w:tc>
        <w:tc>
          <w:tcPr>
            <w:tcW w:type="pct" w:w="40%"/>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Proactive identification of unsafe conditions or behaviours by any employee.</w:t>
            </w:r>
          </w:p>
        </w:tc>
        <w:tc>
          <w:tcPr>
            <w:tcW w:type="pct" w:w="26%"/>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Count of safety observations submitted.</w:t>
            </w:r>
          </w:p>
        </w:tc>
        <w:tc>
          <w:tcPr>
            <w:tcW w:type="pct" w:w="1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w:t>
            </w:r>
          </w:p>
        </w:tc>
      </w:tr>
    </w:tbl>
    <w:p>
      <w:pPr>
        <w:shd w:fill="5B595A" w:color="5B595A" w:val="solid"/>
        <w:spacing w:after="80" w:before="200"/>
        <w:ind w:left="120"/>
      </w:pPr>
      <w:r>
        <w:rPr>
          <w:rFonts w:ascii="Arial" w:cs="Arial" w:eastAsia="Arial" w:hAnsi="Arial"/>
          <w:b/>
          <w:bCs/>
          <w:color w:val="FFFFFF"/>
          <w:sz w:val="26"/>
          <w:szCs w:val="26"/>
        </w:rPr>
        <w:t xml:space="preserve">Quality KPIs</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2%"/>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6%"/>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First Pass Yield (FPY)</w:t>
            </w:r>
          </w:p>
        </w:tc>
        <w:tc>
          <w:tcPr>
            <w:tcW w:type="pct" w:w="4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units that complete the entire production process without requiring any rework, repair, or rejection.</w:t>
            </w:r>
          </w:p>
        </w:tc>
        <w:tc>
          <w:tcPr>
            <w:tcW w:type="pct" w:w="2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FPY = (Units entering process - Units requiring rework or rejected) / Units entering process x 100</w:t>
            </w:r>
          </w:p>
        </w:tc>
        <w:tc>
          <w:tcPr>
            <w:tcW w:type="pct" w:w="1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Target typically 97% or above.</w:t>
            </w:r>
          </w:p>
        </w:tc>
      </w:tr>
      <w:tr>
        <w:tc>
          <w:tcPr>
            <w:tcW w:type="pct" w:w="2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Internal NCR Count</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 Non-Conformance Report raised for a product or process that does not meet the specified requirement, detected internally before reaching the customer.</w:t>
            </w:r>
          </w:p>
        </w:tc>
        <w:tc>
          <w:tcPr>
            <w:tcW w:type="pct" w:w="2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Count of NCRs raised in the period.</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depends on volume; typically 3 or fewer per month for an SME.</w:t>
            </w:r>
          </w:p>
        </w:tc>
      </w:tr>
      <w:tr>
        <w:tc>
          <w:tcPr>
            <w:tcW w:type="pct" w:w="2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Customer Complaints</w:t>
            </w:r>
          </w:p>
        </w:tc>
        <w:tc>
          <w:tcPr>
            <w:tcW w:type="pct" w:w="4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Formal complaints received from customers regarding quality, delivery, or service.</w:t>
            </w:r>
          </w:p>
        </w:tc>
        <w:tc>
          <w:tcPr>
            <w:tcW w:type="pct" w:w="2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Count of formal complaints received in the period.</w:t>
            </w:r>
          </w:p>
        </w:tc>
        <w:tc>
          <w:tcPr>
            <w:tcW w:type="pct" w:w="1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Nuclear customers expect zero.</w:t>
            </w:r>
          </w:p>
        </w:tc>
      </w:tr>
    </w:tbl>
    <w:p>
      <w:pPr>
        <w:shd w:fill="009FE3" w:color="009FE3" w:val="solid"/>
        <w:spacing w:after="80" w:before="200"/>
        <w:ind w:left="120"/>
      </w:pPr>
      <w:r>
        <w:rPr>
          <w:rFonts w:ascii="Arial" w:cs="Arial" w:eastAsia="Arial" w:hAnsi="Arial"/>
          <w:b/>
          <w:bCs/>
          <w:color w:val="FFFFFF"/>
          <w:sz w:val="26"/>
          <w:szCs w:val="26"/>
        </w:rPr>
        <w:t xml:space="preserve">Delivery KPIs</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2%"/>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6%"/>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On Time In Full (OTIF)</w:t>
            </w:r>
          </w:p>
        </w:tc>
        <w:tc>
          <w:tcPr>
            <w:tcW w:type="pct" w:w="40%"/>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customer orders delivered on the agreed date and in the full quantity ordered. Partial deliveries do not count as OTIF-compliant.</w:t>
            </w:r>
          </w:p>
        </w:tc>
        <w:tc>
          <w:tcPr>
            <w:tcW w:type="pct" w:w="26%"/>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OTIF = Orders delivered on time and in full / Total orders due x 100</w:t>
            </w:r>
          </w:p>
        </w:tc>
        <w:tc>
          <w:tcPr>
            <w:tcW w:type="pct" w:w="1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Nuclear customers typically expect 95% or above.</w:t>
            </w:r>
          </w:p>
        </w:tc>
      </w:tr>
      <w:tr>
        <w:tc>
          <w:tcPr>
            <w:tcW w:type="pct" w:w="2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Schedule Adherence</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jobs completed on the planned date in the internal production schedule.</w:t>
            </w:r>
          </w:p>
        </w:tc>
        <w:tc>
          <w:tcPr>
            <w:tcW w:type="pct" w:w="2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Schedule Adherence = Jobs completed on planned date / Total jobs planned for completion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A leading indicator of OTIF performance.</w:t>
            </w:r>
          </w:p>
        </w:tc>
      </w:tr>
    </w:tbl>
    <w:p>
      <w:pPr>
        <w:shd w:fill="217346" w:color="217346" w:val="solid"/>
        <w:spacing w:after="80" w:before="200"/>
        <w:ind w:left="120"/>
      </w:pPr>
      <w:r>
        <w:rPr>
          <w:rFonts w:ascii="Arial" w:cs="Arial" w:eastAsia="Arial" w:hAnsi="Arial"/>
          <w:b/>
          <w:bCs/>
          <w:color w:val="FFFFFF"/>
          <w:sz w:val="26"/>
          <w:szCs w:val="26"/>
        </w:rPr>
        <w:t xml:space="preserve">Cost KPIs</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2%"/>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6%"/>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Revenue vs Target</w:t>
            </w:r>
          </w:p>
        </w:tc>
        <w:tc>
          <w:tcPr>
            <w:tcW w:type="pct" w:w="4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Actual revenue invoiced in the period as a percentage of the budgeted or targeted revenue.</w:t>
            </w:r>
          </w:p>
        </w:tc>
        <w:tc>
          <w:tcPr>
            <w:tcW w:type="pct" w:w="26%"/>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Revenue vs Target = Actual revenue / Target revenue x 100</w:t>
            </w:r>
          </w:p>
        </w:tc>
        <w:tc>
          <w:tcPr>
            <w:tcW w:type="pct" w:w="1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Below 100% indicates underperformance against plan.</w:t>
            </w:r>
          </w:p>
        </w:tc>
      </w:tr>
      <w:tr>
        <w:tc>
          <w:tcPr>
            <w:tcW w:type="pct" w:w="2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Labour Efficiency</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ratio of standard hours earned (based on target cycle times) to actual hours worked. Measures productive use of labour.</w:t>
            </w:r>
          </w:p>
        </w:tc>
        <w:tc>
          <w:tcPr>
            <w:tcW w:type="pct" w:w="2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Labour Efficiency = Standard hours produced / Actual hours worked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Typically targeted at 85% or above for a manufacturing SME.</w:t>
            </w:r>
          </w:p>
        </w:tc>
      </w:tr>
      <w:tr>
        <w:tc>
          <w:tcPr>
            <w:tcW w:type="pct" w:w="2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Cost of Poor Quality (COPQ)</w:t>
            </w:r>
          </w:p>
        </w:tc>
        <w:tc>
          <w:tcPr>
            <w:tcW w:type="pct" w:w="4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total financial cost of failure: scrap material, rework labour, warranty costs, concessions, and re-inspection time.</w:t>
            </w:r>
          </w:p>
        </w:tc>
        <w:tc>
          <w:tcPr>
            <w:tcW w:type="pct" w:w="26%"/>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Sum all direct costs of non-conformance in the period.</w:t>
            </w:r>
          </w:p>
        </w:tc>
        <w:tc>
          <w:tcPr>
            <w:tcW w:type="pct" w:w="1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Reducing COPQ is one of the highest-return improvement activities.</w:t>
            </w:r>
          </w:p>
        </w:tc>
      </w:tr>
    </w:tbl>
    <w:p>
      <w:pPr>
        <w:shd w:fill="83348F" w:color="83348F" w:val="solid"/>
        <w:spacing w:after="80" w:before="200"/>
        <w:ind w:left="120"/>
      </w:pPr>
      <w:r>
        <w:rPr>
          <w:rFonts w:ascii="Arial" w:cs="Arial" w:eastAsia="Arial" w:hAnsi="Arial"/>
          <w:b/>
          <w:bCs/>
          <w:color w:val="FFFFFF"/>
          <w:sz w:val="26"/>
          <w:szCs w:val="26"/>
        </w:rPr>
        <w:t xml:space="preserve">People KPIs</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c>
          <w:tcPr>
            <w:tcW w:type="pct" w:w="22%"/>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6%"/>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2%"/>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Absence Rate</w:t>
            </w:r>
          </w:p>
        </w:tc>
        <w:tc>
          <w:tcPr>
            <w:tcW w:type="pct" w:w="40%"/>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scheduled working time lost to unplanned absence (excluding planned annual leave and statutory leave).</w:t>
            </w:r>
          </w:p>
        </w:tc>
        <w:tc>
          <w:tcPr>
            <w:tcW w:type="pct" w:w="26%"/>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Absence Rate = Days lost to absence / Total scheduled working days x 100</w:t>
            </w:r>
          </w:p>
        </w:tc>
        <w:tc>
          <w:tcPr>
            <w:tcW w:type="pct" w:w="12%"/>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Typical target 3% or below.</w:t>
            </w:r>
          </w:p>
        </w:tc>
      </w:tr>
      <w:tr>
        <w:tc>
          <w:tcPr>
            <w:tcW w:type="pct" w:w="2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Improvement Ideas Submitted</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number of improvement ideas or suggestions submitted by employees through any formal channel.</w:t>
            </w:r>
          </w:p>
        </w:tc>
        <w:tc>
          <w:tcPr>
            <w:tcW w:type="pct" w:w="2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Count of ideas submitted in the period.</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Indicates employee engagement and psychological safety.</w:t>
            </w:r>
          </w:p>
        </w:tc>
      </w:tr>
      <w:tr>
        <w:tc>
          <w:tcPr>
            <w:tcW w:type="pct" w:w="22%"/>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Training Hours Delivered</w:t>
            </w:r>
          </w:p>
        </w:tc>
        <w:tc>
          <w:tcPr>
            <w:tcW w:type="pct" w:w="40%"/>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total number of hours of structured training or development activity completed per employee in the period.</w:t>
            </w:r>
          </w:p>
        </w:tc>
        <w:tc>
          <w:tcPr>
            <w:tcW w:type="pct" w:w="26%"/>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Total training hours / Total headcount</w:t>
            </w:r>
          </w:p>
        </w:tc>
        <w:tc>
          <w:tcPr>
            <w:tcW w:type="pct" w:w="12%"/>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Minimum target typically 4 hours per person per month.</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7  |  Beyond SQDCP: Operational Excellence KPIs</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SQDCP provides the framework that nuclear assessors expect to see on the shopfloor wall. But it is not the whole picture. Underneath Cost and Delivery sit a set of operational drivers that explain why those headline numbers move. Mature manufacturing businesses, and increasingly SMR programme due diligence teams, expect to see these tracked as well.</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PE-03a tracker includes a dedicated Operational KPIs sheet covering five categories: OEE, Inventory, Maintenance, Supplier Performance, and Capacity/NPI/Sustainability. The definitions below explain what each measures and why it matters.</w:t>
      </w:r>
    </w:p>
    <w:p>
      <w:pPr>
        <w:spacing w:after="0" w:before="80"/>
      </w:pPr>
      <w:r>
        <w:rPr>
          <w:rFonts w:ascii="Arial" w:cs="Arial" w:eastAsia="Arial" w:hAnsi="Arial"/>
          <w:color w:val="5B595A"/>
          <w:sz w:val="22"/>
          <w:szCs w:val="22"/>
        </w:rPr>
        <w:t xml:space="preserve"/>
      </w:r>
    </w:p>
    <w:p>
      <w:pPr>
        <w:shd w:fill="009FE3" w:color="009FE3" w:val="solid"/>
        <w:spacing w:after="80" w:before="200"/>
        <w:ind w:left="120"/>
      </w:pPr>
      <w:r>
        <w:rPr>
          <w:rFonts w:ascii="Arial" w:cs="Arial" w:eastAsia="Arial" w:hAnsi="Arial"/>
          <w:b/>
          <w:bCs/>
          <w:color w:val="FFFFFF"/>
          <w:sz w:val="26"/>
          <w:szCs w:val="26"/>
        </w:rPr>
        <w:t xml:space="preserve">7.1  Overall Equipment Effectiveness (OEE)</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OEE is the single most widely used measure of how effectively manufacturing equipment is used. It combines three factors into one percentage, and breaking the headline figure down into its components is usually where the improvement opportunity is found.</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0%"/>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8%"/>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009FE3" w:color="009FE3"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0%"/>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Overall Equipment Effectiveness (OEE)</w:t>
            </w:r>
          </w:p>
        </w:tc>
        <w:tc>
          <w:tcPr>
            <w:tcW w:type="pct" w:w="40%"/>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 composite measure of how effectively a machine or line is used, combining availability, performance, and quality into one figure.</w:t>
            </w:r>
          </w:p>
        </w:tc>
        <w:tc>
          <w:tcPr>
            <w:tcW w:type="pct" w:w="28%"/>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OEE = Availability x Performance x Quality Rate</w:t>
            </w:r>
          </w:p>
        </w:tc>
        <w:tc>
          <w:tcPr>
            <w:tcW w:type="pct" w:w="1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World-class is 85%. A realistic starting target for an SME is 75%.</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Availability</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proportion of planned production time that the equipment is actually running, excluding planned and unplanned stops.</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Availability = Run Time / Planned Production Time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Target 90% or above.</w:t>
            </w:r>
          </w:p>
        </w:tc>
      </w:tr>
      <w:tr>
        <w:tc>
          <w:tcPr>
            <w:tcW w:type="pct" w:w="20%"/>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Performance</w:t>
            </w:r>
          </w:p>
        </w:tc>
        <w:tc>
          <w:tcPr>
            <w:tcW w:type="pct" w:w="40%"/>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How fast the equipment runs compared to its designed or ideal speed, while it is running.</w:t>
            </w:r>
          </w:p>
        </w:tc>
        <w:tc>
          <w:tcPr>
            <w:tcW w:type="pct" w:w="28%"/>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Performance = (Total Pieces x Ideal Cycle Time) / Run Time x 100</w:t>
            </w:r>
          </w:p>
        </w:tc>
        <w:tc>
          <w:tcPr>
            <w:tcW w:type="pct" w:w="1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Target 90% or above.</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Quality Rate</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proportion of pieces produced that meet specification first time, of those actually produced.</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Quality Rate = Good Pieces / Total Pieces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Target 98% or above. This figure should align with First Pass Yield.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shd w:fill="009FE3" w:color="009FE3" w:val="solid"/>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Where to start with OEE</w:t>
            </w:r>
          </w:p>
        </w:tc>
      </w:tr>
      <w:tr>
        <w:tc>
          <w:tcPr>
            <w:tcBorders>
              <w:top w:val="single" w:color="009FE3" w:sz="6"/>
              <w:left w:val="single" w:color="009FE3" w:sz="12"/>
              <w:bottom w:val="none"/>
              <w:right w:val="none"/>
            </w:tcBorders>
            <w:shd w:fill="F8F8F8" w:color="F8F8F8" w:val="solid"/>
            <w:tcMar>
              <w:top w:type="dxa" w:w="80"/>
              <w:left w:type="dxa" w:w="160"/>
              <w:bottom w:type="dxa" w:w="80"/>
              <w:right w:type="dxa" w:w="160"/>
            </w:tcMar>
          </w:tcPr>
          <w:p>
            <w:pPr>
              <w:spacing w:after="60" w:before="60"/>
            </w:pPr>
            <w:r>
              <w:rPr>
                <w:rFonts w:ascii="Arial" w:cs="Arial" w:eastAsia="Arial" w:hAnsi="Arial"/>
                <w:color w:val="5B595A"/>
                <w:sz w:val="22"/>
                <w:szCs w:val="22"/>
              </w:rPr>
              <w:t xml:space="preserve">OEE requires data that many SMEs do not yet capture: run time, stops, ideal cycle time, and piece counts per machine. Do not attempt to roll OEE out across the whole site on day one.</w:t>
            </w:r>
          </w:p>
          <w:p>
            <w:pPr>
              <w:spacing w:after="60" w:before="60"/>
            </w:pPr>
            <w:r>
              <w:rPr>
                <w:rFonts w:ascii="Arial" w:cs="Arial" w:eastAsia="Arial" w:hAnsi="Arial"/>
                <w:color w:val="5B595A"/>
                <w:sz w:val="22"/>
                <w:szCs w:val="22"/>
              </w:rPr>
              <w:t xml:space="preserve">Choose a single bottleneck machine or cell (often the constraint identified in your VSM) and start manual data collection there. A simple shift log capturing start/stop times and piece counts is sufficient to begin. Automate later if the business case justifies it.</w:t>
            </w:r>
          </w:p>
        </w:tc>
      </w:tr>
    </w:tbl>
    <w:p>
      <w:pPr>
        <w:spacing w:after="0" w:before="80"/>
      </w:pPr>
      <w:r>
        <w:rPr>
          <w:rFonts w:ascii="Arial" w:cs="Arial" w:eastAsia="Arial" w:hAnsi="Arial"/>
          <w:color w:val="5B595A"/>
          <w:sz w:val="22"/>
          <w:szCs w:val="22"/>
        </w:rPr>
        <w:t xml:space="preserve"/>
      </w:r>
    </w:p>
    <w:p>
      <w:pPr>
        <w:shd w:fill="217346" w:color="217346" w:val="solid"/>
        <w:spacing w:after="80" w:before="200"/>
        <w:ind w:left="120"/>
      </w:pPr>
      <w:r>
        <w:rPr>
          <w:rFonts w:ascii="Arial" w:cs="Arial" w:eastAsia="Arial" w:hAnsi="Arial"/>
          <w:b/>
          <w:bCs/>
          <w:color w:val="FFFFFF"/>
          <w:sz w:val="26"/>
          <w:szCs w:val="26"/>
        </w:rPr>
        <w:t xml:space="preserve">7.2  Inventory and WIP</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Inventory metrics connect directly to the Value Stream Mapping work in PE-02. A high WIP figure or low stock turn rate is usually a symptom of the push scheduling and batch size issues that VSM identifies.</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0%"/>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8%"/>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217346" w:color="21734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Stock Turns</w:t>
            </w:r>
          </w:p>
        </w:tc>
        <w:tc>
          <w:tcPr>
            <w:tcW w:type="pct" w:w="4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number of times inventory is sold and replaced over a year. A measure of how efficiently capital tied up in stock is being used.</w:t>
            </w:r>
          </w:p>
        </w:tc>
        <w:tc>
          <w:tcPr>
            <w:tcW w:type="pct" w:w="28%"/>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Stock Turns = Annual Cost of Goods Sold / Average Inventory Value</w:t>
            </w:r>
          </w:p>
        </w:tc>
        <w:tc>
          <w:tcPr>
            <w:tcW w:type="pct" w:w="1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8x or above is a reasonable target for an SME manufacturer with moderate batch sizes.</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Days of Inventory</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total inventory (raw material, WIP, and finished goods) expressed as the number of days of demand it represents.</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Days of Inventory = (Raw Material + WIP + Finished Goods) / Average Daily Usage</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20 days or below for a make-to-order manufacturer.</w:t>
            </w:r>
          </w:p>
        </w:tc>
      </w:tr>
      <w:tr>
        <w:tc>
          <w:tcPr>
            <w:tcW w:type="pct" w:w="2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WIP Value</w:t>
            </w:r>
          </w:p>
        </w:tc>
        <w:tc>
          <w:tcPr>
            <w:tcW w:type="pct" w:w="4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total value of work in progress on the shopfloor at any point in time, calculated at material plus value-added cost.</w:t>
            </w:r>
          </w:p>
        </w:tc>
        <w:tc>
          <w:tcPr>
            <w:tcW w:type="pct" w:w="28%"/>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Sum of (Quantity x Standard Cost) for all WIP across all process steps</w:t>
            </w:r>
          </w:p>
        </w:tc>
        <w:tc>
          <w:tcPr>
            <w:tcW w:type="pct" w:w="1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Falling WIP value, alongside stable output, is direct evidence of flow improvement.</w:t>
            </w:r>
          </w:p>
        </w:tc>
      </w:tr>
    </w:tbl>
    <w:p>
      <w:pPr>
        <w:spacing w:after="0" w:before="80"/>
      </w:pPr>
      <w:r>
        <w:rPr>
          <w:rFonts w:ascii="Arial" w:cs="Arial" w:eastAsia="Arial" w:hAnsi="Arial"/>
          <w:color w:val="5B595A"/>
          <w:sz w:val="22"/>
          <w:szCs w:val="22"/>
        </w:rPr>
        <w:t xml:space="preserve"/>
      </w:r>
    </w:p>
    <w:p>
      <w:pPr>
        <w:shd w:fill="D97706" w:color="D97706" w:val="solid"/>
        <w:spacing w:after="80" w:before="200"/>
        <w:ind w:left="120"/>
      </w:pPr>
      <w:r>
        <w:rPr>
          <w:rFonts w:ascii="Arial" w:cs="Arial" w:eastAsia="Arial" w:hAnsi="Arial"/>
          <w:b/>
          <w:bCs/>
          <w:color w:val="FFFFFF"/>
          <w:sz w:val="26"/>
          <w:szCs w:val="26"/>
        </w:rPr>
        <w:t xml:space="preserve">7.3  Planned Maintenance and Equipment Reliability</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 F4N assessment specifically asks about planned maintenance and machine availability. These KPIs also feed directly into the Availability component of OEE above.</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0%"/>
            <w:shd w:fill="D97706" w:color="D9770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D97706" w:color="D9770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8%"/>
            <w:shd w:fill="D97706" w:color="D9770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D97706" w:color="D97706"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0%"/>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Planned Maintenance Compliance</w:t>
            </w:r>
          </w:p>
        </w:tc>
        <w:tc>
          <w:tcPr>
            <w:tcW w:type="pct" w:w="40%"/>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scheduled planned maintenance tasks completed on time during the period.</w:t>
            </w:r>
          </w:p>
        </w:tc>
        <w:tc>
          <w:tcPr>
            <w:tcW w:type="pct" w:w="28%"/>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PM Compliance = PM Tasks Completed on Time / PM Tasks Scheduled x 100</w:t>
            </w:r>
          </w:p>
        </w:tc>
        <w:tc>
          <w:tcPr>
            <w:tcW w:type="pct" w:w="12%"/>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Target 95% or above. This is a leading indicator: poor compliance now predicts breakdowns later.</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Reactive vs Planned Ratio</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proportion of total maintenance hours spent on unplanned breakdown repair compared to planned activity.</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Reactive Ratio = Reactive Maintenance Hours / Total Maintenance Hours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20% or below. A high ratio indicates a reactive, fire-fighting maintenance culture.</w:t>
            </w:r>
          </w:p>
        </w:tc>
      </w:tr>
      <w:tr>
        <w:tc>
          <w:tcPr>
            <w:tcW w:type="pct" w:w="20%"/>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MTBF (Mean Time Between Failures)</w:t>
            </w:r>
          </w:p>
        </w:tc>
        <w:tc>
          <w:tcPr>
            <w:tcW w:type="pct" w:w="40%"/>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average operating time between unplanned equipment failures for a given machine or line.</w:t>
            </w:r>
          </w:p>
        </w:tc>
        <w:tc>
          <w:tcPr>
            <w:tcW w:type="pct" w:w="28%"/>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MTBF = Total Operating Time / Number of Failures</w:t>
            </w:r>
          </w:p>
        </w:tc>
        <w:tc>
          <w:tcPr>
            <w:tcW w:type="pct" w:w="12%"/>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Improving MTBF is the primary outcome of an effective TPM programme.</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MTTR (Mean Time To Repair)</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average time taken to restore equipment to operation following a failure, from the moment the fault is reported.</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MTTR = Total Repair Time / Number of Failures</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2 hours or below for critical equipment. Spares availability is the most common driver.</w:t>
            </w:r>
          </w:p>
        </w:tc>
      </w:tr>
    </w:tbl>
    <w:p>
      <w:pPr>
        <w:spacing w:after="0" w:before="80"/>
      </w:pPr>
      <w:r>
        <w:rPr>
          <w:rFonts w:ascii="Arial" w:cs="Arial" w:eastAsia="Arial" w:hAnsi="Arial"/>
          <w:color w:val="5B595A"/>
          <w:sz w:val="22"/>
          <w:szCs w:val="22"/>
        </w:rPr>
        <w:t xml:space="preserve"/>
      </w:r>
    </w:p>
    <w:p>
      <w:pPr>
        <w:shd w:fill="83348F" w:color="83348F" w:val="solid"/>
        <w:spacing w:after="80" w:before="200"/>
        <w:ind w:left="120"/>
      </w:pPr>
      <w:r>
        <w:rPr>
          <w:rFonts w:ascii="Arial" w:cs="Arial" w:eastAsia="Arial" w:hAnsi="Arial"/>
          <w:b/>
          <w:bCs/>
          <w:color w:val="FFFFFF"/>
          <w:sz w:val="26"/>
          <w:szCs w:val="26"/>
        </w:rPr>
        <w:t xml:space="preserve">7.4  Supplier Performance</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A company is only as reliable as its own supply chain. Nuclear customers will ask how you measure and manage the performance of your suppliers in the same way they measure you. These KPIs feed the Quality pillar of SQDCP: an incoming material problem from a supplier that is not caught becomes your NCR.</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60"/>
        </w:tblCellMar>
      </w:tblPr>
      <w:tblGrid>
        <w:gridCol w:w="100"/>
        <w:gridCol w:w="100"/>
        <w:gridCol w:w="100"/>
        <w:gridCol w:w="100"/>
      </w:tblGrid>
      <w:tr>
        <w:tc>
          <w:tcPr>
            <w:tcW w:type="pct" w:w="20%"/>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8%"/>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83348F" w:color="83348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0%"/>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Supplier OTIF</w:t>
            </w:r>
          </w:p>
        </w:tc>
        <w:tc>
          <w:tcPr>
            <w:tcW w:type="pct" w:w="40%"/>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supplier deliveries received on the agreed date and in the full quantity ordered.</w:t>
            </w:r>
          </w:p>
        </w:tc>
        <w:tc>
          <w:tcPr>
            <w:tcW w:type="pct" w:w="28%"/>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Supplier OTIF = Deliveries On Time and In Full / Total Deliveries Due x 100</w:t>
            </w:r>
          </w:p>
        </w:tc>
        <w:tc>
          <w:tcPr>
            <w:tcW w:type="pct" w:w="12%"/>
            <w:shd w:fill="F3EAF4" w:color="F3EAF4"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Higher is better. Target 95% or above, mirroring the standard you are held to by your own customers.</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Incoming Inspection Reject Rate</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incoming material or components rejected at goods-in inspection due to non-conformance.</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Reject Rate = Batches Rejected at Goods-In / Total Batches Received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1% or below. A rising trend should trigger a supplier review, not just a returned batch.</w:t>
            </w:r>
          </w:p>
        </w:tc>
      </w:tr>
    </w:tbl>
    <w:p>
      <w:pPr>
        <w:spacing w:after="0" w:before="80"/>
      </w:pPr>
      <w:r>
        <w:rPr>
          <w:rFonts w:ascii="Arial" w:cs="Arial" w:eastAsia="Arial" w:hAnsi="Arial"/>
          <w:color w:val="5B595A"/>
          <w:sz w:val="22"/>
          <w:szCs w:val="22"/>
        </w:rPr>
        <w:t xml:space="preserve"/>
      </w:r>
    </w:p>
    <w:p>
      <w:pPr>
        <w:shd w:fill="0D7377" w:color="0D7377" w:val="solid"/>
        <w:spacing w:after="80" w:before="200"/>
        <w:ind w:left="120"/>
      </w:pPr>
      <w:r>
        <w:rPr>
          <w:rFonts w:ascii="Arial" w:cs="Arial" w:eastAsia="Arial" w:hAnsi="Arial"/>
          <w:b/>
          <w:bCs/>
          <w:color w:val="FFFFFF"/>
          <w:sz w:val="26"/>
          <w:szCs w:val="26"/>
        </w:rPr>
        <w:t xml:space="preserve">7.5  Capacity, New Product Introduction, and Sustainability</w:t>
      </w:r>
    </w:p>
    <w:p>
      <w:pPr>
        <w:spacing w:after="0" w:before="6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These final three KPIs are increasingly relevant to nuclear and SMR programme customers, particularly as the sector places greater emphasis on environmental performance and as new component types enter production.</w:t>
      </w:r>
    </w:p>
    <w:p>
      <w:pPr>
        <w:spacing w:after="0" w:before="6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c>
          <w:tcPr>
            <w:tcW w:type="pct" w:w="20%"/>
            <w:shd w:fill="0D7377" w:color="0D7377"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KPI</w:t>
            </w:r>
          </w:p>
        </w:tc>
        <w:tc>
          <w:tcPr>
            <w:tcW w:type="pct" w:w="40%"/>
            <w:shd w:fill="0D7377" w:color="0D7377"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Definition</w:t>
            </w:r>
          </w:p>
        </w:tc>
        <w:tc>
          <w:tcPr>
            <w:tcW w:type="pct" w:w="28%"/>
            <w:shd w:fill="0D7377" w:color="0D7377"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Formula</w:t>
            </w:r>
          </w:p>
        </w:tc>
        <w:tc>
          <w:tcPr>
            <w:tcW w:type="pct" w:w="12%"/>
            <w:shd w:fill="0D7377" w:color="0D7377"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Good Direction</w:t>
            </w:r>
          </w:p>
        </w:tc>
      </w:tr>
      <w:tr>
        <w:tc>
          <w:tcPr>
            <w:tcW w:type="pct" w:w="20%"/>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Capacity Utilisation</w:t>
            </w:r>
          </w:p>
        </w:tc>
        <w:tc>
          <w:tcPr>
            <w:tcW w:type="pct" w:w="40%"/>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proportion of available production capacity that is actually being used to produce output.</w:t>
            </w:r>
          </w:p>
        </w:tc>
        <w:tc>
          <w:tcPr>
            <w:tcW w:type="pct" w:w="28%"/>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Capacity Utilisation = Actual Output / Maximum Possible Output x 100</w:t>
            </w:r>
          </w:p>
        </w:tc>
        <w:tc>
          <w:tcPr>
            <w:tcW w:type="pct" w:w="12%"/>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 target range, not simply higher. 75-90% balances efficiency against the flexibility to absorb new orders. Above 90% sustained leaves no room to respond to demand changes.</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New Product Introduction (NPI) Lead Time</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time taken from design release or first order receipt for a new part to the first conforming production unit being delivered.</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NPI Lead Time = Date of First Conforming Delivery - Date of Design Release (in days)</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30 days or below for a typical machined component. Long NPI lead times limit a company's ability to win new SMR-300 work.</w:t>
            </w:r>
          </w:p>
        </w:tc>
      </w:tr>
      <w:tr>
        <w:tc>
          <w:tcPr>
            <w:tcW w:type="pct" w:w="20%"/>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Energy Use per Unit</w:t>
            </w:r>
          </w:p>
        </w:tc>
        <w:tc>
          <w:tcPr>
            <w:tcW w:type="pct" w:w="40%"/>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Energy consumption attributable to production, expressed per unit of output, used to track efficiency and carbon footprint.</w:t>
            </w:r>
          </w:p>
        </w:tc>
        <w:tc>
          <w:tcPr>
            <w:tcW w:type="pct" w:w="28%"/>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Energy per Unit = Total Energy Consumed (kWh) / Units Produced</w:t>
            </w:r>
          </w:p>
        </w:tc>
        <w:tc>
          <w:tcPr>
            <w:tcW w:type="pct" w:w="12%"/>
            <w:shd w:fill="E0F7F7" w:color="E0F7F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against your own baseline. Establish a baseline first; absolute targets depend on process type.</w:t>
            </w:r>
          </w:p>
        </w:tc>
      </w:tr>
      <w:tr>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Waste to Landfill</w:t>
            </w:r>
          </w:p>
        </w:tc>
        <w:tc>
          <w:tcPr>
            <w:tcW w:type="pct" w:w="4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percentage of total waste generated by the business that is sent to landfill rather than recycled, reused, or recovered.</w:t>
            </w:r>
          </w:p>
        </w:tc>
        <w:tc>
          <w:tcPr>
            <w:tcW w:type="pct" w:w="28%"/>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Waste to Landfill = Waste Sent to Landfill / Total Waste Generated x 100</w:t>
            </w:r>
          </w:p>
        </w:tc>
        <w:tc>
          <w:tcPr>
            <w:tcW w:type="pct" w:w="12%"/>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Lower is better. Target 5% or below. Increasingly part of nuclear customer ESG reporting requirements passed down the supply chain.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tblGrid>
      <w:tr>
        <w:tc>
          <w:tcPr>
            <w:shd w:fill="0D7377" w:color="0D7377" w:val="solid"/>
            <w:tcMar>
              <w:top w:type="dxa" w:w="80"/>
              <w:left w:type="dxa" w:w="160"/>
              <w:bottom w:type="dxa" w:w="80"/>
              <w:right w:type="dxa" w:w="160"/>
            </w:tcMar>
          </w:tcPr>
          <w:p>
            <w:pPr>
              <w:spacing w:after="60" w:before="60"/>
            </w:pPr>
            <w:r>
              <w:rPr>
                <w:rFonts w:ascii="Arial" w:cs="Arial" w:eastAsia="Arial" w:hAnsi="Arial"/>
                <w:b/>
                <w:bCs/>
                <w:color w:val="FFFFFF"/>
                <w:sz w:val="22"/>
                <w:szCs w:val="22"/>
              </w:rPr>
              <w:t xml:space="preserve">How these KPIs relate to SQDCP</w:t>
            </w:r>
          </w:p>
        </w:tc>
      </w:tr>
      <w:tr>
        <w:tc>
          <w:tcPr>
            <w:tcBorders>
              <w:top w:val="single" w:color="0D7377" w:sz="6"/>
              <w:left w:val="single" w:color="0D7377" w:sz="12"/>
              <w:bottom w:val="none"/>
              <w:right w:val="none"/>
            </w:tcBorders>
            <w:shd w:fill="F8F8F8" w:color="F8F8F8" w:val="solid"/>
            <w:tcMar>
              <w:top w:type="dxa" w:w="80"/>
              <w:left w:type="dxa" w:w="160"/>
              <w:bottom w:type="dxa" w:w="80"/>
              <w:right w:type="dxa" w:w="160"/>
            </w:tcMar>
          </w:tcPr>
          <w:p>
            <w:pPr>
              <w:spacing w:after="60" w:before="60"/>
            </w:pPr>
            <w:r>
              <w:rPr>
                <w:rFonts w:ascii="Arial" w:cs="Arial" w:eastAsia="Arial" w:hAnsi="Arial"/>
                <w:color w:val="5B595A"/>
                <w:sz w:val="22"/>
                <w:szCs w:val="22"/>
              </w:rPr>
              <w:t xml:space="preserve">These operational KPIs are not a replacement for SQDCP. They are the supporting detail that explains the headline pillars. OEE and Maintenance metrics explain Cost performance. Inventory and Capacity explain Delivery performance. Supplier metrics explain Quality performance.</w:t>
            </w:r>
          </w:p>
          <w:p>
            <w:pPr>
              <w:spacing w:after="60" w:before="60"/>
            </w:pPr>
            <w:r>
              <w:rPr>
                <w:rFonts w:ascii="Arial" w:cs="Arial" w:eastAsia="Arial" w:hAnsi="Arial"/>
                <w:color w:val="5B595A"/>
                <w:sz w:val="22"/>
                <w:szCs w:val="22"/>
              </w:rPr>
              <w:t xml:space="preserve">A practical approach: keep the SQDCP board as the primary shopfloor visual, and use the Operational KPIs sheet as the supporting analysis reviewed at the monthly KPI review meeting when Cost or Delivery KPIs are off target and the root cause needs investigating.</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8  |  Performance Measurement Maturity Model</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Use this model to understand where your current performance measurement system sits and what good looks like at each level. The F4N assessment is looking for a company operating at Level 3 or above, with evidence of progression towards Level 4 or 5.</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gridCol w:w="100"/>
      </w:tblGrid>
      <w:tr>
        <w:tc>
          <w:tcPr>
            <w:tcW w:type="pct" w:w="10%"/>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Level</w:t>
            </w:r>
          </w:p>
        </w:tc>
        <w:tc>
          <w:tcPr>
            <w:tcW w:type="pct" w:w="22%"/>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Description</w:t>
            </w:r>
          </w:p>
        </w:tc>
        <w:tc>
          <w:tcPr>
            <w:tcW w:type="pct" w:w="36%"/>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What It Looks Like</w:t>
            </w:r>
          </w:p>
        </w:tc>
        <w:tc>
          <w:tcPr>
            <w:tcW w:type="pct" w:w="32%"/>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What Is Missing</w:t>
            </w:r>
          </w:p>
        </w:tc>
      </w:tr>
      <w:tr>
        <w:tc>
          <w:tcPr>
            <w:tcW w:type="pct" w:w="10%"/>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0
No system</w:t>
            </w:r>
          </w:p>
        </w:tc>
        <w:tc>
          <w:tcPr>
            <w:tcW w:type="pct" w:w="2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Performance data is collected informally or not at all. No regular review process. Managers rely on experience and gut feel.</w:t>
            </w:r>
          </w:p>
        </w:tc>
        <w:tc>
          <w:tcPr>
            <w:tcW w:type="pct" w:w="36%"/>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Sales figures known from invoices. Quality problems addressed when customers complain. No visible KPI board.</w:t>
            </w:r>
          </w:p>
        </w:tc>
        <w:tc>
          <w:tcPr>
            <w:tcW w:type="pct" w:w="32%"/>
            <w:shd w:fill="FEE2E2" w:color="FEE2E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Everything. Start here: choose three KPIs, set targets, and display them.</w:t>
            </w:r>
          </w:p>
        </w:tc>
      </w:tr>
      <w:tr>
        <w:tc>
          <w:tcPr>
            <w:tcW w:type="pct" w:w="1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
Ad hoc</w:t>
            </w:r>
          </w:p>
        </w:tc>
        <w:tc>
          <w:tcPr>
            <w:tcW w:type="pct" w:w="2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Some data collected but inconsistently. No standard format. Review happens when something goes wrong.</w:t>
            </w:r>
          </w:p>
        </w:tc>
        <w:tc>
          <w:tcPr>
            <w:tcW w:type="pct" w:w="3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End-of-month financial summary emailed to management. Quality NCR log maintained by the quality manager in a spreadsheet nobody else sees.</w:t>
            </w:r>
          </w:p>
        </w:tc>
        <w:tc>
          <w:tcPr>
            <w:tcW w:type="pct" w:w="3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Consistency, visibility, and a regular review process with actions.</w:t>
            </w:r>
          </w:p>
        </w:tc>
      </w:tr>
      <w:tr>
        <w:tc>
          <w:tcPr>
            <w:tcW w:type="pct" w:w="10%"/>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2
Structured</w:t>
            </w:r>
          </w:p>
        </w:tc>
        <w:tc>
          <w:tcPr>
            <w:tcW w:type="pct" w:w="22%"/>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KPIs defined for key areas. Dashboard or board exists. Monthly review meeting in place. Actions recorded but not always followed up.</w:t>
            </w:r>
          </w:p>
        </w:tc>
        <w:tc>
          <w:tcPr>
            <w:tcW w:type="pct" w:w="36%"/>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SQDCP board on the wall. Monthly meeting happens most months. Some KPIs are understood by operators, others are not. Actions raised but not always closed.</w:t>
            </w:r>
          </w:p>
        </w:tc>
        <w:tc>
          <w:tcPr>
            <w:tcW w:type="pct" w:w="32%"/>
            <w:shd w:fill="FEF3C7" w:color="FEF3C7"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Consistent execution, operator understanding, and a closed-loop action process.</w:t>
            </w:r>
          </w:p>
        </w:tc>
      </w:tr>
      <w:tr>
        <w:tc>
          <w:tcPr>
            <w:tcW w:type="pct" w:w="10%"/>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3
Visible and engaged</w:t>
            </w:r>
          </w:p>
        </w:tc>
        <w:tc>
          <w:tcPr>
            <w:tcW w:type="pct" w:w="2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All SQDCP KPIs tracked. Board updated consistently. All employees can explain their area's KPIs. Review meeting generates CSIP projects. Actions are closed on time.</w:t>
            </w:r>
          </w:p>
        </w:tc>
        <w:tc>
          <w:tcPr>
            <w:tcW w:type="pct" w:w="36%"/>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Operators briefed daily at the board. Monthly meeting generates 2 to 3 CSIP items per year. Issues Log maintained and reviewed. KPI trend is improving across pillars.</w:t>
            </w:r>
          </w:p>
        </w:tc>
        <w:tc>
          <w:tcPr>
            <w:tcW w:type="pct" w:w="32%"/>
            <w:shd w:fill="E8F5EE" w:color="E8F5EE"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This is the F4N assessment target. Above this level represents world-class practice.</w:t>
            </w:r>
          </w:p>
        </w:tc>
      </w:tr>
      <w:tr>
        <w:tc>
          <w:tcPr>
            <w:tcW w:type="pct" w:w="10%"/>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4
Predictive</w:t>
            </w:r>
          </w:p>
        </w:tc>
        <w:tc>
          <w:tcPr>
            <w:tcW w:type="pct" w:w="2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KPIs are leading as well as lagging. Trends are analysed statistically. Improvement projects are proactive, not reactive. Benchmark against industry peers.</w:t>
            </w:r>
          </w:p>
        </w:tc>
        <w:tc>
          <w:tcPr>
            <w:tcW w:type="pct" w:w="36%"/>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SPC charts in place for critical quality characteristics. Leading safety indicators (near miss rate, observation rate) receive equal attention to LTI. CSIP driven by trend analysis, not just misses.</w:t>
            </w:r>
          </w:p>
        </w:tc>
        <w:tc>
          <w:tcPr>
            <w:tcW w:type="pct" w:w="32%"/>
            <w:shd w:fill="E0F4FD" w:color="E0F4FD"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Genuine statistical process thinking and benchmarking capability. Requires investment in data systems.</w:t>
            </w:r>
          </w:p>
        </w:tc>
      </w:tr>
      <w:tr>
        <w:tc>
          <w:tcPr>
            <w:tcW w:type="pct" w:w="1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5
Self-improving</w:t>
            </w:r>
          </w:p>
        </w:tc>
        <w:tc>
          <w:tcPr>
            <w:tcW w:type="pct" w:w="2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Performance measurement is embedded in daily work. Operators own their KPIs, generate improvement ideas, and measure the impact of their own changes. Data drives strategy.</w:t>
            </w:r>
          </w:p>
        </w:tc>
        <w:tc>
          <w:tcPr>
            <w:tcW w:type="pct" w:w="3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Operators update their own section of the board. Improvement ideas are measured for impact before and after. Annual strategy review uses KPI trend data as its primary input.</w:t>
            </w:r>
          </w:p>
        </w:tc>
        <w:tc>
          <w:tcPr>
            <w:tcW w:type="pct" w:w="3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Reserved for organisations with 5 to 10 years of sustained CI practice.</w:t>
            </w:r>
          </w:p>
        </w:tc>
      </w:tr>
    </w:tbl>
    <w:p>
      <w:pPr>
        <w:spacing w:after="0" w:before="160"/>
      </w:pPr>
      <w:r>
        <w:rPr>
          <w:rFonts w:ascii="Arial" w:cs="Arial" w:eastAsia="Arial" w:hAnsi="Arial"/>
          <w:color w:val="5B595A"/>
          <w:sz w:val="22"/>
          <w:szCs w:val="22"/>
        </w:rPr>
        <w:t xml:space="preserve"/>
      </w:r>
    </w:p>
    <w:p>
      <w:r>
        <w:br w:type="page"/>
      </w:r>
    </w:p>
    <w:p>
      <w:pPr>
        <w:shd w:fill="009FE3" w:color="009FE3" w:val="solid"/>
        <w:spacing w:after="120" w:before="240"/>
        <w:ind w:left="160" w:right="160"/>
      </w:pPr>
      <w:r>
        <w:rPr>
          <w:rFonts w:ascii="Arial" w:cs="Arial" w:eastAsia="Arial" w:hAnsi="Arial"/>
          <w:b/>
          <w:bCs/>
          <w:color w:val="FFFFFF"/>
          <w:sz w:val="32"/>
          <w:szCs w:val="32"/>
        </w:rPr>
        <w:t xml:space="preserve">9  |  Implementation Checklist</w:t>
      </w:r>
    </w:p>
    <w:p>
      <w:pPr>
        <w:spacing w:after="0" w:before="80"/>
      </w:pPr>
      <w:r>
        <w:rPr>
          <w:rFonts w:ascii="Arial" w:cs="Arial" w:eastAsia="Arial" w:hAnsi="Arial"/>
          <w:color w:val="5B595A"/>
          <w:sz w:val="22"/>
          <w:szCs w:val="22"/>
        </w:rPr>
        <w:t xml:space="preserve"/>
      </w:r>
    </w:p>
    <w:p>
      <w:pPr>
        <w:spacing w:after="80" w:before="80"/>
        <w:ind w:left="160"/>
      </w:pPr>
      <w:r>
        <w:rPr>
          <w:rFonts w:ascii="Arial" w:cs="Arial" w:eastAsia="Arial" w:hAnsi="Arial"/>
          <w:color w:val="5B595A"/>
          <w:sz w:val="22"/>
          <w:szCs w:val="22"/>
        </w:rPr>
        <w:t xml:space="preserve">Use this checklist to confirm your performance measurement system meets the minimum standard for F4N assessment readiness. Tick each item only when evidence exists, not when the plan is in place.</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00"/>
        <w:gridCol w:w="100"/>
        <w:gridCol w:w="100"/>
      </w:tblGrid>
      <w:tr>
        <w:tc>
          <w:tcPr>
            <w:tcW w:type="pct" w:w="6%"/>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w:t>
            </w:r>
          </w:p>
        </w:tc>
        <w:tc>
          <w:tcPr>
            <w:tcW w:type="pct" w:w="74%"/>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Requirement</w:t>
            </w:r>
          </w:p>
        </w:tc>
        <w:tc>
          <w:tcPr>
            <w:tcW w:type="pct" w:w="20%"/>
            <w:shd w:fill="1E3A5F" w:color="1E3A5F"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Status</w:t>
            </w:r>
          </w:p>
        </w:tc>
      </w:tr>
      <w:tr>
        <w:tc>
          <w:tcPr>
            <w:tcW w:type="pct" w:w="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w:t>
            </w:r>
          </w:p>
        </w:tc>
        <w:tc>
          <w:tcPr>
            <w:tcW w:type="pct" w:w="7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KPIs have been selected for all five SQDCP pillars. At minimum: LTI, FPY, OTIF, Revenue vs Target, and Absence Rate.</w:t>
            </w:r>
          </w:p>
        </w:tc>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2</w:t>
            </w:r>
          </w:p>
        </w:tc>
        <w:tc>
          <w:tcPr>
            <w:tcW w:type="pct" w:w="7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Targets have been set for each KPI and documented. Targets are realistic and reviewed at least annually.</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3</w:t>
            </w:r>
          </w:p>
        </w:tc>
        <w:tc>
          <w:tcPr>
            <w:tcW w:type="pct" w:w="7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 KPI board is displayed in the production area, visible to all employees without needing to ask permission.</w:t>
            </w:r>
          </w:p>
        </w:tc>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4</w:t>
            </w:r>
          </w:p>
        </w:tc>
        <w:tc>
          <w:tcPr>
            <w:tcW w:type="pct" w:w="7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board is updated at the frequency agreed (daily calendar, monthly run chart and status box).</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5</w:t>
            </w:r>
          </w:p>
        </w:tc>
        <w:tc>
          <w:tcPr>
            <w:tcW w:type="pct" w:w="7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All team members in the production area can explain what each KPI on the board measures and what the current target is.</w:t>
            </w:r>
          </w:p>
        </w:tc>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6</w:t>
            </w:r>
          </w:p>
        </w:tc>
        <w:tc>
          <w:tcPr>
            <w:tcW w:type="pct" w:w="7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 monthly KPI review meeting is scheduled on a fixed date, attended by pillar owners and the production manager.</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7</w:t>
            </w:r>
          </w:p>
        </w:tc>
        <w:tc>
          <w:tcPr>
            <w:tcW w:type="pct" w:w="7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Meeting minutes or an action log records all actions raised, with owner, due date, and CSIP reference where applicable.</w:t>
            </w:r>
          </w:p>
        </w:tc>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8</w:t>
            </w:r>
          </w:p>
        </w:tc>
        <w:tc>
          <w:tcPr>
            <w:tcW w:type="pct" w:w="7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Issues and Action Log is maintained with entries for every KPI miss, each with a root cause and an action.</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9</w:t>
            </w:r>
          </w:p>
        </w:tc>
        <w:tc>
          <w:tcPr>
            <w:tcW w:type="pct" w:w="7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At least one CSIP project can be traced directly to a KPI that missed target.</w:t>
            </w:r>
          </w:p>
        </w:tc>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10</w:t>
            </w:r>
          </w:p>
        </w:tc>
        <w:tc>
          <w:tcPr>
            <w:tcW w:type="pct" w:w="7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KPI trend data (last 6 to 12 months) is available to show to an assessor or customer.</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11</w:t>
            </w:r>
          </w:p>
        </w:tc>
        <w:tc>
          <w:tcPr>
            <w:tcW w:type="pct" w:w="74%"/>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performance measurement process is documented (e.g., in a procedure or the Operations Manual).</w:t>
            </w:r>
          </w:p>
        </w:tc>
        <w:tc>
          <w:tcPr>
            <w:tcW w:type="pct" w:w="20%"/>
            <w:shd w:fill="FFFFFF" w:color="FFFFFF"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r>
        <w:tc>
          <w:tcPr>
            <w:tcW w:type="pct" w:w="6%"/>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12</w:t>
            </w:r>
          </w:p>
        </w:tc>
        <w:tc>
          <w:tcPr>
            <w:tcW w:type="pct" w:w="74%"/>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The board and KPI data have been reviewed in the last calendar month.</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
            </w:r>
          </w:p>
        </w:tc>
      </w:tr>
    </w:tbl>
    <w:p>
      <w:pPr>
        <w:spacing w:after="0" w:before="160"/>
      </w:pPr>
      <w:r>
        <w:rPr>
          <w:rFonts w:ascii="Arial" w:cs="Arial" w:eastAsia="Arial" w:hAnsi="Arial"/>
          <w:color w:val="5B595A"/>
          <w:sz w:val="22"/>
          <w:szCs w:val="22"/>
        </w:rPr>
        <w:t xml:space="preserve"/>
      </w:r>
    </w:p>
    <w:p>
      <w:pPr>
        <w:shd w:fill="5B595A" w:color="5B595A" w:val="solid"/>
        <w:spacing w:after="80" w:before="200"/>
        <w:ind w:left="120"/>
      </w:pPr>
      <w:r>
        <w:rPr>
          <w:rFonts w:ascii="Arial" w:cs="Arial" w:eastAsia="Arial" w:hAnsi="Arial"/>
          <w:b/>
          <w:bCs/>
          <w:color w:val="FFFFFF"/>
          <w:sz w:val="26"/>
          <w:szCs w:val="26"/>
        </w:rPr>
        <w:t xml:space="preserve">Document History</w:t>
      </w:r>
    </w:p>
    <w:p>
      <w:pPr>
        <w:spacing w:after="0" w:before="80"/>
      </w:pPr>
      <w:r>
        <w:rPr>
          <w:rFonts w:ascii="Arial" w:cs="Arial" w:eastAsia="Arial" w:hAnsi="Arial"/>
          <w:color w:val="5B595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00"/>
        <w:gridCol w:w="100"/>
        <w:gridCol w:w="100"/>
        <w:gridCol w:w="100"/>
      </w:tblGrid>
      <w:tr>
        <w:tc>
          <w:tcPr>
            <w:tcW w:type="pct" w:w="12%"/>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Version</w:t>
            </w:r>
          </w:p>
        </w:tc>
        <w:tc>
          <w:tcPr>
            <w:tcW w:type="pct" w:w="18%"/>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Date</w:t>
            </w:r>
          </w:p>
        </w:tc>
        <w:tc>
          <w:tcPr>
            <w:tcW w:type="pct" w:w="50%"/>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Description</w:t>
            </w:r>
          </w:p>
        </w:tc>
        <w:tc>
          <w:tcPr>
            <w:tcW w:type="pct" w:w="20%"/>
            <w:shd w:fill="5B595A" w:color="5B595A" w:val="solid"/>
            <w:tcMar>
              <w:top w:type="dxa" w:w="60"/>
              <w:left w:type="dxa" w:w="120"/>
              <w:bottom w:type="dxa" w:w="60"/>
              <w:right w:type="dxa" w:w="120"/>
            </w:tcMar>
          </w:tcPr>
          <w:p>
            <w:pPr>
              <w:spacing w:after="60" w:before="60"/>
            </w:pPr>
            <w:r>
              <w:rPr>
                <w:rFonts w:ascii="Arial" w:cs="Arial" w:eastAsia="Arial" w:hAnsi="Arial"/>
                <w:b/>
                <w:bCs/>
                <w:color w:val="FFFFFF"/>
                <w:sz w:val="20"/>
                <w:szCs w:val="20"/>
              </w:rPr>
              <w:t xml:space="preserve">Prepared By</w:t>
            </w:r>
          </w:p>
        </w:tc>
      </w:tr>
      <w:tr>
        <w:tc>
          <w:tcPr>
            <w:tcW w:type="pct" w:w="12%"/>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1.0</w:t>
            </w:r>
          </w:p>
        </w:tc>
        <w:tc>
          <w:tcPr>
            <w:tcW w:type="pct" w:w="18%"/>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June 2025</w:t>
            </w:r>
          </w:p>
        </w:tc>
        <w:tc>
          <w:tcPr>
            <w:tcW w:type="pct" w:w="5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Initial release for F4N PE-03 toolkit</w:t>
            </w:r>
          </w:p>
        </w:tc>
        <w:tc>
          <w:tcPr>
            <w:tcW w:type="pct" w:w="20%"/>
            <w:shd w:fill="F2F2F2" w:color="F2F2F2" w:val="solid"/>
            <w:tcMar>
              <w:top w:type="dxa" w:w="40"/>
              <w:left w:type="dxa" w:w="100"/>
              <w:bottom w:type="dxa" w:w="40"/>
              <w:right w:type="dxa" w:w="100"/>
            </w:tcMar>
          </w:tcPr>
          <w:p>
            <w:pPr>
              <w:spacing w:after="40" w:before="40"/>
            </w:pPr>
            <w:r>
              <w:rPr>
                <w:rFonts w:ascii="Arial" w:cs="Arial" w:eastAsia="Arial" w:hAnsi="Arial"/>
                <w:color w:val="5B595A"/>
                <w:sz w:val="22"/>
                <w:szCs w:val="22"/>
              </w:rPr>
              <w:t xml:space="preserve">NucCol Ltd</w:t>
            </w:r>
          </w:p>
        </w:tc>
      </w:tr>
    </w:tbl>
    <w:sectPr>
      <w:headerReference w:type="default" r:id="rId7"/>
      <w:footerReference w:type="default" r:id="rId8"/>
      <w:pgSz w:w="11906" w:h="16838" w:orient="portrait"/>
      <w:pgMar w:top="720" w:right="900" w:bottom="720" w:left="90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7a9b81adb7331e339c7bcef363f38db9c49337d7.jpg"/></Relationships>
</file>

<file path=word/_rels/header1.xml.rels><?xml version='1.0' encoding='UTF-8' standalone='yes'?>
<Relationships xmlns="http://schemas.openxmlformats.org/package/2006/relationships"><Relationship Id="rId0" Type="http://schemas.openxmlformats.org/officeDocument/2006/relationships/image" Target="media/7a9b81adb7331e339c7bcef363f38db9c49337d7.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CC5E24-3144-47F9-8212-7A35A2193CF4}"/>
</file>

<file path=customXml/itemProps2.xml><?xml version="1.0" encoding="utf-8"?>
<ds:datastoreItem xmlns:ds="http://schemas.openxmlformats.org/officeDocument/2006/customXml" ds:itemID="{7D80B5A7-255D-4BC4-8151-0D9D0B6C26AA}"/>
</file>

<file path=customXml/itemProps3.xml><?xml version="1.0" encoding="utf-8"?>
<ds:datastoreItem xmlns:ds="http://schemas.openxmlformats.org/officeDocument/2006/customXml" ds:itemID="{12060889-BBD5-4B53-8302-711B71B0684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PE-03c Training Guide Performance Measurement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