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b/>
          <w:bCs/>
          <w:color w:val="009FE3"/>
          <w:sz w:val="44"/>
          <w:szCs w:val="44"/>
        </w:rPr>
        <w:t xml:space="preserve">PLANNED MAINTENANCE &amp;</w:t>
      </w:r>
    </w:p>
    <w:p>
      <w:pPr>
        <w:spacing w:after="400"/>
      </w:pPr>
      <w:r>
        <w:rPr>
          <w:b/>
          <w:bCs/>
          <w:color w:val="009FE3"/>
          <w:sz w:val="44"/>
          <w:szCs w:val="44"/>
        </w:rPr>
        <w:t xml:space="preserve">MACHINE AVAILABILITY</w:t>
      </w:r>
    </w:p>
    <w:p>
      <w:pPr>
        <w:spacing w:after="200"/>
      </w:pPr>
      <w:r>
        <w:rPr>
          <w:color w:val="83348F"/>
          <w:sz w:val="28"/>
          <w:szCs w:val="28"/>
        </w:rPr>
        <w:t xml:space="preserve">Policy and Procedure</w:t>
      </w:r>
    </w:p>
    <w:p>
      <w:pPr>
        <w:spacing w:after="1600"/>
      </w:pPr>
      <w:r>
        <w:rPr>
          <w:i/>
          <w:iCs/>
          <w:color w:val="5B595A"/>
          <w:sz w:val="22"/>
          <w:szCs w:val="22"/>
        </w:rPr>
        <w:t xml:space="preserve">F4N Process Excellence Toolkit | Reference: PE-04a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b/>
                <w:bCs/>
                <w:color w:val="FFFFFF"/>
              </w:rPr>
              <w:t xml:space="preserve">Document Title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Planned Maintenance &amp; Machine Availability Policy and Procedure</w:t>
            </w:r>
          </w:p>
        </w:tc>
      </w:tr>
      <w:tr>
        <w:tc>
          <w:tcPr>
            <w:tcW w:type="dxa" w:w="312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b/>
                <w:bCs/>
                <w:color w:val="FFFFFF"/>
              </w:rPr>
              <w:t xml:space="preserve">Document Reference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PE-04a</w:t>
            </w:r>
          </w:p>
        </w:tc>
      </w:tr>
      <w:tr>
        <w:tc>
          <w:tcPr>
            <w:tcW w:type="dxa" w:w="312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b/>
                <w:bCs/>
                <w:color w:val="FFFFFF"/>
              </w:rPr>
              <w:t xml:space="preserve">F4N Category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Process Excellence – Planned Maintenance / Machine Availability</w:t>
            </w:r>
          </w:p>
        </w:tc>
      </w:tr>
      <w:tr>
        <w:tc>
          <w:tcPr>
            <w:tcW w:type="dxa" w:w="312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b/>
                <w:bCs/>
                <w:color w:val="FFFFFF"/>
              </w:rPr>
              <w:t xml:space="preserve">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Maintenance Manager / Engineering Lead</w:t>
            </w:r>
          </w:p>
        </w:tc>
      </w:tr>
      <w:tr>
        <w:tc>
          <w:tcPr>
            <w:tcW w:type="dxa" w:w="3120"/>
            <w:tcBorders>
              <w:top w:val="single" w:color="CCCCCC" w:sz="1"/>
              <w:left w:val="single" w:color="CCCCCC" w:sz="1"/>
              <w:bottom w:val="single" w:color="CCCCCC" w:sz="1"/>
              <w:right w:val="single" w:color="CCCCCC" w:sz="1"/>
            </w:tcBorders>
            <w:shd w:fill="EAF6FD" w:val="clear"/>
            <w:tcMar>
              <w:top w:type="dxa" w:w="80"/>
              <w:left w:type="dxa" w:w="120"/>
              <w:bottom w:type="dxa" w:w="80"/>
              <w:right w:type="dxa" w:w="120"/>
            </w:tcMar>
            <w:vAlign w:val="center"/>
          </w:tcPr>
          <w:p>
            <w:pPr>
              <w:jc w:val="left"/>
            </w:pPr>
            <w:r>
              <w:rPr>
                <w:b/>
                <w:bCs/>
                <w:color w:val="FFFFFF"/>
              </w:rPr>
              <w:t xml:space="preserve">Review Frequency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Annual, or following significant equipment change</w:t>
            </w:r>
          </w:p>
        </w:tc>
      </w:tr>
    </w:tbl>
    <w:p>
      <w:pPr>
        <w:spacing w:after="200" w:before="400"/>
      </w:pPr>
      <w:r>
        <w:rPr>
          <w:b/>
          <w:bCs/>
          <w:color w:val="83348F"/>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3480"/>
      </w:tblGrid>
      <w:tr>
        <w:tc>
          <w:tcPr>
            <w:tcW w:type="dxa" w:w="12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rPr>
              <w:t xml:space="preserve">Version</w:t>
            </w:r>
          </w:p>
        </w:tc>
        <w:tc>
          <w:tcPr>
            <w:tcW w:type="dxa" w:w="18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rPr>
              <w:t xml:space="preserve">Date</w:t>
            </w:r>
          </w:p>
        </w:tc>
        <w:tc>
          <w:tcPr>
            <w:tcW w:type="dxa" w:w="28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rPr>
              <w:t xml:space="preserve">Author</w:t>
            </w:r>
          </w:p>
        </w:tc>
        <w:tc>
          <w:tcPr>
            <w:tcW w:type="dxa" w:w="348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rPr>
              <w:t xml:space="preserve">Summary of 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[Date]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[Name / Role]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First issue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bl>
    <w:p>
      <w:r>
        <w:br w:type="page"/>
      </w:r>
    </w:p>
    <w:p>
      <w:pPr>
        <w:pStyle w:val="Heading1"/>
      </w:pPr>
      <w:r>
        <w:rPr>
          <w:color w:val="29ABE2"/>
        </w:rPr>
        <w:t xml:space="preserve">1. Purpose and Scope</w:t>
      </w:r>
    </w:p>
    <w:p>
      <w:pPr>
        <w:spacing w:after="160"/>
      </w:pPr>
      <w:r>
        <w:t xml:space="preserve">This procedure defines how [Company Name] plans, executes, records and reviews planned maintenance activities to maximise machine availability, reliability and Overall Equipment Effectiveness (OEE), and to ensure equipment used in the manufacture of nuclear components remains fit for purpose and capable of consistently meeting specification.</w:t>
      </w:r>
    </w:p>
    <w:p>
      <w:pPr>
        <w:spacing w:after="160"/>
      </w:pPr>
      <w:r>
        <w:t xml:space="preserve">It applies to all production equipment, tooling, inspection equipment, lifting equipment and site infrastructure that has the potential to affect product quality, safety, on-time delivery or regulatory compliance.</w:t>
      </w:r>
    </w:p>
    <w:p>
      <w:pPr>
        <w:pStyle w:val="Heading1"/>
      </w:pPr>
      <w:r>
        <w:rPr>
          <w:color w:val="29ABE2"/>
        </w:rPr>
        <w:t xml:space="preserve">2. Policy Statement</w:t>
      </w:r>
    </w:p>
    <w:p>
      <w:pPr>
        <w:spacing w:after="160"/>
      </w:pPr>
      <w:r>
        <w:t xml:space="preserve">[Company Name] is committed to a planned, preventive approach to equipment maintenance, moving away from reactive ‘run to failure’ practices. We will:</w:t>
      </w:r>
    </w:p>
    <w:p>
      <w:pPr>
        <w:pStyle w:val="ListParagraph"/>
        <w:numPr>
          <w:ilvl w:val="0"/>
          <w:numId w:val="2"/>
        </w:numPr>
        <w:spacing w:after="60"/>
      </w:pPr>
      <w:r>
        <w:t xml:space="preserve">Maintain a register of all critical equipment with defined maintenance frequencies based on manufacturer recommendations, criticality, condition and operating history.</w:t>
      </w:r>
    </w:p>
    <w:p>
      <w:pPr>
        <w:pStyle w:val="ListParagraph"/>
        <w:numPr>
          <w:ilvl w:val="0"/>
          <w:numId w:val="2"/>
        </w:numPr>
        <w:spacing w:after="60"/>
      </w:pPr>
      <w:r>
        <w:t xml:space="preserve">Schedule and complete planned maintenance (PM) tasks on time, recording completion and any findings.</w:t>
      </w:r>
    </w:p>
    <w:p>
      <w:pPr>
        <w:pStyle w:val="ListParagraph"/>
        <w:numPr>
          <w:ilvl w:val="0"/>
          <w:numId w:val="2"/>
        </w:numPr>
        <w:spacing w:after="60"/>
      </w:pPr>
      <w:r>
        <w:t xml:space="preserve">Involve production operators in daily equipment checks (Autonomous Maintenance) to detect early signs of deterioration.</w:t>
      </w:r>
    </w:p>
    <w:p>
      <w:pPr>
        <w:pStyle w:val="ListParagraph"/>
        <w:numPr>
          <w:ilvl w:val="0"/>
          <w:numId w:val="2"/>
        </w:numPr>
        <w:spacing w:after="60"/>
      </w:pPr>
      <w:r>
        <w:t xml:space="preserve">Record, investigate and learn from all breakdowns and unplanned downtime.</w:t>
      </w:r>
    </w:p>
    <w:p>
      <w:pPr>
        <w:pStyle w:val="ListParagraph"/>
        <w:numPr>
          <w:ilvl w:val="0"/>
          <w:numId w:val="2"/>
        </w:numPr>
        <w:spacing w:after="60"/>
      </w:pPr>
      <w:r>
        <w:t xml:space="preserve">Measure equipment performance using Overall Equipment Effectiveness (OEE) and act on the results.</w:t>
      </w:r>
    </w:p>
    <w:p>
      <w:pPr>
        <w:pStyle w:val="ListParagraph"/>
        <w:numPr>
          <w:ilvl w:val="0"/>
          <w:numId w:val="2"/>
        </w:numPr>
        <w:spacing w:after="60"/>
      </w:pPr>
      <w:r>
        <w:t xml:space="preserve">Maintain adequate critical spares to avoid maintenance delays.</w:t>
      </w:r>
    </w:p>
    <w:p>
      <w:pPr>
        <w:pStyle w:val="ListParagraph"/>
        <w:numPr>
          <w:ilvl w:val="0"/>
          <w:numId w:val="2"/>
        </w:numPr>
        <w:spacing w:after="60"/>
      </w:pPr>
      <w:r>
        <w:t xml:space="preserve">Review maintenance performance monthly as part of the site Daily Management System / SQDCP review.</w:t>
      </w:r>
    </w:p>
    <w:p>
      <w:pPr>
        <w:pStyle w:val="Heading1"/>
      </w:pPr>
      <w:r>
        <w:rPr>
          <w:color w:val="29ABE2"/>
        </w:rPr>
        <w:t xml:space="preserve">3. Definitions</w:t>
      </w:r>
    </w:p>
    <w:p>
      <w:pPr>
        <w:spacing w:after="160"/>
      </w:pPr>
      <w:r>
        <w:rPr>
          <w:i w:val="false"/>
          <w:iCs w:val="false"/>
        </w:rPr>
        <w:t xml:space="preserve">OEE (Overall Equipment Effectiveness): a measure of how effectively equipment is used, calculated as Availability x Performance x Quality.</w:t>
      </w:r>
    </w:p>
    <w:p>
      <w:pPr>
        <w:pStyle w:val="ListParagraph"/>
        <w:numPr>
          <w:ilvl w:val="0"/>
          <w:numId w:val="2"/>
        </w:numPr>
        <w:spacing w:after="60"/>
      </w:pPr>
      <w:r>
        <w:t xml:space="preserve">Availability – Actual Operating Time ÷ Planned Production Time.</w:t>
      </w:r>
    </w:p>
    <w:p>
      <w:pPr>
        <w:pStyle w:val="ListParagraph"/>
        <w:numPr>
          <w:ilvl w:val="0"/>
          <w:numId w:val="2"/>
        </w:numPr>
        <w:spacing w:after="60"/>
      </w:pPr>
      <w:r>
        <w:t xml:space="preserve">Performance – actual output rate compared to the ideal (design) rate.</w:t>
      </w:r>
    </w:p>
    <w:p>
      <w:pPr>
        <w:pStyle w:val="ListParagraph"/>
        <w:numPr>
          <w:ilvl w:val="0"/>
          <w:numId w:val="2"/>
        </w:numPr>
        <w:spacing w:after="60"/>
      </w:pPr>
      <w:r>
        <w:t xml:space="preserve">Quality – the proportion of good output to total output.</w:t>
      </w:r>
    </w:p>
    <w:p>
      <w:pPr>
        <w:spacing w:after="160"/>
      </w:pPr>
      <w:r>
        <w:t xml:space="preserve">MTBF (Mean Time Between Failures): average operating time between breakdowns, calculated as total running time ÷ number of failures.</w:t>
      </w:r>
    </w:p>
    <w:p>
      <w:pPr>
        <w:spacing w:after="160"/>
      </w:pPr>
      <w:r>
        <w:t xml:space="preserve">MTTR (Mean Time To Repair): average time taken to restore equipment to operation following a breakdown.</w:t>
      </w:r>
    </w:p>
    <w:p>
      <w:pPr>
        <w:spacing w:after="160"/>
      </w:pPr>
      <w:r>
        <w:t xml:space="preserve">Autonomous Maintenance: routine, basic maintenance and inspection tasks carried out by equipment operators (cleaning, lubrication, visual checks, minor adjustments).</w:t>
      </w:r>
    </w:p>
    <w:p>
      <w:pPr>
        <w:spacing w:after="160"/>
      </w:pPr>
      <w:r>
        <w:t xml:space="preserve">Critical Equipment: equipment whose failure would have a high impact on safety, product quality, delivery, or regulatory compliance.</w:t>
      </w:r>
    </w:p>
    <w:p>
      <w:pPr>
        <w:pStyle w:val="Heading1"/>
      </w:pPr>
      <w:r>
        <w:rPr>
          <w:color w:val="29ABE2"/>
        </w:rPr>
        <w:t xml:space="preserve">4. Roles and Responsibilities</w:t>
      </w:r>
    </w:p>
    <w:p>
      <w:pPr>
        <w:spacing w:after="160"/>
      </w:pPr>
      <w:r>
        <w:t xml:space="preserve">The table below defines responsibilities using a RACI model (Responsible, Accountable, Consulted,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c>
          <w:tcPr>
            <w:tcW w:type="dxa" w:w="336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rPr>
              <w:t xml:space="preserve">Activity</w:t>
            </w:r>
          </w:p>
        </w:tc>
        <w:tc>
          <w:tcPr>
            <w:tcW w:type="dxa" w:w="12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sz w:val="18"/>
                <w:szCs w:val="18"/>
              </w:rPr>
              <w:t xml:space="preserve">Operator</w:t>
            </w:r>
          </w:p>
        </w:tc>
        <w:tc>
          <w:tcPr>
            <w:tcW w:type="dxa" w:w="12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sz w:val="18"/>
                <w:szCs w:val="18"/>
              </w:rPr>
              <w:t xml:space="preserve">Maint. Technician</w:t>
            </w:r>
          </w:p>
        </w:tc>
        <w:tc>
          <w:tcPr>
            <w:tcW w:type="dxa" w:w="12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sz w:val="18"/>
                <w:szCs w:val="18"/>
              </w:rPr>
              <w:t xml:space="preserve">Maint. Manager</w:t>
            </w:r>
          </w:p>
        </w:tc>
        <w:tc>
          <w:tcPr>
            <w:tcW w:type="dxa" w:w="12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sz w:val="18"/>
                <w:szCs w:val="18"/>
              </w:rPr>
              <w:t xml:space="preserve">Prod. Manager</w:t>
            </w:r>
          </w:p>
        </w:tc>
        <w:tc>
          <w:tcPr>
            <w:tcW w:type="dxa" w:w="12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sz w:val="18"/>
                <w:szCs w:val="18"/>
              </w:rPr>
              <w:t xml:space="preserve">Site / GM</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Daily operator checks (Autonomous Maintenance)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PM schedule planning &amp; resourcing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I</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Carrying out scheduled PM tasks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Logging breakdowns and downtime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Root cause analysis on repeat failures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I</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Spares stock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OEE / KPI review and reporting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I</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Capital replacement / Early Equipment Management decisions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rPr>
              <w:t xml:space="preserve">A/R</w:t>
            </w:r>
          </w:p>
        </w:tc>
      </w:tr>
    </w:tbl>
    <w:p>
      <w:pPr>
        <w:spacing w:before="100"/>
      </w:pPr>
      <w:r>
        <w:br w:type="page"/>
      </w:r>
    </w:p>
    <w:p>
      <w:pPr>
        <w:pStyle w:val="Heading1"/>
      </w:pPr>
      <w:r>
        <w:rPr>
          <w:color w:val="29ABE2"/>
        </w:rPr>
        <w:t xml:space="preserve">5. Asset Register and Criticality Assessment</w:t>
      </w:r>
    </w:p>
    <w:p>
      <w:pPr>
        <w:spacing w:after="160"/>
      </w:pPr>
      <w:r>
        <w:t xml:space="preserve">All equipment within scope is recorded in the Asset Register (PE-04b), which captures asset identification, location, manufacturer details, date installed, criticality rating, maintenance frequency and PM due dates.</w:t>
      </w:r>
    </w:p>
    <w:p>
      <w:pPr>
        <w:spacing w:after="160"/>
      </w:pPr>
      <w:r>
        <w:t xml:space="preserve">Criticality is assessed using the following ratings:</w:t>
      </w:r>
    </w:p>
    <w:p>
      <w:pPr>
        <w:pStyle w:val="ListParagraph"/>
        <w:numPr>
          <w:ilvl w:val="0"/>
          <w:numId w:val="2"/>
        </w:numPr>
        <w:spacing w:after="60"/>
      </w:pPr>
      <w:r>
        <w:t xml:space="preserve">High – failure would stop production, create a safety risk, or directly affect product quality / nuclear safety case requirements. Subject to the highest frequency PM and condition monitoring.</w:t>
      </w:r>
    </w:p>
    <w:p>
      <w:pPr>
        <w:pStyle w:val="ListParagraph"/>
        <w:numPr>
          <w:ilvl w:val="0"/>
          <w:numId w:val="2"/>
        </w:numPr>
        <w:spacing w:after="60"/>
      </w:pPr>
      <w:r>
        <w:t xml:space="preserve">Medium – failure would cause a significant but contained disruption. Standard PM frequency applies.</w:t>
      </w:r>
    </w:p>
    <w:p>
      <w:pPr>
        <w:pStyle w:val="ListParagraph"/>
        <w:numPr>
          <w:ilvl w:val="0"/>
          <w:numId w:val="2"/>
        </w:numPr>
        <w:spacing w:after="60"/>
      </w:pPr>
      <w:r>
        <w:t xml:space="preserve">Low – failure has minimal operational impact. PM may be extended or run-to-failure with monitoring may be acceptable.</w:t>
      </w:r>
    </w:p>
    <w:p>
      <w:pPr>
        <w:spacing w:after="160"/>
      </w:pPr>
      <w:r>
        <w:t xml:space="preserve">New equipment is added to the Asset Register and assigned a criticality rating and PM frequency before being brought into operational use.</w:t>
      </w:r>
    </w:p>
    <w:p>
      <w:pPr>
        <w:pStyle w:val="Heading1"/>
      </w:pPr>
      <w:r>
        <w:rPr>
          <w:color w:val="29ABE2"/>
        </w:rPr>
        <w:t xml:space="preserve">6. Planned Maintenance Scheduling</w:t>
      </w:r>
    </w:p>
    <w:p>
      <w:pPr>
        <w:spacing w:after="160"/>
      </w:pPr>
      <w:r>
        <w:t xml:space="preserve">PM frequencies are set according to manufacturer recommendations, criticality, operating environment and historical reliability data. Typical frequency bands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800"/>
        <w:gridCol w:w="2000"/>
      </w:tblGrid>
      <w:tr>
        <w:tc>
          <w:tcPr>
            <w:tcW w:type="dxa" w:w="156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rPr>
              <w:t xml:space="preserve">Frequency</w:t>
            </w:r>
          </w:p>
        </w:tc>
        <w:tc>
          <w:tcPr>
            <w:tcW w:type="dxa" w:w="58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rPr>
              <w:t xml:space="preserve">Typical Activities</w:t>
            </w:r>
          </w:p>
        </w:tc>
        <w:tc>
          <w:tcPr>
            <w:tcW w:type="dxa" w:w="2000"/>
            <w:tcBorders>
              <w:top w:val="single" w:color="CCCCCC" w:sz="1"/>
              <w:left w:val="single" w:color="CCCCCC" w:sz="1"/>
              <w:bottom w:val="single" w:color="CCCCCC" w:sz="1"/>
              <w:right w:val="single" w:color="CCCCCC" w:sz="1"/>
            </w:tcBorders>
            <w:shd w:fill="009FE3" w:val="clear"/>
            <w:tcMar>
              <w:top w:type="dxa" w:w="80"/>
              <w:left w:type="dxa" w:w="120"/>
              <w:bottom w:type="dxa" w:w="80"/>
              <w:right w:type="dxa" w:w="120"/>
            </w:tcMar>
            <w:vAlign w:val="center"/>
          </w:tcPr>
          <w:p>
            <w:pPr>
              <w:jc w:val="center"/>
            </w:pPr>
            <w:r>
              <w:rPr>
                <w:b/>
                <w:bCs/>
                <w:color w:val="FFFFFF"/>
              </w:rPr>
              <w:t xml:space="preserve">Responsibility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rPr>
              <w:t xml:space="preserve">Daily</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Operator pre-use checks (Autonomous Maintenance): visual inspection, fluid levels, guards, cleanliness, basic function checks.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Production Operator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rPr>
              <w:t xml:space="preserve">Weekly</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Lubrication, belt tension checks, filter inspection, calibration spot-checks on critical gauges.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Maintenance Technician / Operator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rPr>
              <w:t xml:space="preserve">Monthly</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Scheduled servicing per manufacturer recommendations: bearings, electrical connections, safety device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Maintenance Technician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rPr>
              <w:t xml:space="preserve">Quarterly</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Condition monitoring (vibration analysis, thermal imaging where applicable), major component inspection.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Maintenance Technician / Specialist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rPr>
              <w:t xml:space="preserve">Annual</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Full equipment overhaul / statutory inspections (e.g. LOLER, PUWER, PSSR as applicable), calibration certification.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Maintenance Manager / External Specialist</w:t>
            </w:r>
          </w:p>
        </w:tc>
      </w:tr>
    </w:tbl>
    <w:p>
      <w:pPr>
        <w:spacing w:after="160"/>
      </w:pPr>
      <w:r>
        <w:t xml:space="preserve">The 12-month PM Calendar (PE-04b) is generated from the Asset Register and reviewed weekly by the Maintenance Manager. Completed tasks are marked ‘C’; tasks not completed by the due date are marked ‘M’ (missed) and escalated for rescheduling and root cause investigation if recurring.</w:t>
      </w:r>
    </w:p>
    <w:p>
      <w:pPr>
        <w:pStyle w:val="Heading1"/>
      </w:pPr>
      <w:r>
        <w:rPr>
          <w:color w:val="29ABE2"/>
        </w:rPr>
        <w:t xml:space="preserve">7. Autonomous Maintenance (Operator Checks)</w:t>
      </w:r>
    </w:p>
    <w:p>
      <w:pPr>
        <w:spacing w:after="160"/>
      </w:pPr>
      <w:r>
        <w:t xml:space="preserve">Operators carry out daily pre-use and end-of-shift checks on their allocated equipment using the Autonomous Maintenance Checklist (PE-04d). Checks cover cleanliness, fluid/lubrication levels, guards and safety devices, unusual noise/vibration, and general condition.</w:t>
      </w:r>
    </w:p>
    <w:p>
      <w:pPr>
        <w:spacing w:after="160"/>
      </w:pPr>
      <w:r>
        <w:t xml:space="preserve">Any abnormality identified during operator checks is reported immediately to the shift supervisor and logged. Operators are trained on the checks relevant to their equipment as part of induction and ongoing skills development (see PE-04d for training sign-off record).</w:t>
      </w:r>
    </w:p>
    <w:p>
      <w:pPr>
        <w:pStyle w:val="Heading1"/>
      </w:pPr>
      <w:r>
        <w:rPr>
          <w:color w:val="29ABE2"/>
        </w:rPr>
        <w:t xml:space="preserve">8. Breakdown Reporting and Downtime Recording</w:t>
      </w:r>
    </w:p>
    <w:p>
      <w:pPr>
        <w:spacing w:after="160"/>
      </w:pPr>
      <w:r>
        <w:t xml:space="preserve">All unplanned stoppages, regardless of duration, are recorded in the Breakdown &amp; Downtime Log (PE-04b) at the time of occurrence, including:</w:t>
      </w:r>
    </w:p>
    <w:p>
      <w:pPr>
        <w:pStyle w:val="ListParagraph"/>
        <w:numPr>
          <w:ilvl w:val="0"/>
          <w:numId w:val="2"/>
        </w:numPr>
        <w:spacing w:after="60"/>
      </w:pPr>
      <w:r>
        <w:t xml:space="preserve">Date, time down and time back in operation</w:t>
      </w:r>
    </w:p>
    <w:p>
      <w:pPr>
        <w:pStyle w:val="ListParagraph"/>
        <w:numPr>
          <w:ilvl w:val="0"/>
          <w:numId w:val="2"/>
        </w:numPr>
        <w:spacing w:after="60"/>
      </w:pPr>
      <w:r>
        <w:t xml:space="preserve">Equipment affected</w:t>
      </w:r>
    </w:p>
    <w:p>
      <w:pPr>
        <w:pStyle w:val="ListParagraph"/>
        <w:numPr>
          <w:ilvl w:val="0"/>
          <w:numId w:val="2"/>
        </w:numPr>
        <w:spacing w:after="60"/>
      </w:pPr>
      <w:r>
        <w:t xml:space="preserve">Description of the fault</w:t>
      </w:r>
    </w:p>
    <w:p>
      <w:pPr>
        <w:pStyle w:val="ListParagraph"/>
        <w:numPr>
          <w:ilvl w:val="0"/>
          <w:numId w:val="2"/>
        </w:numPr>
        <w:spacing w:after="60"/>
      </w:pPr>
      <w:r>
        <w:t xml:space="preserve">Category of failure (mechanical, electrical, controls/PLC, tooling, operator error, material shortage, other)</w:t>
      </w:r>
    </w:p>
    <w:p>
      <w:pPr>
        <w:pStyle w:val="ListParagraph"/>
        <w:numPr>
          <w:ilvl w:val="0"/>
          <w:numId w:val="2"/>
        </w:numPr>
        <w:spacing w:after="60"/>
      </w:pPr>
      <w:r>
        <w:t xml:space="preserve">Action taken / repair carried out</w:t>
      </w:r>
    </w:p>
    <w:p>
      <w:pPr>
        <w:pStyle w:val="ListParagraph"/>
        <w:numPr>
          <w:ilvl w:val="0"/>
          <w:numId w:val="3"/>
        </w:numPr>
        <w:spacing w:after="60"/>
      </w:pPr>
      <w:r>
        <w:t xml:space="preserve">Breakdowns are reviewed at the daily management meeting.</w:t>
      </w:r>
    </w:p>
    <w:p>
      <w:pPr>
        <w:pStyle w:val="ListParagraph"/>
        <w:numPr>
          <w:ilvl w:val="0"/>
          <w:numId w:val="3"/>
        </w:numPr>
        <w:spacing w:after="60"/>
      </w:pPr>
      <w:r>
        <w:t xml:space="preserve">Repeat failures (same equipment / same fault type occurring more than twice within a rolling 3-month period) trigger a root cause analysis using the methods defined in the F4N Process Improvement toolkit (5 Whys, Fishbone).</w:t>
      </w:r>
    </w:p>
    <w:p>
      <w:pPr>
        <w:pStyle w:val="ListParagraph"/>
        <w:numPr>
          <w:ilvl w:val="0"/>
          <w:numId w:val="3"/>
        </w:numPr>
        <w:spacing w:after="60"/>
      </w:pPr>
      <w:r>
        <w:t xml:space="preserve">Corrective actions from root cause analysis are recorded in the Maintenance Improvement Action Log (PE-04c) and tracked to completion.</w:t>
      </w:r>
    </w:p>
    <w:p>
      <w:pPr>
        <w:pStyle w:val="Heading1"/>
      </w:pPr>
      <w:r>
        <w:rPr>
          <w:color w:val="29ABE2"/>
        </w:rPr>
        <w:t xml:space="preserve">9. Performance Measurement (OEE, MTBF, MTTR)</w:t>
      </w:r>
    </w:p>
    <w:p>
      <w:pPr>
        <w:spacing w:after="160"/>
      </w:pPr>
      <w:r>
        <w:t xml:space="preserve">OEE is calculated monthly for critical equipment using the OEE Dashboard (PE-04b): OEE = Availability x Performance x Quality. The target OEE is 85%, in line with recognised world-class benchmarks for batch/discrete manufacturing.</w:t>
      </w:r>
    </w:p>
    <w:p>
      <w:pPr>
        <w:spacing w:after="160"/>
      </w:pPr>
      <w:r>
        <w:t xml:space="preserve">MTBF and MTTR are tracked monthly via the Maintenance KPI Trend Dashboard (PE-04c) alongside PM compliance, unplanned downtime hours and breakdown cost. Targets are:</w:t>
      </w:r>
    </w:p>
    <w:p>
      <w:pPr>
        <w:pStyle w:val="ListParagraph"/>
        <w:numPr>
          <w:ilvl w:val="0"/>
          <w:numId w:val="2"/>
        </w:numPr>
        <w:spacing w:after="60"/>
      </w:pPr>
      <w:r>
        <w:t xml:space="preserve">PM Compliance: 95% of scheduled tasks completed on time</w:t>
      </w:r>
    </w:p>
    <w:p>
      <w:pPr>
        <w:pStyle w:val="ListParagraph"/>
        <w:numPr>
          <w:ilvl w:val="0"/>
          <w:numId w:val="2"/>
        </w:numPr>
        <w:spacing w:after="60"/>
      </w:pPr>
      <w:r>
        <w:t xml:space="preserve">Overall OEE: 85%</w:t>
      </w:r>
    </w:p>
    <w:p>
      <w:pPr>
        <w:pStyle w:val="ListParagraph"/>
        <w:numPr>
          <w:ilvl w:val="0"/>
          <w:numId w:val="2"/>
        </w:numPr>
        <w:spacing w:after="60"/>
      </w:pPr>
      <w:r>
        <w:t xml:space="preserve">MTBF: increasing trend</w:t>
      </w:r>
    </w:p>
    <w:p>
      <w:pPr>
        <w:pStyle w:val="ListParagraph"/>
        <w:numPr>
          <w:ilvl w:val="0"/>
          <w:numId w:val="2"/>
        </w:numPr>
        <w:spacing w:after="60"/>
      </w:pPr>
      <w:r>
        <w:t xml:space="preserve">MTTR: decreasing trend, target below 3 hours</w:t>
      </w:r>
    </w:p>
    <w:p>
      <w:pPr>
        <w:spacing w:after="160"/>
      </w:pPr>
      <w:r>
        <w:t xml:space="preserve">Performance against these targets is reviewed monthly at the site management review meeting, with RAG status reported and improvement actions assigned where targets are not met.</w:t>
      </w:r>
    </w:p>
    <w:p>
      <w:pPr>
        <w:pStyle w:val="Heading1"/>
      </w:pPr>
      <w:r>
        <w:rPr>
          <w:color w:val="29ABE2"/>
        </w:rPr>
        <w:t xml:space="preserve">10. Spares and Consumables Management</w:t>
      </w:r>
    </w:p>
    <w:p>
      <w:pPr>
        <w:spacing w:after="160"/>
      </w:pPr>
      <w:r>
        <w:t xml:space="preserve">Critical spares for high-criticality equipment are identified and held in stock at or above the minimum stock level defined in the Spares &amp; Consumables tracker (PE-04b). Stock levels and reorder triggers are reviewed monthly, taking into account supplier lead times. Where lead times are long relative to criticality, additional stock holding or alternative supply arrangements are agreed with the Maintenance Manager.</w:t>
      </w:r>
    </w:p>
    <w:p>
      <w:pPr>
        <w:pStyle w:val="Heading1"/>
      </w:pPr>
      <w:r>
        <w:rPr>
          <w:color w:val="29ABE2"/>
        </w:rPr>
        <w:t xml:space="preserve">11. Continuous Improvement and Early Equipment Management</w:t>
      </w:r>
    </w:p>
    <w:p>
      <w:pPr>
        <w:spacing w:after="160"/>
      </w:pPr>
      <w:r>
        <w:t xml:space="preserve">Maintenance data (breakdown trends, OEE results, root cause findings) is used to drive continuous improvement, including: targeted Total Productive Maintenance (TPM) activity on poorly performing equipment; review of PM frequencies and scope based on actual failure patterns; and input to the specification of replacement or new equipment (Early Equipment Management) to design out recurring reliability issues.</w:t>
      </w:r>
    </w:p>
    <w:p>
      <w:pPr>
        <w:pStyle w:val="Heading1"/>
      </w:pPr>
      <w:r>
        <w:rPr>
          <w:color w:val="29ABE2"/>
        </w:rPr>
        <w:t xml:space="preserve">12. Related Documents</w:t>
      </w:r>
    </w:p>
    <w:p>
      <w:pPr>
        <w:pStyle w:val="ListParagraph"/>
        <w:numPr>
          <w:ilvl w:val="0"/>
          <w:numId w:val="2"/>
        </w:numPr>
        <w:spacing w:after="60"/>
      </w:pPr>
      <w:r>
        <w:t xml:space="preserve">PE-04b – Maintenance Schedule &amp; Asset Register (Excel)</w:t>
      </w:r>
    </w:p>
    <w:p>
      <w:pPr>
        <w:pStyle w:val="ListParagraph"/>
        <w:numPr>
          <w:ilvl w:val="0"/>
          <w:numId w:val="2"/>
        </w:numPr>
        <w:spacing w:after="60"/>
      </w:pPr>
      <w:r>
        <w:t xml:space="preserve">PE-04c – Maintenance KPI Trend Dashboard (Excel)</w:t>
      </w:r>
    </w:p>
    <w:p>
      <w:pPr>
        <w:pStyle w:val="ListParagraph"/>
        <w:numPr>
          <w:ilvl w:val="0"/>
          <w:numId w:val="2"/>
        </w:numPr>
        <w:spacing w:after="60"/>
      </w:pPr>
      <w:r>
        <w:t xml:space="preserve">PE-04d – Autonomous Maintenance (Operator Checks) Toolkit</w:t>
      </w:r>
    </w:p>
    <w:p>
      <w:pPr>
        <w:pStyle w:val="ListParagraph"/>
        <w:numPr>
          <w:ilvl w:val="0"/>
          <w:numId w:val="2"/>
        </w:numPr>
        <w:spacing w:after="60"/>
      </w:pPr>
      <w:r>
        <w:t xml:space="preserve">PE-04e – Planned Maintenance &amp; TPM Implementation Guide (presentation)</w:t>
      </w:r>
    </w:p>
    <w:p>
      <w:pPr>
        <w:pStyle w:val="ListParagraph"/>
        <w:numPr>
          <w:ilvl w:val="0"/>
          <w:numId w:val="2"/>
        </w:numPr>
        <w:spacing w:after="60"/>
      </w:pPr>
      <w:r>
        <w:t xml:space="preserve">F4N Evidence Guide – Planned Maintenance / Machine Availability evidence requirements</w:t>
      </w:r>
    </w:p>
    <w:sectPr>
      <w:headerReference w:type="default" r:id="rId7"/>
      <w:footerReference w:type="default" r:id="rId8"/>
      <w:pgSz w:w="12240" w:h="15840" w:orient="portrait"/>
      <w:pgMar w:top="1440" w:right="1440" w:bottom="1440" w:left="144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9FE3"/>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83348F"/>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43be35948e30ca6bea15e86f3b47937e745c25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9B746F-0E7B-4B16-BA46-8BA461AE26A7}"/>
</file>

<file path=customXml/itemProps2.xml><?xml version="1.0" encoding="utf-8"?>
<ds:datastoreItem xmlns:ds="http://schemas.openxmlformats.org/officeDocument/2006/customXml" ds:itemID="{57DF5E16-E9BD-44F6-B83F-1CBCD897CB49}"/>
</file>

<file path=customXml/itemProps3.xml><?xml version="1.0" encoding="utf-8"?>
<ds:datastoreItem xmlns:ds="http://schemas.openxmlformats.org/officeDocument/2006/customXml" ds:itemID="{D40745C4-505B-4968-A71C-BA64A389BF3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PE-04a Planned Maintenance Policy Procedure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