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9FE3" w:val="clear"/>
            <w:tcMar>
              <w:top w:type="dxa" w:w="400"/>
              <w:left w:type="dxa" w:w="400"/>
              <w:bottom w:type="dxa" w:w="400"/>
              <w:right w:type="dxa" w:w="400"/>
            </w:tcMar>
          </w:tcPr>
          <w:p>
            <w:pPr>
              <w:jc w:val="center"/>
            </w:pPr>
            <w:r>
              <w:drawing>
                <wp:inline distT="0" distB="0" distL="0" distR="0">
                  <wp:extent cx="1333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666750"/>
                          </a:xfrm>
                          <a:prstGeom prst="rect">
                            <a:avLst/>
                          </a:prstGeom>
                        </pic:spPr>
                      </pic:pic>
                    </a:graphicData>
                  </a:graphic>
                </wp:inline>
              </w:drawing>
            </w:r>
          </w:p>
          <w:p>
            <w:pPr>
              <w:spacing w:before="180"/>
              <w:jc w:val="center"/>
            </w:pPr>
            <w:r>
              <w:rPr>
                <w:rFonts w:ascii="Arial" w:cs="Arial" w:eastAsia="Arial" w:hAnsi="Arial"/>
                <w:b/>
                <w:bCs/>
                <w:color w:val="FFFFFF"/>
                <w:sz w:val="40"/>
                <w:szCs w:val="40"/>
              </w:rPr>
              <w:t xml:space="preserve">PRODUCTS &amp; SERVICES STRATEGY</w:t>
            </w:r>
          </w:p>
          <w:p>
            <w:pPr>
              <w:jc w:val="center"/>
            </w:pPr>
            <w:r>
              <w:rPr>
                <w:rFonts w:ascii="Arial" w:cs="Arial" w:eastAsia="Arial" w:hAnsi="Arial"/>
                <w:color w:val="FFFFFF"/>
                <w:sz w:val="22"/>
                <w:szCs w:val="22"/>
              </w:rPr>
              <w:t xml:space="preserve">Process Excellence  |  PE-01a</w:t>
            </w:r>
          </w:p>
          <w:p>
            <w:pPr>
              <w:spacing w:before="120"/>
              <w:jc w:val="center"/>
            </w:pPr>
            <w:r>
              <w:rPr>
                <w:rFonts w:ascii="Arial" w:cs="Arial" w:eastAsia="Arial" w:hAnsi="Arial"/>
                <w:i/>
                <w:iCs/>
                <w:color w:val="E0F4FC"/>
                <w:sz w:val="18"/>
                <w:szCs w:val="18"/>
              </w:rPr>
              <w:t xml:space="preserve">[Company Name]  |  Version:      |  Date:      |  Owner:      </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9FE3" w:val="clear"/>
            <w:tcMar>
              <w:top w:type="dxa" w:w="120"/>
              <w:left w:type="dxa" w:w="200"/>
              <w:bottom w:type="dxa" w:w="120"/>
              <w:right w:type="dxa" w:w="200"/>
            </w:tcMar>
          </w:tcPr>
          <w:p>
            <w:r>
              <w:rPr>
                <w:rFonts w:ascii="Arial" w:cs="Arial" w:eastAsia="Arial" w:hAnsi="Arial"/>
                <w:b/>
                <w:bCs/>
                <w:color w:val="FFFFFF"/>
                <w:sz w:val="24"/>
                <w:szCs w:val="24"/>
              </w:rPr>
              <w:t xml:space="preserve">HOW TO USE THIS DOCUMENT</w:t>
            </w:r>
          </w:p>
        </w:tc>
      </w:tr>
    </w:tbl>
    <w:p>
      <w:pPr>
        <w:spacing w:after="100" w:before="100"/>
      </w:pPr>
      <w:r>
        <w:t xml:space="preserve"/>
      </w:r>
    </w:p>
    <w:p>
      <w:pPr>
        <w:spacing w:after="80" w:before="60"/>
      </w:pPr>
      <w:r>
        <w:rPr>
          <w:rFonts w:ascii="Arial" w:cs="Arial" w:eastAsia="Arial" w:hAnsi="Arial"/>
          <w:b w:val="false"/>
          <w:bCs w:val="false"/>
          <w:i w:val="false"/>
          <w:iCs w:val="false"/>
          <w:color w:val="5B595A"/>
          <w:sz w:val="20"/>
          <w:szCs w:val="20"/>
        </w:rPr>
        <w:t xml:space="preserve">This template is designed to be completed by the Senior Leadership Team (SLT) and should be owned by the Managing Director or Operations Director. It is a working strategy document, not a marketing document. It should be honest, specific, and directly connected to the day-to-day running of the business.</w:t>
      </w:r>
    </w:p>
    <w:p>
      <w:pPr>
        <w:spacing w:after="100" w:before="100"/>
      </w:pPr>
      <w:r>
        <w:t xml:space="preserve"/>
      </w:r>
    </w:p>
    <w:p>
      <w:pPr>
        <w:spacing w:after="80" w:before="60"/>
      </w:pPr>
      <w:r>
        <w:rPr>
          <w:rFonts w:ascii="Arial" w:cs="Arial" w:eastAsia="Arial" w:hAnsi="Arial"/>
          <w:b w:val="false"/>
          <w:bCs w:val="false"/>
          <w:i w:val="false"/>
          <w:iCs w:val="false"/>
          <w:color w:val="5B595A"/>
          <w:sz w:val="20"/>
          <w:szCs w:val="20"/>
        </w:rPr>
        <w:t xml:space="preserve">Complete each section in turn. Where example text is shown in italics, replace it with content specific to your organisation. The strategy should be reviewed and updated at least quarterly, or whenever there is a significant change in market conditions, customer requirements, or business direction.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3348F" w:sz="8"/>
              <w:left w:val="single" w:color="83348F" w:sz="8"/>
              <w:bottom w:val="none"/>
              <w:right w:val="none"/>
            </w:tcBorders>
            <w:shd w:fill="F3EAF4" w:val="clear"/>
            <w:tcMar>
              <w:top w:type="dxa" w:w="140"/>
              <w:left w:type="dxa" w:w="200"/>
              <w:bottom w:type="dxa" w:w="140"/>
              <w:right w:type="dxa" w:w="200"/>
            </w:tcMar>
          </w:tcPr>
          <w:p>
            <w:pPr>
              <w:spacing w:after="60" w:before="0"/>
            </w:pPr>
            <w:r>
              <w:rPr>
                <w:rFonts w:ascii="Arial" w:cs="Arial" w:eastAsia="Arial" w:hAnsi="Arial"/>
                <w:b/>
                <w:bCs/>
                <w:color w:val="83348F"/>
                <w:sz w:val="20"/>
                <w:szCs w:val="20"/>
              </w:rPr>
              <w:t xml:space="preserve">Why This Matters to Nuclear Customers</w:t>
            </w:r>
          </w:p>
          <w:p>
            <w:r>
              <w:rPr>
                <w:rFonts w:ascii="Arial" w:cs="Arial" w:eastAsia="Arial" w:hAnsi="Arial"/>
                <w:color w:val="5B595A"/>
                <w:sz w:val="19"/>
                <w:szCs w:val="19"/>
              </w:rPr>
              <w:t xml:space="preserve">Nuclear tier-one customers and programme operators including EDF, Hinkley Point C, Sizewell C, and Rolls-Royce SMR, do not simply ask whether you can make the part. They ask whether your organisation has the capability, capacity, and strategic intent to perform reliably over the long term. A well-articulated Products &amp; Services Strategy, backed by a credible investment plan, demonstrates that your leadership team understands where the business is going and has a concrete plan to get there. Without it, you risk being seen as reactive and opportunistic, which is the opposite of what nuclear customers require.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9FE3" w:val="clear"/>
            <w:tcMar>
              <w:top w:type="dxa" w:w="120"/>
              <w:left w:type="dxa" w:w="200"/>
              <w:bottom w:type="dxa" w:w="120"/>
              <w:right w:type="dxa" w:w="200"/>
            </w:tcMar>
          </w:tcPr>
          <w:p>
            <w:r>
              <w:rPr>
                <w:rFonts w:ascii="Arial" w:cs="Arial" w:eastAsia="Arial" w:hAnsi="Arial"/>
                <w:b/>
                <w:bCs/>
                <w:color w:val="FFFFFF"/>
                <w:sz w:val="24"/>
                <w:szCs w:val="24"/>
              </w:rPr>
              <w:t xml:space="preserve">1.  ORGANISATION OVERVIEW</w:t>
            </w:r>
          </w:p>
        </w:tc>
      </w:tr>
    </w:tbl>
    <w:p>
      <w:pPr>
        <w:spacing w:after="100" w:before="100"/>
      </w:pPr>
      <w:r>
        <w:t xml:space="preserve"/>
      </w:r>
    </w:p>
    <w:p>
      <w:pPr>
        <w:spacing w:after="80" w:before="60"/>
      </w:pPr>
      <w:r>
        <w:rPr>
          <w:rFonts w:ascii="Arial" w:cs="Arial" w:eastAsia="Arial" w:hAnsi="Arial"/>
          <w:b w:val="false"/>
          <w:bCs w:val="false"/>
          <w:i w:val="false"/>
          <w:iCs w:val="false"/>
          <w:color w:val="5B595A"/>
          <w:sz w:val="20"/>
          <w:szCs w:val="20"/>
        </w:rPr>
        <w:t xml:space="preserve">Provide an honest summary of what the organisation does today. This is the baseline from which your strategy builds. Be specific, as vague descriptions undermine credibility.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6F6FD" w:val="clear"/>
            <w:tcMar>
              <w:top w:type="dxa" w:w="100"/>
              <w:left w:type="dxa" w:w="150"/>
              <w:bottom w:type="dxa" w:w="100"/>
              <w:right w:type="dxa" w:w="150"/>
            </w:tcMar>
          </w:tcPr>
          <w:p>
            <w:r>
              <w:rPr>
                <w:rFonts w:ascii="Arial" w:cs="Arial" w:eastAsia="Arial" w:hAnsi="Arial"/>
                <w:b/>
                <w:bCs/>
                <w:color w:val="5B595A"/>
                <w:sz w:val="19"/>
                <w:szCs w:val="19"/>
              </w:rPr>
              <w:t xml:space="preserve">Company name</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i/>
                <w:iCs/>
                <w:color w:val="888888"/>
                <w:sz w:val="19"/>
                <w:szCs w:val="19"/>
              </w:rPr>
              <w:t xml:space="preserve"/>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50"/>
              <w:bottom w:type="dxa" w:w="100"/>
              <w:right w:type="dxa" w:w="150"/>
            </w:tcMar>
          </w:tcPr>
          <w:p>
            <w:r>
              <w:rPr>
                <w:rFonts w:ascii="Arial" w:cs="Arial" w:eastAsia="Arial" w:hAnsi="Arial"/>
                <w:b/>
                <w:bCs/>
                <w:color w:val="5B595A"/>
                <w:sz w:val="19"/>
                <w:szCs w:val="19"/>
              </w:rPr>
              <w:t xml:space="preserve">Year established</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i/>
                <w:iCs/>
                <w:color w:val="888888"/>
                <w:sz w:val="19"/>
                <w:szCs w:val="19"/>
              </w:rPr>
              <w:t xml:space="preserve"/>
            </w:r>
          </w:p>
        </w:tc>
      </w:tr>
      <w:tr>
        <w:tc>
          <w:tcPr>
            <w:tcW w:type="dxa" w:w="2800"/>
            <w:tcBorders>
              <w:top w:val="single" w:color="CCCCCC" w:sz="1"/>
              <w:left w:val="single" w:color="CCCCCC" w:sz="1"/>
              <w:bottom w:val="single" w:color="CCCCCC" w:sz="1"/>
              <w:right w:val="single" w:color="CCCCCC" w:sz="1"/>
            </w:tcBorders>
            <w:shd w:fill="E6F6FD" w:val="clear"/>
            <w:tcMar>
              <w:top w:type="dxa" w:w="100"/>
              <w:left w:type="dxa" w:w="150"/>
              <w:bottom w:type="dxa" w:w="100"/>
              <w:right w:type="dxa" w:w="150"/>
            </w:tcMar>
          </w:tcPr>
          <w:p>
            <w:r>
              <w:rPr>
                <w:rFonts w:ascii="Arial" w:cs="Arial" w:eastAsia="Arial" w:hAnsi="Arial"/>
                <w:b/>
                <w:bCs/>
                <w:color w:val="5B595A"/>
                <w:sz w:val="19"/>
                <w:szCs w:val="19"/>
              </w:rPr>
              <w:t xml:space="preserve">Primary products / services</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i/>
                <w:iCs/>
                <w:color w:val="888888"/>
                <w:sz w:val="19"/>
                <w:szCs w:val="19"/>
              </w:rPr>
              <w:t xml:space="preserve">Describe precisely what you make or deliver: materials, tolerances, batch sizes, finishes</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50"/>
              <w:bottom w:type="dxa" w:w="100"/>
              <w:right w:type="dxa" w:w="150"/>
            </w:tcMar>
          </w:tcPr>
          <w:p>
            <w:r>
              <w:rPr>
                <w:rFonts w:ascii="Arial" w:cs="Arial" w:eastAsia="Arial" w:hAnsi="Arial"/>
                <w:b/>
                <w:bCs/>
                <w:color w:val="5B595A"/>
                <w:sz w:val="19"/>
                <w:szCs w:val="19"/>
              </w:rPr>
              <w:t xml:space="preserve">Core manufacturing processes</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i/>
                <w:iCs/>
                <w:color w:val="888888"/>
                <w:sz w:val="19"/>
                <w:szCs w:val="19"/>
              </w:rPr>
              <w:t xml:space="preserve">e.g. CNC milling, turning, fabrication, welding, inspection, assembly, heat treatment</w:t>
            </w:r>
          </w:p>
        </w:tc>
      </w:tr>
      <w:tr>
        <w:tc>
          <w:tcPr>
            <w:tcW w:type="dxa" w:w="2800"/>
            <w:tcBorders>
              <w:top w:val="single" w:color="CCCCCC" w:sz="1"/>
              <w:left w:val="single" w:color="CCCCCC" w:sz="1"/>
              <w:bottom w:val="single" w:color="CCCCCC" w:sz="1"/>
              <w:right w:val="single" w:color="CCCCCC" w:sz="1"/>
            </w:tcBorders>
            <w:shd w:fill="E6F6FD" w:val="clear"/>
            <w:tcMar>
              <w:top w:type="dxa" w:w="100"/>
              <w:left w:type="dxa" w:w="150"/>
              <w:bottom w:type="dxa" w:w="100"/>
              <w:right w:type="dxa" w:w="150"/>
            </w:tcMar>
          </w:tcPr>
          <w:p>
            <w:r>
              <w:rPr>
                <w:rFonts w:ascii="Arial" w:cs="Arial" w:eastAsia="Arial" w:hAnsi="Arial"/>
                <w:b/>
                <w:bCs/>
                <w:color w:val="5B595A"/>
                <w:sz w:val="19"/>
                <w:szCs w:val="19"/>
              </w:rPr>
              <w:t xml:space="preserve">Key accreditations held</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i/>
                <w:iCs/>
                <w:color w:val="888888"/>
                <w:sz w:val="19"/>
                <w:szCs w:val="19"/>
              </w:rPr>
              <w:t xml:space="preserve">e.g. ISO 9001, AS9100, ISO 14001, ISO 45001, RISQS, Achilles. Include body and expiry date</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50"/>
              <w:bottom w:type="dxa" w:w="100"/>
              <w:right w:type="dxa" w:w="150"/>
            </w:tcMar>
          </w:tcPr>
          <w:p>
            <w:r>
              <w:rPr>
                <w:rFonts w:ascii="Arial" w:cs="Arial" w:eastAsia="Arial" w:hAnsi="Arial"/>
                <w:b/>
                <w:bCs/>
                <w:color w:val="5B595A"/>
                <w:sz w:val="19"/>
                <w:szCs w:val="19"/>
              </w:rPr>
              <w:t xml:space="preserve">Key customers (sectors)</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i/>
                <w:iCs/>
                <w:color w:val="888888"/>
                <w:sz w:val="19"/>
                <w:szCs w:val="19"/>
              </w:rPr>
              <w:t xml:space="preserve">e.g. aerospace OEMs, defence primes, oil &amp; gas, automotive. No need to name specific customers</w:t>
            </w:r>
          </w:p>
        </w:tc>
      </w:tr>
      <w:tr>
        <w:tc>
          <w:tcPr>
            <w:tcW w:type="dxa" w:w="2800"/>
            <w:tcBorders>
              <w:top w:val="single" w:color="CCCCCC" w:sz="1"/>
              <w:left w:val="single" w:color="CCCCCC" w:sz="1"/>
              <w:bottom w:val="single" w:color="CCCCCC" w:sz="1"/>
              <w:right w:val="single" w:color="CCCCCC" w:sz="1"/>
            </w:tcBorders>
            <w:shd w:fill="E6F6FD" w:val="clear"/>
            <w:tcMar>
              <w:top w:type="dxa" w:w="100"/>
              <w:left w:type="dxa" w:w="150"/>
              <w:bottom w:type="dxa" w:w="100"/>
              <w:right w:type="dxa" w:w="150"/>
            </w:tcMar>
          </w:tcPr>
          <w:p>
            <w:r>
              <w:rPr>
                <w:rFonts w:ascii="Arial" w:cs="Arial" w:eastAsia="Arial" w:hAnsi="Arial"/>
                <w:b/>
                <w:bCs/>
                <w:color w:val="5B595A"/>
                <w:sz w:val="19"/>
                <w:szCs w:val="19"/>
              </w:rPr>
              <w:t xml:space="preserve">Approximate annual turnover (£)</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i/>
                <w:iCs/>
                <w:color w:val="888888"/>
                <w:sz w:val="19"/>
                <w:szCs w:val="19"/>
              </w:rPr>
              <w:t xml:space="preserve"/>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50"/>
              <w:bottom w:type="dxa" w:w="100"/>
              <w:right w:type="dxa" w:w="150"/>
            </w:tcMar>
          </w:tcPr>
          <w:p>
            <w:r>
              <w:rPr>
                <w:rFonts w:ascii="Arial" w:cs="Arial" w:eastAsia="Arial" w:hAnsi="Arial"/>
                <w:b/>
                <w:bCs/>
                <w:color w:val="5B595A"/>
                <w:sz w:val="19"/>
                <w:szCs w:val="19"/>
              </w:rPr>
              <w:t xml:space="preserve">Number of employees</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i/>
                <w:iCs/>
                <w:color w:val="888888"/>
                <w:sz w:val="19"/>
                <w:szCs w:val="19"/>
              </w:rPr>
              <w:t xml:space="preserve"/>
            </w:r>
          </w:p>
        </w:tc>
      </w:tr>
      <w:tr>
        <w:tc>
          <w:tcPr>
            <w:tcW w:type="dxa" w:w="2800"/>
            <w:tcBorders>
              <w:top w:val="single" w:color="CCCCCC" w:sz="1"/>
              <w:left w:val="single" w:color="CCCCCC" w:sz="1"/>
              <w:bottom w:val="single" w:color="CCCCCC" w:sz="1"/>
              <w:right w:val="single" w:color="CCCCCC" w:sz="1"/>
            </w:tcBorders>
            <w:shd w:fill="E6F6FD" w:val="clear"/>
            <w:tcMar>
              <w:top w:type="dxa" w:w="100"/>
              <w:left w:type="dxa" w:w="150"/>
              <w:bottom w:type="dxa" w:w="100"/>
              <w:right w:type="dxa" w:w="150"/>
            </w:tcMar>
          </w:tcPr>
          <w:p>
            <w:r>
              <w:rPr>
                <w:rFonts w:ascii="Arial" w:cs="Arial" w:eastAsia="Arial" w:hAnsi="Arial"/>
                <w:b/>
                <w:bCs/>
                <w:color w:val="5B595A"/>
                <w:sz w:val="19"/>
                <w:szCs w:val="19"/>
              </w:rPr>
              <w:t xml:space="preserve">Site area (sq ft / sq m)</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i/>
                <w:iCs/>
                <w:color w:val="888888"/>
                <w:sz w:val="19"/>
                <w:szCs w:val="19"/>
              </w:rPr>
              <w:t xml:space="preserve"/>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50"/>
              <w:bottom w:type="dxa" w:w="100"/>
              <w:right w:type="dxa" w:w="150"/>
            </w:tcMar>
          </w:tcPr>
          <w:p>
            <w:r>
              <w:rPr>
                <w:rFonts w:ascii="Arial" w:cs="Arial" w:eastAsia="Arial" w:hAnsi="Arial"/>
                <w:b/>
                <w:bCs/>
                <w:color w:val="5B595A"/>
                <w:sz w:val="19"/>
                <w:szCs w:val="19"/>
              </w:rPr>
              <w:t xml:space="preserve">Key equipment / capacity</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i/>
                <w:iCs/>
                <w:color w:val="888888"/>
                <w:sz w:val="19"/>
                <w:szCs w:val="19"/>
              </w:rPr>
              <w:t xml:space="preserve">List the 5–10 most significant machines or capabilities that define your capacity</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9FE3" w:val="clear"/>
            <w:tcMar>
              <w:top w:type="dxa" w:w="120"/>
              <w:left w:type="dxa" w:w="200"/>
              <w:bottom w:type="dxa" w:w="120"/>
              <w:right w:type="dxa" w:w="200"/>
            </w:tcMar>
          </w:tcPr>
          <w:p>
            <w:r>
              <w:rPr>
                <w:rFonts w:ascii="Arial" w:cs="Arial" w:eastAsia="Arial" w:hAnsi="Arial"/>
                <w:b/>
                <w:bCs/>
                <w:color w:val="FFFFFF"/>
                <w:sz w:val="24"/>
                <w:szCs w:val="24"/>
              </w:rPr>
              <w:t xml:space="preserve">2.  MARKET POSITION &amp; GROWTH OPPORTUNITY</w:t>
            </w:r>
          </w:p>
        </w:tc>
      </w:tr>
    </w:tbl>
    <w:p>
      <w:pPr>
        <w:spacing w:after="100" w:before="100"/>
      </w:pPr>
      <w:r>
        <w:t xml:space="preserve"/>
      </w:r>
    </w:p>
    <w:p>
      <w:pPr>
        <w:spacing w:after="80" w:before="60"/>
      </w:pPr>
      <w:r>
        <w:rPr>
          <w:rFonts w:ascii="Arial" w:cs="Arial" w:eastAsia="Arial" w:hAnsi="Arial"/>
          <w:b w:val="false"/>
          <w:bCs w:val="false"/>
          <w:i w:val="false"/>
          <w:iCs w:val="false"/>
          <w:color w:val="5B595A"/>
          <w:sz w:val="20"/>
          <w:szCs w:val="20"/>
        </w:rPr>
        <w:t xml:space="preserve">This section defines the markets you are in today and where you intend to grow. The nuclear opportunity should be explicitly addressed here and should not be an afterthought. Nuclear customers want to see that you have thought seriously about the sector, understand its requirements, and have made a deliberate decision to pursue it.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6F6FD" w:val="clear"/>
            <w:tcMar>
              <w:top w:type="dxa" w:w="100"/>
              <w:left w:type="dxa" w:w="150"/>
              <w:bottom w:type="dxa" w:w="100"/>
              <w:right w:type="dxa" w:w="150"/>
            </w:tcMar>
          </w:tcPr>
          <w:p>
            <w:r>
              <w:rPr>
                <w:rFonts w:ascii="Arial" w:cs="Arial" w:eastAsia="Arial" w:hAnsi="Arial"/>
                <w:b/>
                <w:bCs/>
                <w:color w:val="5B595A"/>
                <w:sz w:val="19"/>
                <w:szCs w:val="19"/>
              </w:rPr>
              <w:t xml:space="preserve">Current market position</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i/>
                <w:iCs/>
                <w:color w:val="888888"/>
                <w:sz w:val="19"/>
                <w:szCs w:val="19"/>
              </w:rPr>
              <w:t xml:space="preserve">Summarise where you sit in your primary markets. Are you a tier-1, tier-2, or tier-3 supplier? What share do you hold? What is your reputation?</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50"/>
              <w:bottom w:type="dxa" w:w="100"/>
              <w:right w:type="dxa" w:w="150"/>
            </w:tcMar>
          </w:tcPr>
          <w:p>
            <w:r>
              <w:rPr>
                <w:rFonts w:ascii="Arial" w:cs="Arial" w:eastAsia="Arial" w:hAnsi="Arial"/>
                <w:b/>
                <w:bCs/>
                <w:color w:val="5B595A"/>
                <w:sz w:val="19"/>
                <w:szCs w:val="19"/>
              </w:rPr>
              <w:t xml:space="preserve">Primary growth targets</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i/>
                <w:iCs/>
                <w:color w:val="888888"/>
                <w:sz w:val="19"/>
                <w:szCs w:val="19"/>
              </w:rPr>
              <w:t xml:space="preserve">e.g. Nuclear new-build supply chain (Hinkley C, Sizewell C), SMR programme (Rolls-Royce), defence, aerospace</w:t>
            </w:r>
          </w:p>
        </w:tc>
      </w:tr>
      <w:tr>
        <w:tc>
          <w:tcPr>
            <w:tcW w:type="dxa" w:w="2800"/>
            <w:tcBorders>
              <w:top w:val="single" w:color="CCCCCC" w:sz="1"/>
              <w:left w:val="single" w:color="CCCCCC" w:sz="1"/>
              <w:bottom w:val="single" w:color="CCCCCC" w:sz="1"/>
              <w:right w:val="single" w:color="CCCCCC" w:sz="1"/>
            </w:tcBorders>
            <w:shd w:fill="E6F6FD" w:val="clear"/>
            <w:tcMar>
              <w:top w:type="dxa" w:w="100"/>
              <w:left w:type="dxa" w:w="150"/>
              <w:bottom w:type="dxa" w:w="100"/>
              <w:right w:type="dxa" w:w="150"/>
            </w:tcMar>
          </w:tcPr>
          <w:p>
            <w:r>
              <w:rPr>
                <w:rFonts w:ascii="Arial" w:cs="Arial" w:eastAsia="Arial" w:hAnsi="Arial"/>
                <w:b/>
                <w:bCs/>
                <w:color w:val="5B595A"/>
                <w:sz w:val="19"/>
                <w:szCs w:val="19"/>
              </w:rPr>
              <w:t xml:space="preserve">Nuclear opportunity</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i/>
                <w:iCs/>
                <w:color w:val="888888"/>
                <w:sz w:val="19"/>
                <w:szCs w:val="19"/>
              </w:rPr>
              <w:t xml:space="preserve">Describe specifically why nuclear is an attractive market for this business. Which components or services could you supply, to whom, and at what value?</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50"/>
              <w:bottom w:type="dxa" w:w="100"/>
              <w:right w:type="dxa" w:w="150"/>
            </w:tcMar>
          </w:tcPr>
          <w:p>
            <w:r>
              <w:rPr>
                <w:rFonts w:ascii="Arial" w:cs="Arial" w:eastAsia="Arial" w:hAnsi="Arial"/>
                <w:b/>
                <w:bCs/>
                <w:color w:val="5B595A"/>
                <w:sz w:val="19"/>
                <w:szCs w:val="19"/>
              </w:rPr>
              <w:t xml:space="preserve">Competitive advantages</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i/>
                <w:iCs/>
                <w:color w:val="888888"/>
                <w:sz w:val="19"/>
                <w:szCs w:val="19"/>
              </w:rPr>
              <w:t xml:space="preserve">What does this organisation do that competitors do not, or do less well? Be honest and include process capability, quality systems, lead times, specialised skills</w:t>
            </w:r>
          </w:p>
        </w:tc>
      </w:tr>
      <w:tr>
        <w:tc>
          <w:tcPr>
            <w:tcW w:type="dxa" w:w="2800"/>
            <w:tcBorders>
              <w:top w:val="single" w:color="CCCCCC" w:sz="1"/>
              <w:left w:val="single" w:color="CCCCCC" w:sz="1"/>
              <w:bottom w:val="single" w:color="CCCCCC" w:sz="1"/>
              <w:right w:val="single" w:color="CCCCCC" w:sz="1"/>
            </w:tcBorders>
            <w:shd w:fill="E6F6FD" w:val="clear"/>
            <w:tcMar>
              <w:top w:type="dxa" w:w="100"/>
              <w:left w:type="dxa" w:w="150"/>
              <w:bottom w:type="dxa" w:w="100"/>
              <w:right w:type="dxa" w:w="150"/>
            </w:tcMar>
          </w:tcPr>
          <w:p>
            <w:r>
              <w:rPr>
                <w:rFonts w:ascii="Arial" w:cs="Arial" w:eastAsia="Arial" w:hAnsi="Arial"/>
                <w:b/>
                <w:bCs/>
                <w:color w:val="5B595A"/>
                <w:sz w:val="19"/>
                <w:szCs w:val="19"/>
              </w:rPr>
              <w:t xml:space="preserve">Barriers to growth</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i/>
                <w:iCs/>
                <w:color w:val="888888"/>
                <w:sz w:val="19"/>
                <w:szCs w:val="19"/>
              </w:rPr>
              <w:t xml:space="preserve">What is currently preventing you from winning more business or entering new markets? Be candid about accreditation gaps, capacity constraints, skills shortages, cost base</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50"/>
              <w:bottom w:type="dxa" w:w="100"/>
              <w:right w:type="dxa" w:w="150"/>
            </w:tcMar>
          </w:tcPr>
          <w:p>
            <w:r>
              <w:rPr>
                <w:rFonts w:ascii="Arial" w:cs="Arial" w:eastAsia="Arial" w:hAnsi="Arial"/>
                <w:b/>
                <w:bCs/>
                <w:color w:val="5B595A"/>
                <w:sz w:val="19"/>
                <w:szCs w:val="19"/>
              </w:rPr>
              <w:t xml:space="preserve">Market risks</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i/>
                <w:iCs/>
                <w:color w:val="888888"/>
                <w:sz w:val="19"/>
                <w:szCs w:val="19"/>
              </w:rPr>
              <w:t xml:space="preserve">e.g. key customer dependency, pricing pressure, skills shortage, supply chain vulnerability, currency exposure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17346" w:sz="8"/>
              <w:left w:val="single" w:color="217346" w:sz="8"/>
              <w:bottom w:val="none"/>
              <w:right w:val="none"/>
            </w:tcBorders>
            <w:shd w:fill="EAF4EE" w:val="clear"/>
            <w:tcMar>
              <w:top w:type="dxa" w:w="140"/>
              <w:left w:type="dxa" w:w="200"/>
              <w:bottom w:type="dxa" w:w="140"/>
              <w:right w:type="dxa" w:w="200"/>
            </w:tcMar>
          </w:tcPr>
          <w:p>
            <w:pPr>
              <w:spacing w:after="60" w:before="0"/>
            </w:pPr>
            <w:r>
              <w:rPr>
                <w:rFonts w:ascii="Arial" w:cs="Arial" w:eastAsia="Arial" w:hAnsi="Arial"/>
                <w:b/>
                <w:bCs/>
                <w:color w:val="217346"/>
                <w:sz w:val="20"/>
                <w:szCs w:val="20"/>
              </w:rPr>
              <w:t xml:space="preserve">Example: Articulating the Nuclear Opportunity</w:t>
            </w:r>
          </w:p>
          <w:p>
            <w:r>
              <w:rPr>
                <w:rFonts w:ascii="Arial" w:cs="Arial" w:eastAsia="Arial" w:hAnsi="Arial"/>
                <w:color w:val="5B595A"/>
                <w:sz w:val="19"/>
                <w:szCs w:val="19"/>
              </w:rPr>
              <w:t xml:space="preserve">A precision machining company might write: "We currently produce close-tolerance components for the aerospace sector to AS9100 Rev D. Our CNC turning and milling capabilities, including materials such as Inconel, duplex stainless, and titanium, are directly applicable to nuclear component manufacture. We have identified specific opportunities within the Hinkley Point C programme for reactor coolant system components and intend to qualify as a tier-2 supplier to [prime contractor] within 24 months. Our target contract value is £500k–£1.5m per annum." This is specific, credible, and investable, which is exactly what a nuclear customer wants to see.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9FE3" w:val="clear"/>
            <w:tcMar>
              <w:top w:type="dxa" w:w="120"/>
              <w:left w:type="dxa" w:w="200"/>
              <w:bottom w:type="dxa" w:w="120"/>
              <w:right w:type="dxa" w:w="200"/>
            </w:tcMar>
          </w:tcPr>
          <w:p>
            <w:r>
              <w:rPr>
                <w:rFonts w:ascii="Arial" w:cs="Arial" w:eastAsia="Arial" w:hAnsi="Arial"/>
                <w:b/>
                <w:bCs/>
                <w:color w:val="FFFFFF"/>
                <w:sz w:val="24"/>
                <w:szCs w:val="24"/>
              </w:rPr>
              <w:t xml:space="preserve">3.  STRATEGIC OBJECTIVES</w:t>
            </w:r>
          </w:p>
        </w:tc>
      </w:tr>
    </w:tbl>
    <w:p>
      <w:pPr>
        <w:spacing w:after="100" w:before="100"/>
      </w:pPr>
      <w:r>
        <w:t xml:space="preserve"/>
      </w:r>
    </w:p>
    <w:p>
      <w:pPr>
        <w:spacing w:after="80" w:before="60"/>
      </w:pPr>
      <w:r>
        <w:rPr>
          <w:rFonts w:ascii="Arial" w:cs="Arial" w:eastAsia="Arial" w:hAnsi="Arial"/>
          <w:b w:val="false"/>
          <w:bCs w:val="false"/>
          <w:i w:val="false"/>
          <w:iCs w:val="false"/>
          <w:color w:val="5B595A"/>
          <w:sz w:val="20"/>
          <w:szCs w:val="20"/>
        </w:rPr>
        <w:t xml:space="preserve">Set out the organisation's top strategic objectives for the next 1–3 years. Each objective should be SMART: Specific, Measurable, Achievable, Relevant, and Time-bound. Avoid vague aspirations such as "grow the business" or "improve quality." These mean nothing without specificity.</w:t>
      </w:r>
    </w:p>
    <w:p>
      <w:pPr>
        <w:spacing w:after="100" w:before="100"/>
      </w:pPr>
      <w:r>
        <w:t xml:space="preserve"/>
      </w:r>
    </w:p>
    <w:p>
      <w:pPr>
        <w:spacing w:after="80" w:before="60"/>
      </w:pPr>
      <w:r>
        <w:rPr>
          <w:rFonts w:ascii="Arial" w:cs="Arial" w:eastAsia="Arial" w:hAnsi="Arial"/>
          <w:b w:val="false"/>
          <w:bCs w:val="false"/>
          <w:i w:val="false"/>
          <w:iCs w:val="false"/>
          <w:color w:val="5B595A"/>
          <w:sz w:val="20"/>
          <w:szCs w:val="20"/>
        </w:rPr>
        <w:t xml:space="preserve">Each objective should link directly to one or more of the investment and action items in sections 4–6 below. If an objective has no corresponding investment or action, it is an aspiration, not a strategy.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60"/>
        <w:gridCol w:w="2400"/>
        <w:gridCol w:w="1200"/>
        <w:gridCol w:w="2200"/>
      </w:tblGrid>
      <w:tr>
        <w:tc>
          <w:tcPr>
            <w:tcW w:type="dxa" w:w="500"/>
            <w:tcBorders>
              <w:top w:val="single" w:color="CCCCCC" w:sz="1"/>
              <w:left w:val="single" w:color="CCCCCC" w:sz="1"/>
              <w:bottom w:val="single" w:color="CCCCCC" w:sz="1"/>
              <w:right w:val="single" w:color="CCCCCC" w:sz="1"/>
            </w:tcBorders>
            <w:shd w:fill="009FE3" w:val="clear"/>
            <w:tcMar>
              <w:top w:type="dxa" w:w="80"/>
              <w:left w:type="dxa" w:w="100"/>
              <w:bottom w:type="dxa" w:w="80"/>
              <w:right w:type="dxa" w:w="100"/>
            </w:tcMar>
          </w:tcPr>
          <w:p>
            <w:r>
              <w:rPr>
                <w:rFonts w:ascii="Arial" w:cs="Arial" w:eastAsia="Arial" w:hAnsi="Arial"/>
                <w:b/>
                <w:bCs/>
                <w:color w:val="FFFFFF"/>
                <w:sz w:val="18"/>
                <w:szCs w:val="18"/>
              </w:rPr>
              <w:t xml:space="preserve">Ref</w:t>
            </w:r>
          </w:p>
        </w:tc>
        <w:tc>
          <w:tcPr>
            <w:tcW w:type="dxa" w:w="3060"/>
            <w:tcBorders>
              <w:top w:val="single" w:color="CCCCCC" w:sz="1"/>
              <w:left w:val="single" w:color="CCCCCC" w:sz="1"/>
              <w:bottom w:val="single" w:color="CCCCCC" w:sz="1"/>
              <w:right w:val="single" w:color="CCCCCC" w:sz="1"/>
            </w:tcBorders>
            <w:shd w:fill="009FE3" w:val="clear"/>
            <w:tcMar>
              <w:top w:type="dxa" w:w="80"/>
              <w:left w:type="dxa" w:w="100"/>
              <w:bottom w:type="dxa" w:w="80"/>
              <w:right w:type="dxa" w:w="100"/>
            </w:tcMar>
          </w:tcPr>
          <w:p>
            <w:r>
              <w:rPr>
                <w:rFonts w:ascii="Arial" w:cs="Arial" w:eastAsia="Arial" w:hAnsi="Arial"/>
                <w:b/>
                <w:bCs/>
                <w:color w:val="FFFFFF"/>
                <w:sz w:val="18"/>
                <w:szCs w:val="18"/>
              </w:rPr>
              <w:t xml:space="preserve">Strategic Objective</w:t>
            </w:r>
          </w:p>
        </w:tc>
        <w:tc>
          <w:tcPr>
            <w:tcW w:type="dxa" w:w="2400"/>
            <w:tcBorders>
              <w:top w:val="single" w:color="CCCCCC" w:sz="1"/>
              <w:left w:val="single" w:color="CCCCCC" w:sz="1"/>
              <w:bottom w:val="single" w:color="CCCCCC" w:sz="1"/>
              <w:right w:val="single" w:color="CCCCCC" w:sz="1"/>
            </w:tcBorders>
            <w:shd w:fill="009FE3" w:val="clear"/>
            <w:tcMar>
              <w:top w:type="dxa" w:w="80"/>
              <w:left w:type="dxa" w:w="100"/>
              <w:bottom w:type="dxa" w:w="80"/>
              <w:right w:type="dxa" w:w="100"/>
            </w:tcMar>
          </w:tcPr>
          <w:p>
            <w:r>
              <w:rPr>
                <w:rFonts w:ascii="Arial" w:cs="Arial" w:eastAsia="Arial" w:hAnsi="Arial"/>
                <w:b/>
                <w:bCs/>
                <w:color w:val="FFFFFF"/>
                <w:sz w:val="18"/>
                <w:szCs w:val="18"/>
              </w:rPr>
              <w:t xml:space="preserve">Measure of Success</w:t>
            </w:r>
          </w:p>
        </w:tc>
        <w:tc>
          <w:tcPr>
            <w:tcW w:type="dxa" w:w="1200"/>
            <w:tcBorders>
              <w:top w:val="single" w:color="CCCCCC" w:sz="1"/>
              <w:left w:val="single" w:color="CCCCCC" w:sz="1"/>
              <w:bottom w:val="single" w:color="CCCCCC" w:sz="1"/>
              <w:right w:val="single" w:color="CCCCCC" w:sz="1"/>
            </w:tcBorders>
            <w:shd w:fill="009FE3" w:val="clear"/>
            <w:tcMar>
              <w:top w:type="dxa" w:w="80"/>
              <w:left w:type="dxa" w:w="100"/>
              <w:bottom w:type="dxa" w:w="80"/>
              <w:right w:type="dxa" w:w="100"/>
            </w:tcMar>
          </w:tcPr>
          <w:p>
            <w:r>
              <w:rPr>
                <w:rFonts w:ascii="Arial" w:cs="Arial" w:eastAsia="Arial" w:hAnsi="Arial"/>
                <w:b/>
                <w:bCs/>
                <w:color w:val="FFFFFF"/>
                <w:sz w:val="18"/>
                <w:szCs w:val="18"/>
              </w:rPr>
              <w:t xml:space="preserve">Target Date</w:t>
            </w:r>
          </w:p>
        </w:tc>
        <w:tc>
          <w:tcPr>
            <w:tcW w:type="dxa" w:w="2200"/>
            <w:tcBorders>
              <w:top w:val="single" w:color="CCCCCC" w:sz="1"/>
              <w:left w:val="single" w:color="CCCCCC" w:sz="1"/>
              <w:bottom w:val="single" w:color="CCCCCC" w:sz="1"/>
              <w:right w:val="single" w:color="CCCCCC" w:sz="1"/>
            </w:tcBorders>
            <w:shd w:fill="009FE3" w:val="clear"/>
            <w:tcMar>
              <w:top w:type="dxa" w:w="80"/>
              <w:left w:type="dxa" w:w="100"/>
              <w:bottom w:type="dxa" w:w="80"/>
              <w:right w:type="dxa" w:w="100"/>
            </w:tcMar>
          </w:tcPr>
          <w:p>
            <w:r>
              <w:rPr>
                <w:rFonts w:ascii="Arial" w:cs="Arial" w:eastAsia="Arial" w:hAnsi="Arial"/>
                <w:b/>
                <w:bCs/>
                <w:color w:val="FFFFFF"/>
                <w:sz w:val="18"/>
                <w:szCs w:val="18"/>
              </w:rPr>
              <w:t xml:space="preserve">Owner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SO-01</w:t>
            </w:r>
          </w:p>
        </w:tc>
        <w:tc>
          <w:tcPr>
            <w:tcW w:type="dxa" w:w="3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888888"/>
                <w:sz w:val="18"/>
                <w:szCs w:val="18"/>
              </w:rPr>
              <w:t xml:space="preserve">e.g. Achieve nuclear supply chain qualification (F4N) and secure first nuclear contract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888888"/>
                <w:sz w:val="18"/>
                <w:szCs w:val="18"/>
              </w:rPr>
              <w:t xml:space="preserve">e.g. F4N awarded; first PO received from nuclear customer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888888"/>
                <w:sz w:val="18"/>
                <w:szCs w:val="18"/>
              </w:rPr>
              <w:t xml:space="preserve">e.g. Q4 2025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MD</w:t>
            </w:r>
          </w:p>
        </w:tc>
      </w:tr>
      <w:tr>
        <w:tc>
          <w:tcPr>
            <w:tcW w:type="dxa" w:w="5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5B595A"/>
                <w:sz w:val="18"/>
                <w:szCs w:val="18"/>
              </w:rPr>
              <w:t xml:space="preserve">SO-02</w:t>
            </w:r>
          </w:p>
        </w:tc>
        <w:tc>
          <w:tcPr>
            <w:tcW w:type="dxa" w:w="306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iCs/>
                <w:color w:val="888888"/>
                <w:sz w:val="18"/>
                <w:szCs w:val="18"/>
              </w:rPr>
              <w:t xml:space="preserve">e.g. Invest in additional CNC 5-axis machining capability to increase capacity by 30%</w:t>
            </w:r>
          </w:p>
        </w:tc>
        <w:tc>
          <w:tcPr>
            <w:tcW w:type="dxa" w:w="2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iCs/>
                <w:color w:val="888888"/>
                <w:sz w:val="18"/>
                <w:szCs w:val="18"/>
              </w:rPr>
              <w:t xml:space="preserve">e.g. Machine installed and operational; capacity KPI achieved</w:t>
            </w:r>
          </w:p>
        </w:tc>
        <w:tc>
          <w:tcPr>
            <w:tcW w:type="dxa" w:w="12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iCs/>
                <w:color w:val="888888"/>
                <w:sz w:val="18"/>
                <w:szCs w:val="18"/>
              </w:rPr>
              <w:t xml:space="preserve">e.g. Q2 2025</w:t>
            </w:r>
          </w:p>
        </w:tc>
        <w:tc>
          <w:tcPr>
            <w:tcW w:type="dxa" w:w="22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5B595A"/>
                <w:sz w:val="18"/>
                <w:szCs w:val="18"/>
              </w:rPr>
              <w:t xml:space="preserve">Ops Director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SO-03</w:t>
            </w:r>
          </w:p>
        </w:tc>
        <w:tc>
          <w:tcPr>
            <w:tcW w:type="dxa" w:w="3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888888"/>
                <w:sz w:val="18"/>
                <w:szCs w:val="18"/>
              </w:rPr>
              <w:t xml:space="preserve">e.g. Reduce cost of production by 12% through lean programme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888888"/>
                <w:sz w:val="18"/>
                <w:szCs w:val="18"/>
              </w:rPr>
              <w:t xml:space="preserve">e.g. Cost per unit reduced from £X to £Y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888888"/>
                <w:sz w:val="18"/>
                <w:szCs w:val="18"/>
              </w:rPr>
              <w:t xml:space="preserve">e.g. Dec 2025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Production Manager</w:t>
            </w:r>
          </w:p>
        </w:tc>
      </w:tr>
      <w:tr>
        <w:tc>
          <w:tcPr>
            <w:tcW w:type="dxa" w:w="5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5B595A"/>
                <w:sz w:val="18"/>
                <w:szCs w:val="18"/>
              </w:rPr>
              <w:t xml:space="preserve">SO-04</w:t>
            </w:r>
          </w:p>
        </w:tc>
        <w:tc>
          <w:tcPr>
            <w:tcW w:type="dxa" w:w="306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iCs/>
                <w:color w:val="888888"/>
                <w:sz w:val="18"/>
                <w:szCs w:val="18"/>
              </w:rPr>
              <w:t xml:space="preserve">e.g. Progress AS9100 certification to unlock aerospace and defence growth</w:t>
            </w:r>
          </w:p>
        </w:tc>
        <w:tc>
          <w:tcPr>
            <w:tcW w:type="dxa" w:w="2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iCs/>
                <w:color w:val="888888"/>
                <w:sz w:val="18"/>
                <w:szCs w:val="18"/>
              </w:rPr>
              <w:t xml:space="preserve">e.g. Stage 2 audit passed; certificate issued</w:t>
            </w:r>
          </w:p>
        </w:tc>
        <w:tc>
          <w:tcPr>
            <w:tcW w:type="dxa" w:w="12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iCs/>
                <w:color w:val="888888"/>
                <w:sz w:val="18"/>
                <w:szCs w:val="18"/>
              </w:rPr>
              <w:t xml:space="preserve">e.g. Q3 2025</w:t>
            </w:r>
          </w:p>
        </w:tc>
        <w:tc>
          <w:tcPr>
            <w:tcW w:type="dxa" w:w="22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5B595A"/>
                <w:sz w:val="18"/>
                <w:szCs w:val="18"/>
              </w:rPr>
              <w:t xml:space="preserve">Quality Manager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SO-05</w:t>
            </w:r>
          </w:p>
        </w:tc>
        <w:tc>
          <w:tcPr>
            <w:tcW w:type="dxa" w:w="3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888888"/>
                <w:sz w:val="18"/>
                <w:szCs w:val="18"/>
              </w:rPr>
              <w:t xml:space="preserve">e.g. Develop workforce capability in nuclear-specific quality and traceability requirements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888888"/>
                <w:sz w:val="18"/>
                <w:szCs w:val="18"/>
              </w:rPr>
              <w:t xml:space="preserve">e.g. 100% of relevant staff trained; competence records current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888888"/>
                <w:sz w:val="18"/>
                <w:szCs w:val="18"/>
              </w:rPr>
              <w:t xml:space="preserve">e.g. Q1 2025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HR / Ops Director</w:t>
            </w:r>
          </w:p>
        </w:tc>
      </w:tr>
      <w:tr>
        <w:tc>
          <w:tcPr>
            <w:tcW w:type="dxa" w:w="5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5B595A"/>
                <w:sz w:val="18"/>
                <w:szCs w:val="18"/>
              </w:rPr>
              <w:t xml:space="preserve">SO-06</w:t>
            </w:r>
          </w:p>
        </w:tc>
        <w:tc>
          <w:tcPr>
            <w:tcW w:type="dxa" w:w="306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2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2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22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SO-07</w:t>
            </w:r>
          </w:p>
        </w:tc>
        <w:tc>
          <w:tcPr>
            <w:tcW w:type="dxa" w:w="3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8"/>
              <w:left w:val="single" w:color="C55A11" w:sz="8"/>
              <w:bottom w:val="none"/>
              <w:right w:val="none"/>
            </w:tcBorders>
            <w:shd w:fill="FDF0E6" w:val="clear"/>
            <w:tcMar>
              <w:top w:type="dxa" w:w="140"/>
              <w:left w:type="dxa" w:w="200"/>
              <w:bottom w:type="dxa" w:w="140"/>
              <w:right w:type="dxa" w:w="200"/>
            </w:tcMar>
          </w:tcPr>
          <w:p>
            <w:pPr>
              <w:spacing w:after="60" w:before="0"/>
            </w:pPr>
            <w:r>
              <w:rPr>
                <w:rFonts w:ascii="Arial" w:cs="Arial" w:eastAsia="Arial" w:hAnsi="Arial"/>
                <w:b/>
                <w:bCs/>
                <w:color w:val="C55A11"/>
                <w:sz w:val="20"/>
                <w:szCs w:val="20"/>
              </w:rPr>
              <w:t xml:space="preserve">Common Mistake</w:t>
            </w:r>
          </w:p>
          <w:p>
            <w:r>
              <w:rPr>
                <w:rFonts w:ascii="Arial" w:cs="Arial" w:eastAsia="Arial" w:hAnsi="Arial"/>
                <w:color w:val="5B595A"/>
                <w:sz w:val="19"/>
                <w:szCs w:val="19"/>
              </w:rPr>
              <w:t xml:space="preserve">Many companies list objectives that are actually business-as-usual activities such as "maintain ISO 9001 certification" or "keep health and safety compliant." These are not strategic objectives; they are operational requirements. Strategic objectives describe change, growth, and improvement. If your list of objectives looks like a maintenance schedule, revisit it.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9FE3" w:val="clear"/>
            <w:tcMar>
              <w:top w:type="dxa" w:w="120"/>
              <w:left w:type="dxa" w:w="200"/>
              <w:bottom w:type="dxa" w:w="120"/>
              <w:right w:type="dxa" w:w="200"/>
            </w:tcMar>
          </w:tcPr>
          <w:p>
            <w:r>
              <w:rPr>
                <w:rFonts w:ascii="Arial" w:cs="Arial" w:eastAsia="Arial" w:hAnsi="Arial"/>
                <w:b/>
                <w:bCs/>
                <w:color w:val="FFFFFF"/>
                <w:sz w:val="24"/>
                <w:szCs w:val="24"/>
              </w:rPr>
              <w:t xml:space="preserve">4.  INVESTMENT &amp; CAPABILITY DEVELOPMENT PLAN</w:t>
            </w:r>
          </w:p>
        </w:tc>
      </w:tr>
    </w:tbl>
    <w:p>
      <w:pPr>
        <w:spacing w:after="100" w:before="100"/>
      </w:pPr>
      <w:r>
        <w:t xml:space="preserve"/>
      </w:r>
    </w:p>
    <w:p>
      <w:pPr>
        <w:spacing w:after="80" w:before="60"/>
      </w:pPr>
      <w:r>
        <w:rPr>
          <w:rFonts w:ascii="Arial" w:cs="Arial" w:eastAsia="Arial" w:hAnsi="Arial"/>
          <w:b w:val="false"/>
          <w:bCs w:val="false"/>
          <w:i w:val="false"/>
          <w:iCs w:val="false"/>
          <w:color w:val="5B595A"/>
          <w:sz w:val="20"/>
          <w:szCs w:val="20"/>
        </w:rPr>
        <w:t xml:space="preserve">This section records the specific investments the organisation plans to make in people, equipment, technology, processes, or accreditations to deliver the strategic objectives. Every investment should be costed, owned, and time-bound.</w:t>
      </w:r>
    </w:p>
    <w:p>
      <w:pPr>
        <w:spacing w:after="100" w:before="100"/>
      </w:pPr>
      <w:r>
        <w:t xml:space="preserve"/>
      </w:r>
    </w:p>
    <w:p>
      <w:pPr>
        <w:spacing w:after="80" w:before="60"/>
      </w:pPr>
      <w:r>
        <w:rPr>
          <w:rFonts w:ascii="Arial" w:cs="Arial" w:eastAsia="Arial" w:hAnsi="Arial"/>
          <w:b w:val="false"/>
          <w:bCs w:val="false"/>
          <w:i w:val="false"/>
          <w:iCs w:val="false"/>
          <w:color w:val="5B595A"/>
          <w:sz w:val="20"/>
          <w:szCs w:val="20"/>
        </w:rPr>
        <w:t xml:space="preserve">Nuclear customers assess whether your investment plan is credible and funded. A strategy document that lists aspirational investments with no cost or timescale will not withstand scrutiny. Where investments are subject to funding decisions, note this clearly and provide the decision timeline.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900"/>
        <w:gridCol w:w="900"/>
        <w:gridCol w:w="900"/>
        <w:gridCol w:w="900"/>
        <w:gridCol w:w="800"/>
        <w:gridCol w:w="760"/>
      </w:tblGrid>
      <w:tr>
        <w:tc>
          <w:tcPr>
            <w:tcW w:type="dxa" w:w="400"/>
            <w:tcBorders>
              <w:top w:val="single" w:color="CCCCCC" w:sz="1"/>
              <w:left w:val="single" w:color="CCCCCC" w:sz="1"/>
              <w:bottom w:val="single" w:color="CCCCCC" w:sz="1"/>
              <w:right w:val="single" w:color="CCCCCC" w:sz="1"/>
            </w:tcBorders>
            <w:shd w:fill="83348F" w:val="clear"/>
            <w:tcMar>
              <w:top w:type="dxa" w:w="80"/>
              <w:left w:type="dxa" w:w="100"/>
              <w:bottom w:type="dxa" w:w="80"/>
              <w:right w:type="dxa" w:w="100"/>
            </w:tcMar>
          </w:tcPr>
          <w:p>
            <w:r>
              <w:rPr>
                <w:rFonts w:ascii="Arial" w:cs="Arial" w:eastAsia="Arial" w:hAnsi="Arial"/>
                <w:b/>
                <w:bCs/>
                <w:color w:val="FFFFFF"/>
                <w:sz w:val="18"/>
                <w:szCs w:val="18"/>
              </w:rPr>
              <w:t xml:space="preserve">Ref</w:t>
            </w:r>
          </w:p>
        </w:tc>
        <w:tc>
          <w:tcPr>
            <w:tcW w:type="dxa" w:w="2200"/>
            <w:tcBorders>
              <w:top w:val="single" w:color="CCCCCC" w:sz="1"/>
              <w:left w:val="single" w:color="CCCCCC" w:sz="1"/>
              <w:bottom w:val="single" w:color="CCCCCC" w:sz="1"/>
              <w:right w:val="single" w:color="CCCCCC" w:sz="1"/>
            </w:tcBorders>
            <w:shd w:fill="83348F" w:val="clear"/>
            <w:tcMar>
              <w:top w:type="dxa" w:w="80"/>
              <w:left w:type="dxa" w:w="100"/>
              <w:bottom w:type="dxa" w:w="80"/>
              <w:right w:type="dxa" w:w="100"/>
            </w:tcMar>
          </w:tcPr>
          <w:p>
            <w:r>
              <w:rPr>
                <w:rFonts w:ascii="Arial" w:cs="Arial" w:eastAsia="Arial" w:hAnsi="Arial"/>
                <w:b/>
                <w:bCs/>
                <w:color w:val="FFFFFF"/>
                <w:sz w:val="18"/>
                <w:szCs w:val="18"/>
              </w:rPr>
              <w:t xml:space="preserve">Investment</w:t>
            </w:r>
          </w:p>
        </w:tc>
        <w:tc>
          <w:tcPr>
            <w:tcW w:type="dxa" w:w="900"/>
            <w:tcBorders>
              <w:top w:val="single" w:color="CCCCCC" w:sz="1"/>
              <w:left w:val="single" w:color="CCCCCC" w:sz="1"/>
              <w:bottom w:val="single" w:color="CCCCCC" w:sz="1"/>
              <w:right w:val="single" w:color="CCCCCC" w:sz="1"/>
            </w:tcBorders>
            <w:shd w:fill="83348F" w:val="clear"/>
            <w:tcMar>
              <w:top w:type="dxa" w:w="80"/>
              <w:left w:type="dxa" w:w="100"/>
              <w:bottom w:type="dxa" w:w="80"/>
              <w:right w:type="dxa" w:w="100"/>
            </w:tcMar>
          </w:tcPr>
          <w:p>
            <w:r>
              <w:rPr>
                <w:rFonts w:ascii="Arial" w:cs="Arial" w:eastAsia="Arial" w:hAnsi="Arial"/>
                <w:b/>
                <w:bCs/>
                <w:color w:val="FFFFFF"/>
                <w:sz w:val="18"/>
                <w:szCs w:val="18"/>
              </w:rPr>
              <w:t xml:space="preserve">Strategic Objective(s)</w:t>
            </w:r>
          </w:p>
        </w:tc>
        <w:tc>
          <w:tcPr>
            <w:tcW w:type="dxa" w:w="900"/>
            <w:tcBorders>
              <w:top w:val="single" w:color="CCCCCC" w:sz="1"/>
              <w:left w:val="single" w:color="CCCCCC" w:sz="1"/>
              <w:bottom w:val="single" w:color="CCCCCC" w:sz="1"/>
              <w:right w:val="single" w:color="CCCCCC" w:sz="1"/>
            </w:tcBorders>
            <w:shd w:fill="83348F" w:val="clear"/>
            <w:tcMar>
              <w:top w:type="dxa" w:w="80"/>
              <w:left w:type="dxa" w:w="100"/>
              <w:bottom w:type="dxa" w:w="80"/>
              <w:right w:type="dxa" w:w="100"/>
            </w:tcMar>
          </w:tcPr>
          <w:p>
            <w:r>
              <w:rPr>
                <w:rFonts w:ascii="Arial" w:cs="Arial" w:eastAsia="Arial" w:hAnsi="Arial"/>
                <w:b/>
                <w:bCs/>
                <w:color w:val="FFFFFF"/>
                <w:sz w:val="18"/>
                <w:szCs w:val="18"/>
              </w:rPr>
              <w:t xml:space="preserve">Estimated Cost (£)</w:t>
            </w:r>
          </w:p>
        </w:tc>
        <w:tc>
          <w:tcPr>
            <w:tcW w:type="dxa" w:w="900"/>
            <w:tcBorders>
              <w:top w:val="single" w:color="CCCCCC" w:sz="1"/>
              <w:left w:val="single" w:color="CCCCCC" w:sz="1"/>
              <w:bottom w:val="single" w:color="CCCCCC" w:sz="1"/>
              <w:right w:val="single" w:color="CCCCCC" w:sz="1"/>
            </w:tcBorders>
            <w:shd w:fill="83348F" w:val="clear"/>
            <w:tcMar>
              <w:top w:type="dxa" w:w="80"/>
              <w:left w:type="dxa" w:w="100"/>
              <w:bottom w:type="dxa" w:w="80"/>
              <w:right w:type="dxa" w:w="100"/>
            </w:tcMar>
          </w:tcPr>
          <w:p>
            <w:r>
              <w:rPr>
                <w:rFonts w:ascii="Arial" w:cs="Arial" w:eastAsia="Arial" w:hAnsi="Arial"/>
                <w:b/>
                <w:bCs/>
                <w:color w:val="FFFFFF"/>
                <w:sz w:val="18"/>
                <w:szCs w:val="18"/>
              </w:rPr>
              <w:t xml:space="preserve">Funding Source</w:t>
            </w:r>
          </w:p>
        </w:tc>
        <w:tc>
          <w:tcPr>
            <w:tcW w:type="dxa" w:w="900"/>
            <w:tcBorders>
              <w:top w:val="single" w:color="CCCCCC" w:sz="1"/>
              <w:left w:val="single" w:color="CCCCCC" w:sz="1"/>
              <w:bottom w:val="single" w:color="CCCCCC" w:sz="1"/>
              <w:right w:val="single" w:color="CCCCCC" w:sz="1"/>
            </w:tcBorders>
            <w:shd w:fill="83348F" w:val="clear"/>
            <w:tcMar>
              <w:top w:type="dxa" w:w="80"/>
              <w:left w:type="dxa" w:w="100"/>
              <w:bottom w:type="dxa" w:w="80"/>
              <w:right w:type="dxa" w:w="100"/>
            </w:tcMar>
          </w:tcPr>
          <w:p>
            <w:r>
              <w:rPr>
                <w:rFonts w:ascii="Arial" w:cs="Arial" w:eastAsia="Arial" w:hAnsi="Arial"/>
                <w:b/>
                <w:bCs/>
                <w:color w:val="FFFFFF"/>
                <w:sz w:val="18"/>
                <w:szCs w:val="18"/>
              </w:rPr>
              <w:t xml:space="preserve">Timescale</w:t>
            </w:r>
          </w:p>
        </w:tc>
        <w:tc>
          <w:tcPr>
            <w:tcW w:type="dxa" w:w="800"/>
            <w:tcBorders>
              <w:top w:val="single" w:color="CCCCCC" w:sz="1"/>
              <w:left w:val="single" w:color="CCCCCC" w:sz="1"/>
              <w:bottom w:val="single" w:color="CCCCCC" w:sz="1"/>
              <w:right w:val="single" w:color="CCCCCC" w:sz="1"/>
            </w:tcBorders>
            <w:shd w:fill="83348F" w:val="clear"/>
            <w:tcMar>
              <w:top w:type="dxa" w:w="80"/>
              <w:left w:type="dxa" w:w="100"/>
              <w:bottom w:type="dxa" w:w="80"/>
              <w:right w:type="dxa" w:w="100"/>
            </w:tcMar>
          </w:tcPr>
          <w:p>
            <w:r>
              <w:rPr>
                <w:rFonts w:ascii="Arial" w:cs="Arial" w:eastAsia="Arial" w:hAnsi="Arial"/>
                <w:b/>
                <w:bCs/>
                <w:color w:val="FFFFFF"/>
                <w:sz w:val="18"/>
                <w:szCs w:val="18"/>
              </w:rPr>
              <w:t xml:space="preserve">Owner</w:t>
            </w:r>
          </w:p>
        </w:tc>
        <w:tc>
          <w:tcPr>
            <w:tcW w:type="dxa" w:w="760"/>
            <w:tcBorders>
              <w:top w:val="single" w:color="CCCCCC" w:sz="1"/>
              <w:left w:val="single" w:color="CCCCCC" w:sz="1"/>
              <w:bottom w:val="single" w:color="CCCCCC" w:sz="1"/>
              <w:right w:val="single" w:color="CCCCCC" w:sz="1"/>
            </w:tcBorders>
            <w:shd w:fill="83348F" w:val="clear"/>
            <w:tcMar>
              <w:top w:type="dxa" w:w="80"/>
              <w:left w:type="dxa" w:w="100"/>
              <w:bottom w:type="dxa" w:w="80"/>
              <w:right w:type="dxa" w:w="100"/>
            </w:tcMar>
          </w:tcPr>
          <w:p>
            <w:r>
              <w:rPr>
                <w:rFonts w:ascii="Arial" w:cs="Arial" w:eastAsia="Arial" w:hAnsi="Arial"/>
                <w:b/>
                <w:bCs/>
                <w:color w:val="FFFFFF"/>
                <w:sz w:val="18"/>
                <w:szCs w:val="18"/>
              </w:rPr>
              <w:t xml:space="preserve">Status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INV-01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888888"/>
                <w:sz w:val="18"/>
                <w:szCs w:val="18"/>
              </w:rPr>
              <w:t xml:space="preserve">e.g. 5-axis CNC machining centre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SO-02</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888888"/>
                <w:sz w:val="18"/>
                <w:szCs w:val="18"/>
              </w:rPr>
              <w:t xml:space="preserve">e.g. £280,000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888888"/>
                <w:sz w:val="18"/>
                <w:szCs w:val="18"/>
              </w:rPr>
              <w:t xml:space="preserve">e.g. Bank finance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888888"/>
                <w:sz w:val="18"/>
                <w:szCs w:val="18"/>
              </w:rPr>
              <w:t xml:space="preserve">e.g. Q2 2025</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MD</w:t>
            </w:r>
          </w:p>
        </w:tc>
        <w:tc>
          <w:tcPr>
            <w:tcW w:type="dxa" w:w="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888888"/>
                <w:sz w:val="18"/>
                <w:szCs w:val="18"/>
              </w:rPr>
              <w:t xml:space="preserve">e.g. Approved</w:t>
            </w:r>
          </w:p>
        </w:tc>
      </w:tr>
      <w:tr>
        <w:tc>
          <w:tcPr>
            <w:tcW w:type="dxa" w:w="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5B595A"/>
                <w:sz w:val="18"/>
                <w:szCs w:val="18"/>
              </w:rPr>
              <w:t xml:space="preserve">INV-02</w:t>
            </w:r>
          </w:p>
        </w:tc>
        <w:tc>
          <w:tcPr>
            <w:tcW w:type="dxa" w:w="22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iCs/>
                <w:color w:val="888888"/>
                <w:sz w:val="18"/>
                <w:szCs w:val="18"/>
              </w:rPr>
              <w:t xml:space="preserve">e.g. AS9100 Rev D certification (consultancy + audit fees)</w:t>
            </w:r>
          </w:p>
        </w:tc>
        <w:tc>
          <w:tcPr>
            <w:tcW w:type="dxa" w:w="9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5B595A"/>
                <w:sz w:val="18"/>
                <w:szCs w:val="18"/>
              </w:rPr>
              <w:t xml:space="preserve">SO-04</w:t>
            </w:r>
          </w:p>
        </w:tc>
        <w:tc>
          <w:tcPr>
            <w:tcW w:type="dxa" w:w="9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iCs/>
                <w:color w:val="888888"/>
                <w:sz w:val="18"/>
                <w:szCs w:val="18"/>
              </w:rPr>
              <w:t xml:space="preserve">e.g. £18,000</w:t>
            </w:r>
          </w:p>
        </w:tc>
        <w:tc>
          <w:tcPr>
            <w:tcW w:type="dxa" w:w="9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iCs/>
                <w:color w:val="888888"/>
                <w:sz w:val="18"/>
                <w:szCs w:val="18"/>
              </w:rPr>
              <w:t xml:space="preserve">e.g. Internal</w:t>
            </w:r>
          </w:p>
        </w:tc>
        <w:tc>
          <w:tcPr>
            <w:tcW w:type="dxa" w:w="9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iCs/>
                <w:color w:val="888888"/>
                <w:sz w:val="18"/>
                <w:szCs w:val="18"/>
              </w:rPr>
              <w:t xml:space="preserve">e.g. Q3 2025</w:t>
            </w:r>
          </w:p>
        </w:tc>
        <w:tc>
          <w:tcPr>
            <w:tcW w:type="dxa" w:w="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5B595A"/>
                <w:sz w:val="18"/>
                <w:szCs w:val="18"/>
              </w:rPr>
              <w:t xml:space="preserve">QM</w:t>
            </w:r>
          </w:p>
        </w:tc>
        <w:tc>
          <w:tcPr>
            <w:tcW w:type="dxa" w:w="76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iCs/>
                <w:color w:val="888888"/>
                <w:sz w:val="18"/>
                <w:szCs w:val="18"/>
              </w:rPr>
              <w:t xml:space="preserve">e.g. In progress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INV-03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888888"/>
                <w:sz w:val="18"/>
                <w:szCs w:val="18"/>
              </w:rPr>
              <w:t xml:space="preserve">e.g. Nuclear quality and traceability training (all production staff)</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SO-05</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888888"/>
                <w:sz w:val="18"/>
                <w:szCs w:val="18"/>
              </w:rPr>
              <w:t xml:space="preserve">e.g. £6,500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888888"/>
                <w:sz w:val="18"/>
                <w:szCs w:val="18"/>
              </w:rPr>
              <w:t xml:space="preserve">e.g. Internal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888888"/>
                <w:sz w:val="18"/>
                <w:szCs w:val="18"/>
              </w:rPr>
              <w:t xml:space="preserve">e.g. Q1 2025</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HR</w:t>
            </w:r>
          </w:p>
        </w:tc>
        <w:tc>
          <w:tcPr>
            <w:tcW w:type="dxa" w:w="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888888"/>
                <w:sz w:val="18"/>
                <w:szCs w:val="18"/>
              </w:rPr>
              <w:t xml:space="preserve">e.g. Planned</w:t>
            </w:r>
          </w:p>
        </w:tc>
      </w:tr>
      <w:tr>
        <w:tc>
          <w:tcPr>
            <w:tcW w:type="dxa" w:w="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5B595A"/>
                <w:sz w:val="18"/>
                <w:szCs w:val="18"/>
              </w:rPr>
              <w:t xml:space="preserve">INV-04</w:t>
            </w:r>
          </w:p>
        </w:tc>
        <w:tc>
          <w:tcPr>
            <w:tcW w:type="dxa" w:w="22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iCs/>
                <w:color w:val="888888"/>
                <w:sz w:val="18"/>
                <w:szCs w:val="18"/>
              </w:rPr>
              <w:t xml:space="preserve">e.g. ERP system upgrade to support traceability and job costing</w:t>
            </w:r>
          </w:p>
        </w:tc>
        <w:tc>
          <w:tcPr>
            <w:tcW w:type="dxa" w:w="9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5B595A"/>
                <w:sz w:val="18"/>
                <w:szCs w:val="18"/>
              </w:rPr>
              <w:t xml:space="preserve">SO-02, SO-03</w:t>
            </w:r>
          </w:p>
        </w:tc>
        <w:tc>
          <w:tcPr>
            <w:tcW w:type="dxa" w:w="9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iCs/>
                <w:color w:val="888888"/>
                <w:sz w:val="18"/>
                <w:szCs w:val="18"/>
              </w:rPr>
              <w:t xml:space="preserve">e.g. £45,000</w:t>
            </w:r>
          </w:p>
        </w:tc>
        <w:tc>
          <w:tcPr>
            <w:tcW w:type="dxa" w:w="9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iCs/>
                <w:color w:val="888888"/>
                <w:sz w:val="18"/>
                <w:szCs w:val="18"/>
              </w:rPr>
              <w:t xml:space="preserve">e.g. Internal / grant</w:t>
            </w:r>
          </w:p>
        </w:tc>
        <w:tc>
          <w:tcPr>
            <w:tcW w:type="dxa" w:w="9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iCs/>
                <w:color w:val="888888"/>
                <w:sz w:val="18"/>
                <w:szCs w:val="18"/>
              </w:rPr>
              <w:t xml:space="preserve">e.g. Q4 2025</w:t>
            </w:r>
          </w:p>
        </w:tc>
        <w:tc>
          <w:tcPr>
            <w:tcW w:type="dxa" w:w="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5B595A"/>
                <w:sz w:val="18"/>
                <w:szCs w:val="18"/>
              </w:rPr>
              <w:t xml:space="preserve">MD</w:t>
            </w:r>
          </w:p>
        </w:tc>
        <w:tc>
          <w:tcPr>
            <w:tcW w:type="dxa" w:w="76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iCs/>
                <w:color w:val="888888"/>
                <w:sz w:val="18"/>
                <w:szCs w:val="18"/>
              </w:rPr>
              <w:t xml:space="preserve">e.g. Under review</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INV-05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r>
      <w:tr>
        <w:tc>
          <w:tcPr>
            <w:tcW w:type="dxa" w:w="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5B595A"/>
                <w:sz w:val="18"/>
                <w:szCs w:val="18"/>
              </w:rPr>
              <w:t xml:space="preserve">INV-06</w:t>
            </w:r>
          </w:p>
        </w:tc>
        <w:tc>
          <w:tcPr>
            <w:tcW w:type="dxa" w:w="22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76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9FE3" w:val="clear"/>
            <w:tcMar>
              <w:top w:type="dxa" w:w="120"/>
              <w:left w:type="dxa" w:w="200"/>
              <w:bottom w:type="dxa" w:w="120"/>
              <w:right w:type="dxa" w:w="200"/>
            </w:tcMar>
          </w:tcPr>
          <w:p>
            <w:r>
              <w:rPr>
                <w:rFonts w:ascii="Arial" w:cs="Arial" w:eastAsia="Arial" w:hAnsi="Arial"/>
                <w:b/>
                <w:bCs/>
                <w:color w:val="FFFFFF"/>
                <w:sz w:val="24"/>
                <w:szCs w:val="24"/>
              </w:rPr>
              <w:t xml:space="preserve">5.  COST &amp; PRODUCTIVITY IMPROVEMENT DRIVERS</w:t>
            </w:r>
          </w:p>
        </w:tc>
      </w:tr>
    </w:tbl>
    <w:p>
      <w:pPr>
        <w:spacing w:after="100" w:before="100"/>
      </w:pPr>
      <w:r>
        <w:t xml:space="preserve"/>
      </w:r>
    </w:p>
    <w:p>
      <w:pPr>
        <w:spacing w:after="80" w:before="60"/>
      </w:pPr>
      <w:r>
        <w:rPr>
          <w:rFonts w:ascii="Arial" w:cs="Arial" w:eastAsia="Arial" w:hAnsi="Arial"/>
          <w:b w:val="false"/>
          <w:bCs w:val="false"/>
          <w:i w:val="false"/>
          <w:iCs w:val="false"/>
          <w:color w:val="5B595A"/>
          <w:sz w:val="20"/>
          <w:szCs w:val="20"/>
        </w:rPr>
        <w:t xml:space="preserve">Identify the key levers for cost reduction and productivity improvement within the business. These should be specific and measurable, not general statements. Each driver should link to a CSIP project (see PE-01b) and have a named owner responsible for delivery.</w:t>
      </w:r>
    </w:p>
    <w:p>
      <w:pPr>
        <w:spacing w:after="100" w:before="100"/>
      </w:pPr>
      <w:r>
        <w:t xml:space="preserve"/>
      </w:r>
    </w:p>
    <w:p>
      <w:pPr>
        <w:spacing w:after="80" w:before="60"/>
      </w:pPr>
      <w:r>
        <w:rPr>
          <w:rFonts w:ascii="Arial" w:cs="Arial" w:eastAsia="Arial" w:hAnsi="Arial"/>
          <w:b w:val="false"/>
          <w:bCs w:val="false"/>
          <w:i w:val="false"/>
          <w:iCs w:val="false"/>
          <w:color w:val="5B595A"/>
          <w:sz w:val="20"/>
          <w:szCs w:val="20"/>
        </w:rPr>
        <w:t xml:space="preserve">Nuclear customers expect their suppliers to have a demonstrable and disciplined approach to cost and efficiency. A business that cannot articulate how it controls and reduces its cost base will struggle to remain competitive on nuclear programmes, which typically demand long-term cost-down commitments.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960"/>
        <w:gridCol w:w="1300"/>
        <w:gridCol w:w="1300"/>
        <w:gridCol w:w="1100"/>
        <w:gridCol w:w="1700"/>
      </w:tblGrid>
      <w:tr>
        <w:tc>
          <w:tcPr>
            <w:tcW w:type="dxa" w:w="1000"/>
            <w:tcBorders>
              <w:top w:val="single" w:color="CCCCCC" w:sz="1"/>
              <w:left w:val="single" w:color="CCCCCC" w:sz="1"/>
              <w:bottom w:val="single" w:color="CCCCCC" w:sz="1"/>
              <w:right w:val="single" w:color="CCCCCC" w:sz="1"/>
            </w:tcBorders>
            <w:shd w:fill="009FE3" w:val="clear"/>
            <w:tcMar>
              <w:top w:type="dxa" w:w="80"/>
              <w:left w:type="dxa" w:w="100"/>
              <w:bottom w:type="dxa" w:w="80"/>
              <w:right w:type="dxa" w:w="100"/>
            </w:tcMar>
          </w:tcPr>
          <w:p>
            <w:r>
              <w:rPr>
                <w:rFonts w:ascii="Arial" w:cs="Arial" w:eastAsia="Arial" w:hAnsi="Arial"/>
                <w:b/>
                <w:bCs/>
                <w:color w:val="FFFFFF"/>
                <w:sz w:val="18"/>
                <w:szCs w:val="18"/>
              </w:rPr>
              <w:t xml:space="preserve">Driver</w:t>
            </w:r>
          </w:p>
        </w:tc>
        <w:tc>
          <w:tcPr>
            <w:tcW w:type="dxa" w:w="2960"/>
            <w:tcBorders>
              <w:top w:val="single" w:color="CCCCCC" w:sz="1"/>
              <w:left w:val="single" w:color="CCCCCC" w:sz="1"/>
              <w:bottom w:val="single" w:color="CCCCCC" w:sz="1"/>
              <w:right w:val="single" w:color="CCCCCC" w:sz="1"/>
            </w:tcBorders>
            <w:shd w:fill="009FE3"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c>
          <w:tcPr>
            <w:tcW w:type="dxa" w:w="1300"/>
            <w:tcBorders>
              <w:top w:val="single" w:color="CCCCCC" w:sz="1"/>
              <w:left w:val="single" w:color="CCCCCC" w:sz="1"/>
              <w:bottom w:val="single" w:color="CCCCCC" w:sz="1"/>
              <w:right w:val="single" w:color="CCCCCC" w:sz="1"/>
            </w:tcBorders>
            <w:shd w:fill="009FE3" w:val="clear"/>
            <w:tcMar>
              <w:top w:type="dxa" w:w="80"/>
              <w:left w:type="dxa" w:w="100"/>
              <w:bottom w:type="dxa" w:w="80"/>
              <w:right w:type="dxa" w:w="100"/>
            </w:tcMar>
          </w:tcPr>
          <w:p>
            <w:r>
              <w:rPr>
                <w:rFonts w:ascii="Arial" w:cs="Arial" w:eastAsia="Arial" w:hAnsi="Arial"/>
                <w:b/>
                <w:bCs/>
                <w:color w:val="FFFFFF"/>
                <w:sz w:val="18"/>
                <w:szCs w:val="18"/>
              </w:rPr>
              <w:t xml:space="preserve">Current Baseline</w:t>
            </w:r>
          </w:p>
        </w:tc>
        <w:tc>
          <w:tcPr>
            <w:tcW w:type="dxa" w:w="1300"/>
            <w:tcBorders>
              <w:top w:val="single" w:color="CCCCCC" w:sz="1"/>
              <w:left w:val="single" w:color="CCCCCC" w:sz="1"/>
              <w:bottom w:val="single" w:color="CCCCCC" w:sz="1"/>
              <w:right w:val="single" w:color="CCCCCC" w:sz="1"/>
            </w:tcBorders>
            <w:shd w:fill="009FE3" w:val="clear"/>
            <w:tcMar>
              <w:top w:type="dxa" w:w="80"/>
              <w:left w:type="dxa" w:w="100"/>
              <w:bottom w:type="dxa" w:w="80"/>
              <w:right w:type="dxa" w:w="100"/>
            </w:tcMar>
          </w:tcPr>
          <w:p>
            <w:r>
              <w:rPr>
                <w:rFonts w:ascii="Arial" w:cs="Arial" w:eastAsia="Arial" w:hAnsi="Arial"/>
                <w:b/>
                <w:bCs/>
                <w:color w:val="FFFFFF"/>
                <w:sz w:val="18"/>
                <w:szCs w:val="18"/>
              </w:rPr>
              <w:t xml:space="preserve">Target</w:t>
            </w:r>
          </w:p>
        </w:tc>
        <w:tc>
          <w:tcPr>
            <w:tcW w:type="dxa" w:w="1100"/>
            <w:tcBorders>
              <w:top w:val="single" w:color="CCCCCC" w:sz="1"/>
              <w:left w:val="single" w:color="CCCCCC" w:sz="1"/>
              <w:bottom w:val="single" w:color="CCCCCC" w:sz="1"/>
              <w:right w:val="single" w:color="CCCCCC" w:sz="1"/>
            </w:tcBorders>
            <w:shd w:fill="009FE3" w:val="clear"/>
            <w:tcMar>
              <w:top w:type="dxa" w:w="80"/>
              <w:left w:type="dxa" w:w="100"/>
              <w:bottom w:type="dxa" w:w="80"/>
              <w:right w:type="dxa" w:w="100"/>
            </w:tcMar>
          </w:tcPr>
          <w:p>
            <w:r>
              <w:rPr>
                <w:rFonts w:ascii="Arial" w:cs="Arial" w:eastAsia="Arial" w:hAnsi="Arial"/>
                <w:b/>
                <w:bCs/>
                <w:color w:val="FFFFFF"/>
                <w:sz w:val="18"/>
                <w:szCs w:val="18"/>
              </w:rPr>
              <w:t xml:space="preserve">CSIP Project Ref</w:t>
            </w:r>
          </w:p>
        </w:tc>
        <w:tc>
          <w:tcPr>
            <w:tcW w:type="dxa" w:w="1700"/>
            <w:tcBorders>
              <w:top w:val="single" w:color="CCCCCC" w:sz="1"/>
              <w:left w:val="single" w:color="CCCCCC" w:sz="1"/>
              <w:bottom w:val="single" w:color="CCCCCC" w:sz="1"/>
              <w:right w:val="single" w:color="CCCCCC" w:sz="1"/>
            </w:tcBorders>
            <w:shd w:fill="009FE3" w:val="clear"/>
            <w:tcMar>
              <w:top w:type="dxa" w:w="80"/>
              <w:left w:type="dxa" w:w="100"/>
              <w:bottom w:type="dxa" w:w="80"/>
              <w:right w:type="dxa" w:w="100"/>
            </w:tcMar>
          </w:tcPr>
          <w:p>
            <w:r>
              <w:rPr>
                <w:rFonts w:ascii="Arial" w:cs="Arial" w:eastAsia="Arial" w:hAnsi="Arial"/>
                <w:b/>
                <w:bCs/>
                <w:color w:val="FFFFFF"/>
                <w:sz w:val="18"/>
                <w:szCs w:val="18"/>
              </w:rPr>
              <w:t xml:space="preserve">Owner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Labour efficiency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888888"/>
                <w:sz w:val="18"/>
                <w:szCs w:val="18"/>
              </w:rPr>
              <w:t xml:space="preserve">e.g. Reduce non-productive time through 5S and standard work</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888888"/>
                <w:sz w:val="18"/>
                <w:szCs w:val="18"/>
              </w:rPr>
              <w:t xml:space="preserve">e.g. OEE 61%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888888"/>
                <w:sz w:val="18"/>
                <w:szCs w:val="18"/>
              </w:rPr>
              <w:t xml:space="preserve">e.g. OEE 75%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888888"/>
                <w:sz w:val="18"/>
                <w:szCs w:val="18"/>
              </w:rPr>
              <w:t xml:space="preserve">e.g. CSIP-04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Ops Manager</w:t>
            </w:r>
          </w:p>
        </w:tc>
      </w:tr>
      <w:tr>
        <w:tc>
          <w:tcPr>
            <w:tcW w:type="dxa" w:w="1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5B595A"/>
                <w:sz w:val="18"/>
                <w:szCs w:val="18"/>
              </w:rPr>
              <w:t xml:space="preserve">Material waste</w:t>
            </w:r>
          </w:p>
        </w:tc>
        <w:tc>
          <w:tcPr>
            <w:tcW w:type="dxa" w:w="296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iCs/>
                <w:color w:val="888888"/>
                <w:sz w:val="18"/>
                <w:szCs w:val="18"/>
              </w:rPr>
              <w:t xml:space="preserve">e.g. Reduce machining scrap rate through process control and SPC</w:t>
            </w:r>
          </w:p>
        </w:tc>
        <w:tc>
          <w:tcPr>
            <w:tcW w:type="dxa" w:w="13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iCs/>
                <w:color w:val="888888"/>
                <w:sz w:val="18"/>
                <w:szCs w:val="18"/>
              </w:rPr>
              <w:t xml:space="preserve">e.g. 4.2% scrap</w:t>
            </w:r>
          </w:p>
        </w:tc>
        <w:tc>
          <w:tcPr>
            <w:tcW w:type="dxa" w:w="13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iCs/>
                <w:color w:val="888888"/>
                <w:sz w:val="18"/>
                <w:szCs w:val="18"/>
              </w:rPr>
              <w:t xml:space="preserve">e.g. &lt;2%</w:t>
            </w:r>
          </w:p>
        </w:tc>
        <w:tc>
          <w:tcPr>
            <w:tcW w:type="dxa" w:w="11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iCs/>
                <w:color w:val="888888"/>
                <w:sz w:val="18"/>
                <w:szCs w:val="18"/>
              </w:rPr>
              <w:t xml:space="preserve">e.g. CSIP-07</w:t>
            </w:r>
          </w:p>
        </w:tc>
        <w:tc>
          <w:tcPr>
            <w:tcW w:type="dxa" w:w="17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5B595A"/>
                <w:sz w:val="18"/>
                <w:szCs w:val="18"/>
              </w:rPr>
              <w:t xml:space="preserve">Quality Manager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Setup / changeover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888888"/>
                <w:sz w:val="18"/>
                <w:szCs w:val="18"/>
              </w:rPr>
              <w:t xml:space="preserve">e.g. Reduce setup time on CNC cells using SMED methodology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888888"/>
                <w:sz w:val="18"/>
                <w:szCs w:val="18"/>
              </w:rPr>
              <w:t xml:space="preserve">e.g. Avg 47 mins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888888"/>
                <w:sz w:val="18"/>
                <w:szCs w:val="18"/>
              </w:rPr>
              <w:t xml:space="preserve">e.g. &lt;25 mins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888888"/>
                <w:sz w:val="18"/>
                <w:szCs w:val="18"/>
              </w:rPr>
              <w:t xml:space="preserve">e.g. CSIP-09</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Prod. Manager</w:t>
            </w:r>
          </w:p>
        </w:tc>
      </w:tr>
      <w:tr>
        <w:tc>
          <w:tcPr>
            <w:tcW w:type="dxa" w:w="1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5B595A"/>
                <w:sz w:val="18"/>
                <w:szCs w:val="18"/>
              </w:rPr>
              <w:t xml:space="preserve">Energy</w:t>
            </w:r>
          </w:p>
        </w:tc>
        <w:tc>
          <w:tcPr>
            <w:tcW w:type="dxa" w:w="296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iCs/>
                <w:color w:val="888888"/>
                <w:sz w:val="18"/>
                <w:szCs w:val="18"/>
              </w:rPr>
              <w:t xml:space="preserve">e.g. Reduce energy cost per unit through shift pattern review and LED upgrade</w:t>
            </w:r>
          </w:p>
        </w:tc>
        <w:tc>
          <w:tcPr>
            <w:tcW w:type="dxa" w:w="13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iCs/>
                <w:color w:val="888888"/>
                <w:sz w:val="18"/>
                <w:szCs w:val="18"/>
              </w:rPr>
              <w:t xml:space="preserve">e.g. £X/unit</w:t>
            </w:r>
          </w:p>
        </w:tc>
        <w:tc>
          <w:tcPr>
            <w:tcW w:type="dxa" w:w="13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iCs/>
                <w:color w:val="888888"/>
                <w:sz w:val="18"/>
                <w:szCs w:val="18"/>
              </w:rPr>
              <w:t xml:space="preserve">e.g. £Y/unit (-15%)</w:t>
            </w:r>
          </w:p>
        </w:tc>
        <w:tc>
          <w:tcPr>
            <w:tcW w:type="dxa" w:w="11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iCs/>
                <w:color w:val="888888"/>
                <w:sz w:val="18"/>
                <w:szCs w:val="18"/>
              </w:rPr>
              <w:t xml:space="preserve">e.g. CSIP-12</w:t>
            </w:r>
          </w:p>
        </w:tc>
        <w:tc>
          <w:tcPr>
            <w:tcW w:type="dxa" w:w="17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5B595A"/>
                <w:sz w:val="18"/>
                <w:szCs w:val="18"/>
              </w:rPr>
              <w:t xml:space="preserve">Facilities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Overhead recovery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888888"/>
                <w:sz w:val="18"/>
                <w:szCs w:val="18"/>
              </w:rPr>
              <w:t xml:space="preserve">e.g. Improve machine utilisation to absorb fixed overhead more effectively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888888"/>
                <w:sz w:val="18"/>
                <w:szCs w:val="18"/>
              </w:rPr>
              <w:t xml:space="preserve">e.g. X% utilisation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888888"/>
                <w:sz w:val="18"/>
                <w:szCs w:val="18"/>
              </w:rPr>
              <w:t xml:space="preserve">e.g. 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888888"/>
                <w:sz w:val="18"/>
                <w:szCs w:val="18"/>
              </w:rPr>
              <w:t xml:space="preserve">e.g. CSIP-03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Ops Director</w:t>
            </w:r>
          </w:p>
        </w:tc>
      </w:tr>
      <w:tr>
        <w:tc>
          <w:tcPr>
            <w:tcW w:type="dxa" w:w="1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296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3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3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1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7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9FE3" w:val="clear"/>
            <w:tcMar>
              <w:top w:type="dxa" w:w="120"/>
              <w:left w:type="dxa" w:w="200"/>
              <w:bottom w:type="dxa" w:w="120"/>
              <w:right w:type="dxa" w:w="200"/>
            </w:tcMar>
          </w:tcPr>
          <w:p>
            <w:r>
              <w:rPr>
                <w:rFonts w:ascii="Arial" w:cs="Arial" w:eastAsia="Arial" w:hAnsi="Arial"/>
                <w:b/>
                <w:bCs/>
                <w:color w:val="FFFFFF"/>
                <w:sz w:val="24"/>
                <w:szCs w:val="24"/>
              </w:rPr>
              <w:t xml:space="preserve">6.  KEY PERFORMANCE INDICATORS</w:t>
            </w:r>
          </w:p>
        </w:tc>
      </w:tr>
    </w:tbl>
    <w:p>
      <w:pPr>
        <w:spacing w:after="100" w:before="100"/>
      </w:pPr>
      <w:r>
        <w:t xml:space="preserve"/>
      </w:r>
    </w:p>
    <w:p>
      <w:pPr>
        <w:spacing w:after="80" w:before="60"/>
      </w:pPr>
      <w:r>
        <w:rPr>
          <w:rFonts w:ascii="Arial" w:cs="Arial" w:eastAsia="Arial" w:hAnsi="Arial"/>
          <w:b w:val="false"/>
          <w:bCs w:val="false"/>
          <w:i w:val="false"/>
          <w:iCs w:val="false"/>
          <w:color w:val="5B595A"/>
          <w:sz w:val="20"/>
          <w:szCs w:val="20"/>
        </w:rPr>
        <w:t xml:space="preserve">The following KPIs will be used to measure performance against this strategy. KPIs should be visible on the shopfloor and discussed at every monthly performance review. If a KPI is not being actively discussed and acted upon, it is not being managed.</w:t>
      </w:r>
    </w:p>
    <w:p>
      <w:pPr>
        <w:spacing w:after="100" w:before="100"/>
      </w:pPr>
      <w:r>
        <w:t xml:space="preserve"/>
      </w:r>
    </w:p>
    <w:p>
      <w:pPr>
        <w:spacing w:after="80" w:before="60"/>
      </w:pPr>
      <w:r>
        <w:rPr>
          <w:rFonts w:ascii="Arial" w:cs="Arial" w:eastAsia="Arial" w:hAnsi="Arial"/>
          <w:b w:val="false"/>
          <w:bCs w:val="false"/>
          <w:i w:val="false"/>
          <w:iCs w:val="false"/>
          <w:color w:val="5B595A"/>
          <w:sz w:val="20"/>
          <w:szCs w:val="20"/>
        </w:rPr>
        <w:t xml:space="preserve">For each KPI, set a realistic baseline from actual recent performance data. Do not estimate or aspire. Targets should be stretching but achievable within the review period.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00"/>
        <w:gridCol w:w="800"/>
        <w:gridCol w:w="800"/>
        <w:gridCol w:w="900"/>
        <w:gridCol w:w="900"/>
        <w:gridCol w:w="1460"/>
      </w:tblGrid>
      <w:tr>
        <w:tc>
          <w:tcPr>
            <w:tcW w:type="dxa" w:w="1400"/>
            <w:tcBorders>
              <w:top w:val="single" w:color="CCCCCC" w:sz="1"/>
              <w:left w:val="single" w:color="CCCCCC" w:sz="1"/>
              <w:bottom w:val="single" w:color="CCCCCC" w:sz="1"/>
              <w:right w:val="single" w:color="CCCCCC" w:sz="1"/>
            </w:tcBorders>
            <w:shd w:fill="83348F" w:val="clear"/>
            <w:tcMar>
              <w:top w:type="dxa" w:w="80"/>
              <w:left w:type="dxa" w:w="100"/>
              <w:bottom w:type="dxa" w:w="80"/>
              <w:right w:type="dxa" w:w="100"/>
            </w:tcMar>
          </w:tcPr>
          <w:p>
            <w:r>
              <w:rPr>
                <w:rFonts w:ascii="Arial" w:cs="Arial" w:eastAsia="Arial" w:hAnsi="Arial"/>
                <w:b/>
                <w:bCs/>
                <w:color w:val="FFFFFF"/>
                <w:sz w:val="18"/>
                <w:szCs w:val="18"/>
              </w:rPr>
              <w:t xml:space="preserve">KPI</w:t>
            </w:r>
          </w:p>
        </w:tc>
        <w:tc>
          <w:tcPr>
            <w:tcW w:type="dxa" w:w="2100"/>
            <w:tcBorders>
              <w:top w:val="single" w:color="CCCCCC" w:sz="1"/>
              <w:left w:val="single" w:color="CCCCCC" w:sz="1"/>
              <w:bottom w:val="single" w:color="CCCCCC" w:sz="1"/>
              <w:right w:val="single" w:color="CCCCCC" w:sz="1"/>
            </w:tcBorders>
            <w:shd w:fill="83348F" w:val="clear"/>
            <w:tcMar>
              <w:top w:type="dxa" w:w="80"/>
              <w:left w:type="dxa" w:w="100"/>
              <w:bottom w:type="dxa" w:w="80"/>
              <w:right w:type="dxa" w:w="100"/>
            </w:tcMar>
          </w:tcPr>
          <w:p>
            <w:r>
              <w:rPr>
                <w:rFonts w:ascii="Arial" w:cs="Arial" w:eastAsia="Arial" w:hAnsi="Arial"/>
                <w:b/>
                <w:bCs/>
                <w:color w:val="FFFFFF"/>
                <w:sz w:val="18"/>
                <w:szCs w:val="18"/>
              </w:rPr>
              <w:t xml:space="preserve">Definition</w:t>
            </w:r>
          </w:p>
        </w:tc>
        <w:tc>
          <w:tcPr>
            <w:tcW w:type="dxa" w:w="800"/>
            <w:tcBorders>
              <w:top w:val="single" w:color="CCCCCC" w:sz="1"/>
              <w:left w:val="single" w:color="CCCCCC" w:sz="1"/>
              <w:bottom w:val="single" w:color="CCCCCC" w:sz="1"/>
              <w:right w:val="single" w:color="CCCCCC" w:sz="1"/>
            </w:tcBorders>
            <w:shd w:fill="83348F" w:val="clear"/>
            <w:tcMar>
              <w:top w:type="dxa" w:w="80"/>
              <w:left w:type="dxa" w:w="100"/>
              <w:bottom w:type="dxa" w:w="80"/>
              <w:right w:type="dxa" w:w="100"/>
            </w:tcMar>
          </w:tcPr>
          <w:p>
            <w:r>
              <w:rPr>
                <w:rFonts w:ascii="Arial" w:cs="Arial" w:eastAsia="Arial" w:hAnsi="Arial"/>
                <w:b/>
                <w:bCs/>
                <w:color w:val="FFFFFF"/>
                <w:sz w:val="18"/>
                <w:szCs w:val="18"/>
              </w:rPr>
              <w:t xml:space="preserve">Baseline</w:t>
            </w:r>
          </w:p>
        </w:tc>
        <w:tc>
          <w:tcPr>
            <w:tcW w:type="dxa" w:w="800"/>
            <w:tcBorders>
              <w:top w:val="single" w:color="CCCCCC" w:sz="1"/>
              <w:left w:val="single" w:color="CCCCCC" w:sz="1"/>
              <w:bottom w:val="single" w:color="CCCCCC" w:sz="1"/>
              <w:right w:val="single" w:color="CCCCCC" w:sz="1"/>
            </w:tcBorders>
            <w:shd w:fill="83348F" w:val="clear"/>
            <w:tcMar>
              <w:top w:type="dxa" w:w="80"/>
              <w:left w:type="dxa" w:w="100"/>
              <w:bottom w:type="dxa" w:w="80"/>
              <w:right w:type="dxa" w:w="100"/>
            </w:tcMar>
          </w:tcPr>
          <w:p>
            <w:r>
              <w:rPr>
                <w:rFonts w:ascii="Arial" w:cs="Arial" w:eastAsia="Arial" w:hAnsi="Arial"/>
                <w:b/>
                <w:bCs/>
                <w:color w:val="FFFFFF"/>
                <w:sz w:val="18"/>
                <w:szCs w:val="18"/>
              </w:rPr>
              <w:t xml:space="preserve">Target</w:t>
            </w:r>
          </w:p>
        </w:tc>
        <w:tc>
          <w:tcPr>
            <w:tcW w:type="dxa" w:w="900"/>
            <w:tcBorders>
              <w:top w:val="single" w:color="CCCCCC" w:sz="1"/>
              <w:left w:val="single" w:color="CCCCCC" w:sz="1"/>
              <w:bottom w:val="single" w:color="CCCCCC" w:sz="1"/>
              <w:right w:val="single" w:color="CCCCCC" w:sz="1"/>
            </w:tcBorders>
            <w:shd w:fill="83348F" w:val="clear"/>
            <w:tcMar>
              <w:top w:type="dxa" w:w="80"/>
              <w:left w:type="dxa" w:w="100"/>
              <w:bottom w:type="dxa" w:w="80"/>
              <w:right w:type="dxa" w:w="100"/>
            </w:tcMar>
          </w:tcPr>
          <w:p>
            <w:r>
              <w:rPr>
                <w:rFonts w:ascii="Arial" w:cs="Arial" w:eastAsia="Arial" w:hAnsi="Arial"/>
                <w:b/>
                <w:bCs/>
                <w:color w:val="FFFFFF"/>
                <w:sz w:val="18"/>
                <w:szCs w:val="18"/>
              </w:rPr>
              <w:t xml:space="preserve">Review Frequency</w:t>
            </w:r>
          </w:p>
        </w:tc>
        <w:tc>
          <w:tcPr>
            <w:tcW w:type="dxa" w:w="900"/>
            <w:tcBorders>
              <w:top w:val="single" w:color="CCCCCC" w:sz="1"/>
              <w:left w:val="single" w:color="CCCCCC" w:sz="1"/>
              <w:bottom w:val="single" w:color="CCCCCC" w:sz="1"/>
              <w:right w:val="single" w:color="CCCCCC" w:sz="1"/>
            </w:tcBorders>
            <w:shd w:fill="83348F" w:val="clear"/>
            <w:tcMar>
              <w:top w:type="dxa" w:w="80"/>
              <w:left w:type="dxa" w:w="100"/>
              <w:bottom w:type="dxa" w:w="80"/>
              <w:right w:type="dxa" w:w="100"/>
            </w:tcMar>
          </w:tcPr>
          <w:p>
            <w:r>
              <w:rPr>
                <w:rFonts w:ascii="Arial" w:cs="Arial" w:eastAsia="Arial" w:hAnsi="Arial"/>
                <w:b/>
                <w:bCs/>
                <w:color w:val="FFFFFF"/>
                <w:sz w:val="18"/>
                <w:szCs w:val="18"/>
              </w:rPr>
              <w:t xml:space="preserve">Owner</w:t>
            </w:r>
          </w:p>
        </w:tc>
        <w:tc>
          <w:tcPr>
            <w:tcW w:type="dxa" w:w="1460"/>
            <w:tcBorders>
              <w:top w:val="single" w:color="CCCCCC" w:sz="1"/>
              <w:left w:val="single" w:color="CCCCCC" w:sz="1"/>
              <w:bottom w:val="single" w:color="CCCCCC" w:sz="1"/>
              <w:right w:val="single" w:color="CCCCCC" w:sz="1"/>
            </w:tcBorders>
            <w:shd w:fill="83348F" w:val="clear"/>
            <w:tcMar>
              <w:top w:type="dxa" w:w="80"/>
              <w:left w:type="dxa" w:w="100"/>
              <w:bottom w:type="dxa" w:w="80"/>
              <w:right w:type="dxa" w:w="100"/>
            </w:tcMar>
          </w:tcPr>
          <w:p>
            <w:r>
              <w:rPr>
                <w:rFonts w:ascii="Arial" w:cs="Arial" w:eastAsia="Arial" w:hAnsi="Arial"/>
                <w:b/>
                <w:bCs/>
                <w:color w:val="FFFFFF"/>
                <w:sz w:val="18"/>
                <w:szCs w:val="18"/>
              </w:rPr>
              <w:t xml:space="preserve">Display Location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OEE %</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Overall Equipment Effectiveness (Availability × Performance × Quality)</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Weekly</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Production board</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5B595A"/>
                <w:sz w:val="18"/>
                <w:szCs w:val="18"/>
              </w:rPr>
              <w:t xml:space="preserve">OTIF %</w:t>
            </w:r>
          </w:p>
        </w:tc>
        <w:tc>
          <w:tcPr>
            <w:tcW w:type="dxa" w:w="21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5B595A"/>
                <w:sz w:val="18"/>
                <w:szCs w:val="18"/>
              </w:rPr>
              <w:t xml:space="preserve">On-time in-full delivery performance against customer confirmed dates</w:t>
            </w:r>
          </w:p>
        </w:tc>
        <w:tc>
          <w:tcPr>
            <w:tcW w:type="dxa" w:w="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5B595A"/>
                <w:sz w:val="18"/>
                <w:szCs w:val="18"/>
              </w:rPr>
              <w:t xml:space="preserve">Weekly</w:t>
            </w:r>
          </w:p>
        </w:tc>
        <w:tc>
          <w:tcPr>
            <w:tcW w:type="dxa" w:w="9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46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5B595A"/>
                <w:sz w:val="18"/>
                <w:szCs w:val="18"/>
              </w:rPr>
              <w:t xml:space="preserve">Production board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Scrap / defect rate %</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Percentage of output failing first-off or in-process inspection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Weekly</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Quality board</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5B595A"/>
                <w:sz w:val="18"/>
                <w:szCs w:val="18"/>
              </w:rPr>
              <w:t xml:space="preserve">Cost per unit (£)</w:t>
            </w:r>
          </w:p>
        </w:tc>
        <w:tc>
          <w:tcPr>
            <w:tcW w:type="dxa" w:w="21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5B595A"/>
                <w:sz w:val="18"/>
                <w:szCs w:val="18"/>
              </w:rPr>
              <w:t xml:space="preserve">Total manufacturing cost divided by units produced</w:t>
            </w:r>
          </w:p>
        </w:tc>
        <w:tc>
          <w:tcPr>
            <w:tcW w:type="dxa" w:w="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5B595A"/>
                <w:sz w:val="18"/>
                <w:szCs w:val="18"/>
              </w:rPr>
              <w:t xml:space="preserve">Monthly</w:t>
            </w:r>
          </w:p>
        </w:tc>
        <w:tc>
          <w:tcPr>
            <w:tcW w:type="dxa" w:w="9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46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5B595A"/>
                <w:sz w:val="18"/>
                <w:szCs w:val="18"/>
              </w:rPr>
              <w:t xml:space="preserve">Management review</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Labour productivity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Units or value produced per direct labour hour</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Monthly</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Management review</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5B595A"/>
                <w:sz w:val="18"/>
                <w:szCs w:val="18"/>
              </w:rPr>
              <w:t xml:space="preserve">Customer complaints</w:t>
            </w:r>
          </w:p>
        </w:tc>
        <w:tc>
          <w:tcPr>
            <w:tcW w:type="dxa" w:w="21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5B595A"/>
                <w:sz w:val="18"/>
                <w:szCs w:val="18"/>
              </w:rPr>
              <w:t xml:space="preserve">Number of formal customer complaints received per month</w:t>
            </w:r>
          </w:p>
        </w:tc>
        <w:tc>
          <w:tcPr>
            <w:tcW w:type="dxa" w:w="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5B595A"/>
                <w:sz w:val="18"/>
                <w:szCs w:val="18"/>
              </w:rPr>
              <w:t xml:space="preserve">Monthly</w:t>
            </w:r>
          </w:p>
        </w:tc>
        <w:tc>
          <w:tcPr>
            <w:tcW w:type="dxa" w:w="9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46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5B595A"/>
                <w:sz w:val="18"/>
                <w:szCs w:val="18"/>
              </w:rPr>
              <w:t xml:space="preserve">Quality board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CSIP completion rate %</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Percentage of CSIP projects completed on time vs planned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Monthly</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CSIP board / review</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21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46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9FE3" w:val="clear"/>
            <w:tcMar>
              <w:top w:type="dxa" w:w="120"/>
              <w:left w:type="dxa" w:w="200"/>
              <w:bottom w:type="dxa" w:w="120"/>
              <w:right w:type="dxa" w:w="200"/>
            </w:tcMar>
          </w:tcPr>
          <w:p>
            <w:r>
              <w:rPr>
                <w:rFonts w:ascii="Arial" w:cs="Arial" w:eastAsia="Arial" w:hAnsi="Arial"/>
                <w:b/>
                <w:bCs/>
                <w:color w:val="FFFFFF"/>
                <w:sz w:val="24"/>
                <w:szCs w:val="24"/>
              </w:rPr>
              <w:t xml:space="preserve">7.  PRIORITY ACTIONS: 90-DAY PLAN</w:t>
            </w:r>
          </w:p>
        </w:tc>
      </w:tr>
    </w:tbl>
    <w:p>
      <w:pPr>
        <w:spacing w:after="100" w:before="100"/>
      </w:pPr>
      <w:r>
        <w:t xml:space="preserve"/>
      </w:r>
    </w:p>
    <w:p>
      <w:pPr>
        <w:spacing w:after="80" w:before="60"/>
      </w:pPr>
      <w:r>
        <w:rPr>
          <w:rFonts w:ascii="Arial" w:cs="Arial" w:eastAsia="Arial" w:hAnsi="Arial"/>
          <w:b w:val="false"/>
          <w:bCs w:val="false"/>
          <w:i w:val="false"/>
          <w:iCs w:val="false"/>
          <w:color w:val="5B595A"/>
          <w:sz w:val="20"/>
          <w:szCs w:val="20"/>
        </w:rPr>
        <w:t xml:space="preserve">The 90-day plan translates the strategy into immediate, tangible actions. It is the bridge between strategic intent and operational delivery. This section should be updated at every quarterly strategy review.</w:t>
      </w:r>
    </w:p>
    <w:p>
      <w:pPr>
        <w:spacing w:after="100" w:before="100"/>
      </w:pPr>
      <w:r>
        <w:t xml:space="preserve"/>
      </w:r>
    </w:p>
    <w:p>
      <w:pPr>
        <w:spacing w:after="80" w:before="60"/>
      </w:pPr>
      <w:r>
        <w:rPr>
          <w:rFonts w:ascii="Arial" w:cs="Arial" w:eastAsia="Arial" w:hAnsi="Arial"/>
          <w:b w:val="false"/>
          <w:bCs w:val="false"/>
          <w:i w:val="false"/>
          <w:iCs w:val="false"/>
          <w:color w:val="5B595A"/>
          <w:sz w:val="20"/>
          <w:szCs w:val="20"/>
        </w:rPr>
        <w:t xml:space="preserve">Each action should be specific enough that at the next review you can clearly determine whether it has been completed or not. "Review the quality system" is not an action. "Complete gap analysis against ISO 19443 requirements and produce action plan by 31 March" is an action.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760"/>
        <w:gridCol w:w="900"/>
        <w:gridCol w:w="1000"/>
        <w:gridCol w:w="800"/>
        <w:gridCol w:w="800"/>
        <w:gridCol w:w="2600"/>
      </w:tblGrid>
      <w:tr>
        <w:tc>
          <w:tcPr>
            <w:tcW w:type="dxa" w:w="500"/>
            <w:tcBorders>
              <w:top w:val="single" w:color="CCCCCC" w:sz="1"/>
              <w:left w:val="single" w:color="CCCCCC" w:sz="1"/>
              <w:bottom w:val="single" w:color="CCCCCC" w:sz="1"/>
              <w:right w:val="single" w:color="CCCCCC" w:sz="1"/>
            </w:tcBorders>
            <w:shd w:fill="009FE3" w:val="clear"/>
            <w:tcMar>
              <w:top w:type="dxa" w:w="80"/>
              <w:left w:type="dxa" w:w="100"/>
              <w:bottom w:type="dxa" w:w="80"/>
              <w:right w:type="dxa" w:w="100"/>
            </w:tcMar>
          </w:tcPr>
          <w:p>
            <w:r>
              <w:rPr>
                <w:rFonts w:ascii="Arial" w:cs="Arial" w:eastAsia="Arial" w:hAnsi="Arial"/>
                <w:b/>
                <w:bCs/>
                <w:color w:val="FFFFFF"/>
                <w:sz w:val="18"/>
                <w:szCs w:val="18"/>
              </w:rPr>
              <w:t xml:space="preserve">Ref</w:t>
            </w:r>
          </w:p>
        </w:tc>
        <w:tc>
          <w:tcPr>
            <w:tcW w:type="dxa" w:w="2760"/>
            <w:tcBorders>
              <w:top w:val="single" w:color="CCCCCC" w:sz="1"/>
              <w:left w:val="single" w:color="CCCCCC" w:sz="1"/>
              <w:bottom w:val="single" w:color="CCCCCC" w:sz="1"/>
              <w:right w:val="single" w:color="CCCCCC" w:sz="1"/>
            </w:tcBorders>
            <w:shd w:fill="009FE3" w:val="clear"/>
            <w:tcMar>
              <w:top w:type="dxa" w:w="80"/>
              <w:left w:type="dxa" w:w="100"/>
              <w:bottom w:type="dxa" w:w="80"/>
              <w:right w:type="dxa" w:w="100"/>
            </w:tcMar>
          </w:tcPr>
          <w:p>
            <w:r>
              <w:rPr>
                <w:rFonts w:ascii="Arial" w:cs="Arial" w:eastAsia="Arial" w:hAnsi="Arial"/>
                <w:b/>
                <w:bCs/>
                <w:color w:val="FFFFFF"/>
                <w:sz w:val="18"/>
                <w:szCs w:val="18"/>
              </w:rPr>
              <w:t xml:space="preserve">Action</w:t>
            </w:r>
          </w:p>
        </w:tc>
        <w:tc>
          <w:tcPr>
            <w:tcW w:type="dxa" w:w="900"/>
            <w:tcBorders>
              <w:top w:val="single" w:color="CCCCCC" w:sz="1"/>
              <w:left w:val="single" w:color="CCCCCC" w:sz="1"/>
              <w:bottom w:val="single" w:color="CCCCCC" w:sz="1"/>
              <w:right w:val="single" w:color="CCCCCC" w:sz="1"/>
            </w:tcBorders>
            <w:shd w:fill="009FE3" w:val="clear"/>
            <w:tcMar>
              <w:top w:type="dxa" w:w="80"/>
              <w:left w:type="dxa" w:w="100"/>
              <w:bottom w:type="dxa" w:w="80"/>
              <w:right w:type="dxa" w:w="100"/>
            </w:tcMar>
          </w:tcPr>
          <w:p>
            <w:r>
              <w:rPr>
                <w:rFonts w:ascii="Arial" w:cs="Arial" w:eastAsia="Arial" w:hAnsi="Arial"/>
                <w:b/>
                <w:bCs/>
                <w:color w:val="FFFFFF"/>
                <w:sz w:val="18"/>
                <w:szCs w:val="18"/>
              </w:rPr>
              <w:t xml:space="preserve">Links to Objective</w:t>
            </w:r>
          </w:p>
        </w:tc>
        <w:tc>
          <w:tcPr>
            <w:tcW w:type="dxa" w:w="1000"/>
            <w:tcBorders>
              <w:top w:val="single" w:color="CCCCCC" w:sz="1"/>
              <w:left w:val="single" w:color="CCCCCC" w:sz="1"/>
              <w:bottom w:val="single" w:color="CCCCCC" w:sz="1"/>
              <w:right w:val="single" w:color="CCCCCC" w:sz="1"/>
            </w:tcBorders>
            <w:shd w:fill="009FE3" w:val="clear"/>
            <w:tcMar>
              <w:top w:type="dxa" w:w="80"/>
              <w:left w:type="dxa" w:w="100"/>
              <w:bottom w:type="dxa" w:w="80"/>
              <w:right w:type="dxa" w:w="100"/>
            </w:tcMar>
          </w:tcPr>
          <w:p>
            <w:r>
              <w:rPr>
                <w:rFonts w:ascii="Arial" w:cs="Arial" w:eastAsia="Arial" w:hAnsi="Arial"/>
                <w:b/>
                <w:bCs/>
                <w:color w:val="FFFFFF"/>
                <w:sz w:val="18"/>
                <w:szCs w:val="18"/>
              </w:rPr>
              <w:t xml:space="preserve">Owner</w:t>
            </w:r>
          </w:p>
        </w:tc>
        <w:tc>
          <w:tcPr>
            <w:tcW w:type="dxa" w:w="800"/>
            <w:tcBorders>
              <w:top w:val="single" w:color="CCCCCC" w:sz="1"/>
              <w:left w:val="single" w:color="CCCCCC" w:sz="1"/>
              <w:bottom w:val="single" w:color="CCCCCC" w:sz="1"/>
              <w:right w:val="single" w:color="CCCCCC" w:sz="1"/>
            </w:tcBorders>
            <w:shd w:fill="009FE3" w:val="clear"/>
            <w:tcMar>
              <w:top w:type="dxa" w:w="80"/>
              <w:left w:type="dxa" w:w="100"/>
              <w:bottom w:type="dxa" w:w="80"/>
              <w:right w:type="dxa" w:w="100"/>
            </w:tcMar>
          </w:tcPr>
          <w:p>
            <w:r>
              <w:rPr>
                <w:rFonts w:ascii="Arial" w:cs="Arial" w:eastAsia="Arial" w:hAnsi="Arial"/>
                <w:b/>
                <w:bCs/>
                <w:color w:val="FFFFFF"/>
                <w:sz w:val="18"/>
                <w:szCs w:val="18"/>
              </w:rPr>
              <w:t xml:space="preserve">Due Date</w:t>
            </w:r>
          </w:p>
        </w:tc>
        <w:tc>
          <w:tcPr>
            <w:tcW w:type="dxa" w:w="800"/>
            <w:tcBorders>
              <w:top w:val="single" w:color="CCCCCC" w:sz="1"/>
              <w:left w:val="single" w:color="CCCCCC" w:sz="1"/>
              <w:bottom w:val="single" w:color="CCCCCC" w:sz="1"/>
              <w:right w:val="single" w:color="CCCCCC" w:sz="1"/>
            </w:tcBorders>
            <w:shd w:fill="009FE3"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2600"/>
            <w:tcBorders>
              <w:top w:val="single" w:color="CCCCCC" w:sz="1"/>
              <w:left w:val="single" w:color="CCCCCC" w:sz="1"/>
              <w:bottom w:val="single" w:color="CCCCCC" w:sz="1"/>
              <w:right w:val="single" w:color="CCCCCC" w:sz="1"/>
            </w:tcBorders>
            <w:shd w:fill="009FE3" w:val="clear"/>
            <w:tcMar>
              <w:top w:type="dxa" w:w="80"/>
              <w:left w:type="dxa" w:w="100"/>
              <w:bottom w:type="dxa" w:w="80"/>
              <w:right w:type="dxa" w:w="100"/>
            </w:tcMar>
          </w:tcPr>
          <w:p>
            <w:r>
              <w:rPr>
                <w:rFonts w:ascii="Arial" w:cs="Arial" w:eastAsia="Arial" w:hAnsi="Arial"/>
                <w:b/>
                <w:bCs/>
                <w:color w:val="FFFFFF"/>
                <w:sz w:val="18"/>
                <w:szCs w:val="18"/>
              </w:rPr>
              <w:t xml:space="preserve">Notes / Evidence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A-01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5B595A"/>
                <w:sz w:val="18"/>
                <w:szCs w:val="18"/>
              </w:rPr>
              <w:t xml:space="preserve">A-02</w:t>
            </w:r>
          </w:p>
        </w:tc>
        <w:tc>
          <w:tcPr>
            <w:tcW w:type="dxa" w:w="276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26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A-03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5B595A"/>
                <w:sz w:val="18"/>
                <w:szCs w:val="18"/>
              </w:rPr>
              <w:t xml:space="preserve">A-04</w:t>
            </w:r>
          </w:p>
        </w:tc>
        <w:tc>
          <w:tcPr>
            <w:tcW w:type="dxa" w:w="276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26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A-05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5B595A"/>
                <w:sz w:val="18"/>
                <w:szCs w:val="18"/>
              </w:rPr>
              <w:t xml:space="preserve">A-06</w:t>
            </w:r>
          </w:p>
        </w:tc>
        <w:tc>
          <w:tcPr>
            <w:tcW w:type="dxa" w:w="276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26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A-07</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5B595A"/>
                <w:sz w:val="18"/>
                <w:szCs w:val="18"/>
              </w:rPr>
              <w:t xml:space="preserve">A-08</w:t>
            </w:r>
          </w:p>
        </w:tc>
        <w:tc>
          <w:tcPr>
            <w:tcW w:type="dxa" w:w="276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26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5B595A"/>
                <w:sz w:val="18"/>
                <w:szCs w:val="18"/>
              </w:rPr>
              <w:t xml:space="preserve">A-09</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5B595A"/>
                <w:sz w:val="18"/>
                <w:szCs w:val="18"/>
              </w:rPr>
              <w:t xml:space="preserve">A-10</w:t>
            </w:r>
          </w:p>
        </w:tc>
        <w:tc>
          <w:tcPr>
            <w:tcW w:type="dxa" w:w="276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9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26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9FE3" w:val="clear"/>
            <w:tcMar>
              <w:top w:type="dxa" w:w="120"/>
              <w:left w:type="dxa" w:w="200"/>
              <w:bottom w:type="dxa" w:w="120"/>
              <w:right w:type="dxa" w:w="200"/>
            </w:tcMar>
          </w:tcPr>
          <w:p>
            <w:r>
              <w:rPr>
                <w:rFonts w:ascii="Arial" w:cs="Arial" w:eastAsia="Arial" w:hAnsi="Arial"/>
                <w:b/>
                <w:bCs/>
                <w:color w:val="FFFFFF"/>
                <w:sz w:val="24"/>
                <w:szCs w:val="24"/>
              </w:rPr>
              <w:t xml:space="preserve">8.  REVIEW &amp; GOVERNANCE</w:t>
            </w:r>
          </w:p>
        </w:tc>
      </w:tr>
    </w:tbl>
    <w:p>
      <w:pPr>
        <w:spacing w:after="100" w:before="100"/>
      </w:pPr>
      <w:r>
        <w:t xml:space="preserve"/>
      </w:r>
    </w:p>
    <w:p>
      <w:pPr>
        <w:spacing w:after="80" w:before="60"/>
      </w:pPr>
      <w:r>
        <w:rPr>
          <w:rFonts w:ascii="Arial" w:cs="Arial" w:eastAsia="Arial" w:hAnsi="Arial"/>
          <w:b w:val="false"/>
          <w:bCs w:val="false"/>
          <w:i w:val="false"/>
          <w:iCs w:val="false"/>
          <w:color w:val="5B595A"/>
          <w:sz w:val="20"/>
          <w:szCs w:val="20"/>
        </w:rPr>
        <w:t xml:space="preserve">This strategy is a live document. It must be reviewed, challenged, and updated at regular intervals. A strategy that sits in a drawer and is never revisited is not a strategy, it is a wish list. Senior leadership must own this document and be prepared to discuss it in detail with their NucCol Supply Chain Consultant.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6F6FD" w:val="clear"/>
            <w:tcMar>
              <w:top w:type="dxa" w:w="100"/>
              <w:left w:type="dxa" w:w="150"/>
              <w:bottom w:type="dxa" w:w="100"/>
              <w:right w:type="dxa" w:w="150"/>
            </w:tcMar>
          </w:tcPr>
          <w:p>
            <w:r>
              <w:rPr>
                <w:rFonts w:ascii="Arial" w:cs="Arial" w:eastAsia="Arial" w:hAnsi="Arial"/>
                <w:b/>
                <w:bCs/>
                <w:color w:val="5B595A"/>
                <w:sz w:val="19"/>
                <w:szCs w:val="19"/>
              </w:rPr>
              <w:t xml:space="preserve">Review frequency</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i/>
                <w:iCs/>
                <w:color w:val="888888"/>
                <w:sz w:val="19"/>
                <w:szCs w:val="19"/>
              </w:rPr>
              <w:t xml:space="preserve">Quarterly as a minimum, or when triggered by a significant change in market conditions, customer requirements, or organisational capability</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50"/>
              <w:bottom w:type="dxa" w:w="100"/>
              <w:right w:type="dxa" w:w="150"/>
            </w:tcMar>
          </w:tcPr>
          <w:p>
            <w:r>
              <w:rPr>
                <w:rFonts w:ascii="Arial" w:cs="Arial" w:eastAsia="Arial" w:hAnsi="Arial"/>
                <w:b/>
                <w:bCs/>
                <w:color w:val="5B595A"/>
                <w:sz w:val="19"/>
                <w:szCs w:val="19"/>
              </w:rPr>
              <w:t xml:space="preserve">Review meeting format</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i/>
                <w:iCs/>
                <w:color w:val="888888"/>
                <w:sz w:val="19"/>
                <w:szCs w:val="19"/>
              </w:rPr>
              <w:t xml:space="preserve">SLT strategy review. Agenda item covering progress against objectives, KPI performance, investment status, and 90-day plan update</w:t>
            </w:r>
          </w:p>
        </w:tc>
      </w:tr>
      <w:tr>
        <w:tc>
          <w:tcPr>
            <w:tcW w:type="dxa" w:w="2800"/>
            <w:tcBorders>
              <w:top w:val="single" w:color="CCCCCC" w:sz="1"/>
              <w:left w:val="single" w:color="CCCCCC" w:sz="1"/>
              <w:bottom w:val="single" w:color="CCCCCC" w:sz="1"/>
              <w:right w:val="single" w:color="CCCCCC" w:sz="1"/>
            </w:tcBorders>
            <w:shd w:fill="E6F6FD" w:val="clear"/>
            <w:tcMar>
              <w:top w:type="dxa" w:w="100"/>
              <w:left w:type="dxa" w:w="150"/>
              <w:bottom w:type="dxa" w:w="100"/>
              <w:right w:type="dxa" w:w="150"/>
            </w:tcMar>
          </w:tcPr>
          <w:p>
            <w:r>
              <w:rPr>
                <w:rFonts w:ascii="Arial" w:cs="Arial" w:eastAsia="Arial" w:hAnsi="Arial"/>
                <w:b/>
                <w:bCs/>
                <w:color w:val="5B595A"/>
                <w:sz w:val="19"/>
                <w:szCs w:val="19"/>
              </w:rPr>
              <w:t xml:space="preserve">Document owner</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i/>
                <w:iCs/>
                <w:color w:val="888888"/>
                <w:sz w:val="19"/>
                <w:szCs w:val="19"/>
              </w:rPr>
              <w:t xml:space="preserve"/>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50"/>
              <w:bottom w:type="dxa" w:w="100"/>
              <w:right w:type="dxa" w:w="150"/>
            </w:tcMar>
          </w:tcPr>
          <w:p>
            <w:r>
              <w:rPr>
                <w:rFonts w:ascii="Arial" w:cs="Arial" w:eastAsia="Arial" w:hAnsi="Arial"/>
                <w:b/>
                <w:bCs/>
                <w:color w:val="5B595A"/>
                <w:sz w:val="19"/>
                <w:szCs w:val="19"/>
              </w:rPr>
              <w:t xml:space="preserve">Approved by</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i/>
                <w:iCs/>
                <w:color w:val="888888"/>
                <w:sz w:val="19"/>
                <w:szCs w:val="19"/>
              </w:rPr>
              <w:t xml:space="preserve"/>
            </w:r>
          </w:p>
        </w:tc>
      </w:tr>
      <w:tr>
        <w:tc>
          <w:tcPr>
            <w:tcW w:type="dxa" w:w="2800"/>
            <w:tcBorders>
              <w:top w:val="single" w:color="CCCCCC" w:sz="1"/>
              <w:left w:val="single" w:color="CCCCCC" w:sz="1"/>
              <w:bottom w:val="single" w:color="CCCCCC" w:sz="1"/>
              <w:right w:val="single" w:color="CCCCCC" w:sz="1"/>
            </w:tcBorders>
            <w:shd w:fill="E6F6FD" w:val="clear"/>
            <w:tcMar>
              <w:top w:type="dxa" w:w="100"/>
              <w:left w:type="dxa" w:w="150"/>
              <w:bottom w:type="dxa" w:w="100"/>
              <w:right w:type="dxa" w:w="150"/>
            </w:tcMar>
          </w:tcPr>
          <w:p>
            <w:r>
              <w:rPr>
                <w:rFonts w:ascii="Arial" w:cs="Arial" w:eastAsia="Arial" w:hAnsi="Arial"/>
                <w:b/>
                <w:bCs/>
                <w:color w:val="5B595A"/>
                <w:sz w:val="19"/>
                <w:szCs w:val="19"/>
              </w:rPr>
              <w:t xml:space="preserve">Date approved</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i/>
                <w:iCs/>
                <w:color w:val="888888"/>
                <w:sz w:val="19"/>
                <w:szCs w:val="19"/>
              </w:rPr>
              <w:t xml:space="preserve"/>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50"/>
              <w:bottom w:type="dxa" w:w="100"/>
              <w:right w:type="dxa" w:w="150"/>
            </w:tcMar>
          </w:tcPr>
          <w:p>
            <w:r>
              <w:rPr>
                <w:rFonts w:ascii="Arial" w:cs="Arial" w:eastAsia="Arial" w:hAnsi="Arial"/>
                <w:b/>
                <w:bCs/>
                <w:color w:val="5B595A"/>
                <w:sz w:val="19"/>
                <w:szCs w:val="19"/>
              </w:rPr>
              <w:t xml:space="preserve">Date of last review</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i/>
                <w:iCs/>
                <w:color w:val="888888"/>
                <w:sz w:val="19"/>
                <w:szCs w:val="19"/>
              </w:rPr>
              <w:t xml:space="preserve"/>
            </w:r>
          </w:p>
        </w:tc>
      </w:tr>
      <w:tr>
        <w:tc>
          <w:tcPr>
            <w:tcW w:type="dxa" w:w="2800"/>
            <w:tcBorders>
              <w:top w:val="single" w:color="CCCCCC" w:sz="1"/>
              <w:left w:val="single" w:color="CCCCCC" w:sz="1"/>
              <w:bottom w:val="single" w:color="CCCCCC" w:sz="1"/>
              <w:right w:val="single" w:color="CCCCCC" w:sz="1"/>
            </w:tcBorders>
            <w:shd w:fill="E6F6FD" w:val="clear"/>
            <w:tcMar>
              <w:top w:type="dxa" w:w="100"/>
              <w:left w:type="dxa" w:w="150"/>
              <w:bottom w:type="dxa" w:w="100"/>
              <w:right w:type="dxa" w:w="150"/>
            </w:tcMar>
          </w:tcPr>
          <w:p>
            <w:r>
              <w:rPr>
                <w:rFonts w:ascii="Arial" w:cs="Arial" w:eastAsia="Arial" w:hAnsi="Arial"/>
                <w:b/>
                <w:bCs/>
                <w:color w:val="5B595A"/>
                <w:sz w:val="19"/>
                <w:szCs w:val="19"/>
              </w:rPr>
              <w:t xml:space="preserve">Date of next review</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i/>
                <w:iCs/>
                <w:color w:val="888888"/>
                <w:sz w:val="19"/>
                <w:szCs w:val="19"/>
              </w:rPr>
              <w:t xml:space="preserve"/>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50"/>
              <w:bottom w:type="dxa" w:w="100"/>
              <w:right w:type="dxa" w:w="150"/>
            </w:tcMar>
          </w:tcPr>
          <w:p>
            <w:r>
              <w:rPr>
                <w:rFonts w:ascii="Arial" w:cs="Arial" w:eastAsia="Arial" w:hAnsi="Arial"/>
                <w:b/>
                <w:bCs/>
                <w:color w:val="5B595A"/>
                <w:sz w:val="19"/>
                <w:szCs w:val="19"/>
              </w:rPr>
              <w:t xml:space="preserve">Version number</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i/>
                <w:iCs/>
                <w:color w:val="888888"/>
                <w:sz w:val="19"/>
                <w:szCs w:val="19"/>
              </w:rPr>
              <w:t xml:space="preserve"/>
            </w:r>
          </w:p>
        </w:tc>
      </w:tr>
      <w:tr>
        <w:tc>
          <w:tcPr>
            <w:tcW w:type="dxa" w:w="2800"/>
            <w:tcBorders>
              <w:top w:val="single" w:color="CCCCCC" w:sz="1"/>
              <w:left w:val="single" w:color="CCCCCC" w:sz="1"/>
              <w:bottom w:val="single" w:color="CCCCCC" w:sz="1"/>
              <w:right w:val="single" w:color="CCCCCC" w:sz="1"/>
            </w:tcBorders>
            <w:shd w:fill="E6F6FD" w:val="clear"/>
            <w:tcMar>
              <w:top w:type="dxa" w:w="100"/>
              <w:left w:type="dxa" w:w="150"/>
              <w:bottom w:type="dxa" w:w="100"/>
              <w:right w:type="dxa" w:w="150"/>
            </w:tcMar>
          </w:tcPr>
          <w:p>
            <w:r>
              <w:rPr>
                <w:rFonts w:ascii="Arial" w:cs="Arial" w:eastAsia="Arial" w:hAnsi="Arial"/>
                <w:b/>
                <w:bCs/>
                <w:color w:val="5B595A"/>
                <w:sz w:val="19"/>
                <w:szCs w:val="19"/>
              </w:rPr>
              <w:t xml:space="preserve">Distribution</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i/>
                <w:iCs/>
                <w:color w:val="888888"/>
                <w:sz w:val="19"/>
                <w:szCs w:val="19"/>
              </w:rPr>
              <w:t xml:space="preserve">MD, Operations Director, Quality Manager, Finance Director, and any other SLT members. Not for distribution outside the organisation.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560"/>
        <w:gridCol w:w="800"/>
        <w:gridCol w:w="1800"/>
      </w:tblGrid>
      <w:tr>
        <w:tc>
          <w:tcPr>
            <w:tcW w:type="dxa" w:w="1400"/>
            <w:tcBorders>
              <w:top w:val="single" w:color="CCCCCC" w:sz="1"/>
              <w:left w:val="single" w:color="CCCCCC" w:sz="1"/>
              <w:bottom w:val="single" w:color="CCCCCC" w:sz="1"/>
              <w:right w:val="single" w:color="CCCCCC" w:sz="1"/>
            </w:tcBorders>
            <w:shd w:fill="83348F" w:val="clear"/>
            <w:tcMar>
              <w:top w:type="dxa" w:w="80"/>
              <w:left w:type="dxa" w:w="100"/>
              <w:bottom w:type="dxa" w:w="80"/>
              <w:right w:type="dxa" w:w="100"/>
            </w:tcMar>
          </w:tcPr>
          <w:p>
            <w:r>
              <w:rPr>
                <w:rFonts w:ascii="Arial" w:cs="Arial" w:eastAsia="Arial" w:hAnsi="Arial"/>
                <w:b/>
                <w:bCs/>
                <w:color w:val="FFFFFF"/>
                <w:sz w:val="18"/>
                <w:szCs w:val="18"/>
              </w:rPr>
              <w:t xml:space="preserve">Review Date</w:t>
            </w:r>
          </w:p>
        </w:tc>
        <w:tc>
          <w:tcPr>
            <w:tcW w:type="dxa" w:w="1800"/>
            <w:tcBorders>
              <w:top w:val="single" w:color="CCCCCC" w:sz="1"/>
              <w:left w:val="single" w:color="CCCCCC" w:sz="1"/>
              <w:bottom w:val="single" w:color="CCCCCC" w:sz="1"/>
              <w:right w:val="single" w:color="CCCCCC" w:sz="1"/>
            </w:tcBorders>
            <w:shd w:fill="83348F" w:val="clear"/>
            <w:tcMar>
              <w:top w:type="dxa" w:w="80"/>
              <w:left w:type="dxa" w:w="100"/>
              <w:bottom w:type="dxa" w:w="80"/>
              <w:right w:type="dxa" w:w="100"/>
            </w:tcMar>
          </w:tcPr>
          <w:p>
            <w:r>
              <w:rPr>
                <w:rFonts w:ascii="Arial" w:cs="Arial" w:eastAsia="Arial" w:hAnsi="Arial"/>
                <w:b/>
                <w:bCs/>
                <w:color w:val="FFFFFF"/>
                <w:sz w:val="18"/>
                <w:szCs w:val="18"/>
              </w:rPr>
              <w:t xml:space="preserve">Reviewed By</w:t>
            </w:r>
          </w:p>
        </w:tc>
        <w:tc>
          <w:tcPr>
            <w:tcW w:type="dxa" w:w="3560"/>
            <w:tcBorders>
              <w:top w:val="single" w:color="CCCCCC" w:sz="1"/>
              <w:left w:val="single" w:color="CCCCCC" w:sz="1"/>
              <w:bottom w:val="single" w:color="CCCCCC" w:sz="1"/>
              <w:right w:val="single" w:color="CCCCCC" w:sz="1"/>
            </w:tcBorders>
            <w:shd w:fill="83348F" w:val="clear"/>
            <w:tcMar>
              <w:top w:type="dxa" w:w="80"/>
              <w:left w:type="dxa" w:w="100"/>
              <w:bottom w:type="dxa" w:w="80"/>
              <w:right w:type="dxa" w:w="100"/>
            </w:tcMar>
          </w:tcPr>
          <w:p>
            <w:r>
              <w:rPr>
                <w:rFonts w:ascii="Arial" w:cs="Arial" w:eastAsia="Arial" w:hAnsi="Arial"/>
                <w:b/>
                <w:bCs/>
                <w:color w:val="FFFFFF"/>
                <w:sz w:val="18"/>
                <w:szCs w:val="18"/>
              </w:rPr>
              <w:t xml:space="preserve">Key Changes Made</w:t>
            </w:r>
          </w:p>
        </w:tc>
        <w:tc>
          <w:tcPr>
            <w:tcW w:type="dxa" w:w="800"/>
            <w:tcBorders>
              <w:top w:val="single" w:color="CCCCCC" w:sz="1"/>
              <w:left w:val="single" w:color="CCCCCC" w:sz="1"/>
              <w:bottom w:val="single" w:color="CCCCCC" w:sz="1"/>
              <w:right w:val="single" w:color="CCCCCC" w:sz="1"/>
            </w:tcBorders>
            <w:shd w:fill="83348F" w:val="clear"/>
            <w:tcMar>
              <w:top w:type="dxa" w:w="80"/>
              <w:left w:type="dxa" w:w="100"/>
              <w:bottom w:type="dxa" w:w="80"/>
              <w:right w:type="dxa" w:w="100"/>
            </w:tcMar>
          </w:tcPr>
          <w:p>
            <w:r>
              <w:rPr>
                <w:rFonts w:ascii="Arial" w:cs="Arial" w:eastAsia="Arial" w:hAnsi="Arial"/>
                <w:b/>
                <w:bCs/>
                <w:color w:val="FFFFFF"/>
                <w:sz w:val="18"/>
                <w:szCs w:val="18"/>
              </w:rPr>
              <w:t xml:space="preserve">Version</w:t>
            </w:r>
          </w:p>
        </w:tc>
        <w:tc>
          <w:tcPr>
            <w:tcW w:type="dxa" w:w="1800"/>
            <w:tcBorders>
              <w:top w:val="single" w:color="CCCCCC" w:sz="1"/>
              <w:left w:val="single" w:color="CCCCCC" w:sz="1"/>
              <w:bottom w:val="single" w:color="CCCCCC" w:sz="1"/>
              <w:right w:val="single" w:color="CCCCCC" w:sz="1"/>
            </w:tcBorders>
            <w:shd w:fill="83348F" w:val="clear"/>
            <w:tcMar>
              <w:top w:type="dxa" w:w="80"/>
              <w:left w:type="dxa" w:w="100"/>
              <w:bottom w:type="dxa" w:w="80"/>
              <w:right w:type="dxa" w:w="100"/>
            </w:tcMar>
          </w:tcPr>
          <w:p>
            <w:r>
              <w:rPr>
                <w:rFonts w:ascii="Arial" w:cs="Arial" w:eastAsia="Arial" w:hAnsi="Arial"/>
                <w:b/>
                <w:bCs/>
                <w:color w:val="FFFFFF"/>
                <w:sz w:val="18"/>
                <w:szCs w:val="18"/>
              </w:rPr>
              <w:t xml:space="preserve">Next Review Due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356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356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val="false"/>
                <w:iCs w:val="false"/>
                <w:color w:val="888888"/>
                <w:sz w:val="18"/>
                <w:szCs w:val="18"/>
              </w:rPr>
              <w:t xml:space="preserve"/>
            </w:r>
          </w:p>
        </w:tc>
      </w:tr>
    </w:tbl>
    <w:p>
      <w:pPr>
        <w:spacing w:after="100" w:before="100"/>
      </w:pPr>
      <w:r>
        <w:t xml:space="preserve"/>
      </w:r>
    </w:p>
    <w:p>
      <w:r>
        <w:rPr>
          <w:rFonts w:ascii="Arial" w:cs="Arial" w:eastAsia="Arial" w:hAnsi="Arial"/>
          <w:i/>
          <w:iCs/>
          <w:color w:val="999999"/>
          <w:sz w:val="16"/>
          <w:szCs w:val="16"/>
        </w:rPr>
        <w:t xml:space="preserve">This document is issued for internal use only and is subject to the NucCol Commercial in Confidence policy. It should not be distributed outside the organisation without prior written consent from the document owner.</w:t>
      </w:r>
    </w:p>
    <w:sectPr>
      <w:headerReference w:type="default" r:id="rId7"/>
      <w:footerReference w:type="default" r:id="rId8"/>
      <w:pgSz w:w="11906" w:h="16838" w:orient="portrait"/>
      <w:pgMar w:top="1200" w:right="1200" w:bottom="1200" w:left="1200" w:header="283" w:footer="28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1"/>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2"/>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endnotes" Target="endnotes.xml"/><Relationship Id="rId9" Type="http://schemas.openxmlformats.org/officeDocument/2006/relationships/image" Target="media/32c1094e56d8b3bdf27d24d4ab5067027a523920.jpg"/></Relationships>
</file>

<file path=word/_rels/header1.xml.rels><?xml version='1.0' encoding='UTF-8' standalone='yes'?>
<Relationships xmlns="http://schemas.openxmlformats.org/package/2006/relationships"><Relationship Id="rId0" Type="http://schemas.openxmlformats.org/officeDocument/2006/relationships/image" Target="media/7a9b81adb7331e339c7bcef363f38db9c49337d7.jpg"/><Relationship Id="rId1" Type="http://schemas.openxmlformats.org/officeDocument/2006/relationships/image" Target="media/image1.png"/><Relationship Id="rId2" Type="http://schemas.openxmlformats.org/officeDocument/2006/relationships/image" Target="media/image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060ED98-1B62-427A-8DDF-7CA680C958DE}"/>
</file>

<file path=customXml/itemProps2.xml><?xml version="1.0" encoding="utf-8"?>
<ds:datastoreItem xmlns:ds="http://schemas.openxmlformats.org/officeDocument/2006/customXml" ds:itemID="{B573E838-84C3-4C13-A1FD-049A09C428A3}"/>
</file>

<file path=customXml/itemProps3.xml><?xml version="1.0" encoding="utf-8"?>
<ds:datastoreItem xmlns:ds="http://schemas.openxmlformats.org/officeDocument/2006/customXml" ds:itemID="{0DFC8C7F-9B65-431C-B312-2FB35D49A5C4}"/>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PE-01a Products Services Strategy Template</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