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60"/>
        <w:jc w:val="center"/>
      </w:pPr>
      <w:r>
        <w:drawing>
          <wp:inline distT="0" distB="0" distL="0" distR="0">
            <wp:extent cx="1047750" cy="1019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1019175"/>
                    </a:xfrm>
                    <a:prstGeom prst="rect">
                      <a:avLst/>
                    </a:prstGeom>
                  </pic:spPr>
                </pic:pic>
              </a:graphicData>
            </a:graphic>
          </wp:inline>
        </w:drawing>
      </w:r>
    </w:p>
    <w:p>
      <w:pPr>
        <w:spacing w:after="60"/>
        <w:jc w:val="center"/>
      </w:pPr>
      <w:r>
        <w:rPr>
          <w:rFonts w:ascii="Arial" w:cs="Arial" w:eastAsia="Arial" w:hAnsi="Arial"/>
          <w:b/>
          <w:bCs/>
          <w:i w:val="false"/>
          <w:iCs w:val="false"/>
          <w:color w:val="009FE3"/>
          <w:sz w:val="40"/>
          <w:szCs w:val="40"/>
        </w:rPr>
        <w:t xml:space="preserve">Standard Operating Procedure Template</w:t>
      </w:r>
    </w:p>
    <w:p>
      <w:pPr>
        <w:spacing w:after="240"/>
        <w:jc w:val="center"/>
      </w:pPr>
      <w:r>
        <w:rPr>
          <w:rFonts w:ascii="Arial" w:cs="Arial" w:eastAsia="Arial" w:hAnsi="Arial"/>
          <w:b/>
          <w:bCs/>
          <w:i w:val="false"/>
          <w:iCs w:val="false"/>
          <w:color w:val="83348F"/>
          <w:sz w:val="23"/>
          <w:szCs w:val="23"/>
        </w:rPr>
        <w:t xml:space="preserve">PE-06a  |  Process Excellence  |  Fit For Nuclear Toolkit</w:t>
      </w:r>
    </w:p>
    <w:p>
      <w:pPr>
        <w:pStyle w:val="Heading1"/>
        <w:spacing w:after="140" w:before="300"/>
      </w:pPr>
      <w:r>
        <w:rPr>
          <w:rFonts w:ascii="Arial" w:cs="Arial" w:eastAsia="Arial" w:hAnsi="Arial"/>
          <w:b/>
          <w:bCs/>
          <w:color w:val="29ABE2"/>
          <w:sz w:val="28"/>
          <w:szCs w:val="28"/>
        </w:rPr>
        <w:t xml:space="preserve">How to use this template</w:t>
      </w:r>
    </w:p>
    <w:p>
      <w:pPr>
        <w:spacing w:after="120" w:before="60"/>
        <w:jc w:val="left"/>
      </w:pPr>
      <w:r>
        <w:rPr>
          <w:rFonts w:ascii="Arial" w:cs="Arial" w:eastAsia="Arial" w:hAnsi="Arial"/>
          <w:b w:val="false"/>
          <w:bCs w:val="false"/>
          <w:i w:val="false"/>
          <w:iCs w:val="false"/>
          <w:color w:val="333333"/>
          <w:sz w:val="21"/>
          <w:szCs w:val="21"/>
        </w:rPr>
        <w:t xml:space="preserve">Pages 2 and 3 are the blank SOP template: copy them into a new document for each procedure, complete every field, and delete the grey guidance text. Pages 4 and 5 are a completed worked example showing the standard expected.</w:t>
      </w:r>
    </w:p>
    <w:p>
      <w:pPr>
        <w:spacing w:after="120" w:before="60"/>
        <w:jc w:val="left"/>
      </w:pPr>
      <w:r>
        <w:rPr>
          <w:rFonts w:ascii="Arial" w:cs="Arial" w:eastAsia="Arial" w:hAnsi="Arial"/>
          <w:b w:val="false"/>
          <w:bCs w:val="false"/>
          <w:i w:val="false"/>
          <w:iCs w:val="false"/>
          <w:color w:val="333333"/>
          <w:sz w:val="21"/>
          <w:szCs w:val="21"/>
        </w:rPr>
        <w:t xml:space="preserve">An SOP sets out what to do, how to do it, and the checks to make for each work element. Write it at the workplace, with the people who do the job; one action per step; every key point carries its reason.</w:t>
      </w:r>
    </w:p>
    <w:p>
      <w:pPr>
        <w:spacing w:after="120" w:before="60"/>
        <w:jc w:val="left"/>
      </w:pPr>
      <w:r>
        <w:rPr>
          <w:rFonts w:ascii="Arial" w:cs="Arial" w:eastAsia="Arial" w:hAnsi="Arial"/>
          <w:b w:val="false"/>
          <w:bCs w:val="false"/>
          <w:i w:val="false"/>
          <w:iCs w:val="false"/>
          <w:color w:val="333333"/>
          <w:sz w:val="21"/>
          <w:szCs w:val="21"/>
        </w:rPr>
        <w:t xml:space="preserve">This is a controlled document format: register every SOP in the SOP Register (PE-06b), keep one live revision at the point of use, and treat printed copies as uncontrolled. When the process changes or a lesson is learned (PE-04), the SOP changes with it.</w:t>
      </w:r>
    </w:p>
    <w:p>
      <w:r>
        <w:br w:type="page"/>
      </w:r>
    </w:p>
    <w:p>
      <w:pPr>
        <w:spacing w:after="120"/>
        <w:jc w:val="left"/>
      </w:pPr>
      <w:r>
        <w:rPr>
          <w:rFonts w:ascii="Arial" w:cs="Arial" w:eastAsia="Arial" w:hAnsi="Arial"/>
          <w:b/>
          <w:bCs/>
          <w:i w:val="false"/>
          <w:iCs w:val="false"/>
          <w:color w:val="83348F"/>
          <w:sz w:val="28"/>
          <w:szCs w:val="28"/>
        </w:rPr>
        <w:t xml:space="preserve">STANDARD OPERATING PROCEDURE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c>
          <w:tcPr>
            <w:tcW w:type="dxa" w:w="2256"/>
            <w:tcBorders>
              <w:top w:val="single" w:color="BFBFBF" w:sz="4"/>
              <w:left w:val="single" w:color="BFBFBF" w:sz="4"/>
              <w:bottom w:val="single" w:color="BFBFBF" w:sz="4"/>
              <w:right w:val="single" w:color="BFBFBF" w:sz="4"/>
            </w:tcBorders>
            <w:shd w:fill="009FE3" w:val="clear"/>
            <w:tcMar>
              <w:top w:type="dxa" w:w="70"/>
              <w:left w:type="dxa" w:w="110"/>
              <w:bottom w:type="dxa" w:w="70"/>
              <w:right w:type="dxa" w:w="110"/>
            </w:tcMar>
            <w:vAlign w:val="top"/>
          </w:tcPr>
          <w:p>
            <w:pPr>
              <w:spacing w:after="0" w:before="0"/>
              <w:jc w:val="left"/>
            </w:pPr>
            <w:r>
              <w:rPr>
                <w:rFonts w:ascii="Arial" w:cs="Arial" w:eastAsia="Arial" w:hAnsi="Arial"/>
                <w:b/>
                <w:bCs/>
                <w:i w:val="false"/>
                <w:iCs w:val="false"/>
                <w:color w:val="FFFFFF"/>
                <w:sz w:val="19"/>
                <w:szCs w:val="19"/>
              </w:rPr>
              <w:t xml:space="preserve">Document number</w:t>
            </w:r>
          </w:p>
        </w:tc>
        <w:tc>
          <w:tcPr>
            <w:tcW w:type="dxa" w:w="225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9"/>
                <w:szCs w:val="19"/>
              </w:rPr>
              <w:t xml:space="preserve"/>
            </w:r>
          </w:p>
        </w:tc>
        <w:tc>
          <w:tcPr>
            <w:tcW w:type="dxa" w:w="2257"/>
            <w:tcBorders>
              <w:top w:val="single" w:color="BFBFBF" w:sz="4"/>
              <w:left w:val="single" w:color="BFBFBF" w:sz="4"/>
              <w:bottom w:val="single" w:color="BFBFBF" w:sz="4"/>
              <w:right w:val="single" w:color="BFBFBF" w:sz="4"/>
            </w:tcBorders>
            <w:shd w:fill="009FE3" w:val="clear"/>
            <w:tcMar>
              <w:top w:type="dxa" w:w="70"/>
              <w:left w:type="dxa" w:w="110"/>
              <w:bottom w:type="dxa" w:w="70"/>
              <w:right w:type="dxa" w:w="110"/>
            </w:tcMar>
            <w:vAlign w:val="top"/>
          </w:tcPr>
          <w:p>
            <w:pPr>
              <w:spacing w:after="0" w:before="0"/>
              <w:jc w:val="left"/>
            </w:pPr>
            <w:r>
              <w:rPr>
                <w:rFonts w:ascii="Arial" w:cs="Arial" w:eastAsia="Arial" w:hAnsi="Arial"/>
                <w:b/>
                <w:bCs/>
                <w:i w:val="false"/>
                <w:iCs w:val="false"/>
                <w:color w:val="FFFFFF"/>
                <w:sz w:val="19"/>
                <w:szCs w:val="19"/>
              </w:rPr>
              <w:t xml:space="preserve">Revision</w:t>
            </w:r>
          </w:p>
        </w:tc>
        <w:tc>
          <w:tcPr>
            <w:tcW w:type="dxa" w:w="2257"/>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9"/>
                <w:szCs w:val="19"/>
              </w:rPr>
              <w:t xml:space="preserve"/>
            </w:r>
          </w:p>
        </w:tc>
      </w:tr>
      <w:tr>
        <w:tc>
          <w:tcPr>
            <w:tcW w:type="dxa" w:w="2256"/>
            <w:tcBorders>
              <w:top w:val="single" w:color="BFBFBF" w:sz="4"/>
              <w:left w:val="single" w:color="BFBFBF" w:sz="4"/>
              <w:bottom w:val="single" w:color="BFBFBF" w:sz="4"/>
              <w:right w:val="single" w:color="BFBFBF" w:sz="4"/>
            </w:tcBorders>
            <w:shd w:fill="009FE3" w:val="clear"/>
            <w:tcMar>
              <w:top w:type="dxa" w:w="70"/>
              <w:left w:type="dxa" w:w="110"/>
              <w:bottom w:type="dxa" w:w="70"/>
              <w:right w:type="dxa" w:w="110"/>
            </w:tcMar>
            <w:vAlign w:val="top"/>
          </w:tcPr>
          <w:p>
            <w:pPr>
              <w:spacing w:after="0" w:before="0"/>
              <w:jc w:val="left"/>
            </w:pPr>
            <w:r>
              <w:rPr>
                <w:rFonts w:ascii="Arial" w:cs="Arial" w:eastAsia="Arial" w:hAnsi="Arial"/>
                <w:b/>
                <w:bCs/>
                <w:i w:val="false"/>
                <w:iCs w:val="false"/>
                <w:color w:val="FFFFFF"/>
                <w:sz w:val="19"/>
                <w:szCs w:val="19"/>
              </w:rPr>
              <w:t xml:space="preserve">Title</w:t>
            </w:r>
          </w:p>
        </w:tc>
        <w:tc>
          <w:tcPr>
            <w:tcW w:type="dxa" w:w="6770"/>
            <w:gridSpan w:val="3"/>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9"/>
                <w:szCs w:val="19"/>
              </w:rPr>
              <w:t xml:space="preserve"/>
            </w:r>
          </w:p>
        </w:tc>
      </w:tr>
      <w:tr>
        <w:tc>
          <w:tcPr>
            <w:tcW w:type="dxa" w:w="2256"/>
            <w:tcBorders>
              <w:top w:val="single" w:color="BFBFBF" w:sz="4"/>
              <w:left w:val="single" w:color="BFBFBF" w:sz="4"/>
              <w:bottom w:val="single" w:color="BFBFBF" w:sz="4"/>
              <w:right w:val="single" w:color="BFBFBF" w:sz="4"/>
            </w:tcBorders>
            <w:shd w:fill="009FE3" w:val="clear"/>
            <w:tcMar>
              <w:top w:type="dxa" w:w="70"/>
              <w:left w:type="dxa" w:w="110"/>
              <w:bottom w:type="dxa" w:w="70"/>
              <w:right w:type="dxa" w:w="110"/>
            </w:tcMar>
            <w:vAlign w:val="top"/>
          </w:tcPr>
          <w:p>
            <w:pPr>
              <w:spacing w:after="0" w:before="0"/>
              <w:jc w:val="left"/>
            </w:pPr>
            <w:r>
              <w:rPr>
                <w:rFonts w:ascii="Arial" w:cs="Arial" w:eastAsia="Arial" w:hAnsi="Arial"/>
                <w:b/>
                <w:bCs/>
                <w:i w:val="false"/>
                <w:iCs w:val="false"/>
                <w:color w:val="FFFFFF"/>
                <w:sz w:val="19"/>
                <w:szCs w:val="19"/>
              </w:rPr>
              <w:t xml:space="preserve">Area / process</w:t>
            </w:r>
          </w:p>
        </w:tc>
        <w:tc>
          <w:tcPr>
            <w:tcW w:type="dxa" w:w="225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9"/>
                <w:szCs w:val="19"/>
              </w:rPr>
              <w:t xml:space="preserve"/>
            </w:r>
          </w:p>
        </w:tc>
        <w:tc>
          <w:tcPr>
            <w:tcW w:type="dxa" w:w="2257"/>
            <w:tcBorders>
              <w:top w:val="single" w:color="BFBFBF" w:sz="4"/>
              <w:left w:val="single" w:color="BFBFBF" w:sz="4"/>
              <w:bottom w:val="single" w:color="BFBFBF" w:sz="4"/>
              <w:right w:val="single" w:color="BFBFBF" w:sz="4"/>
            </w:tcBorders>
            <w:shd w:fill="009FE3" w:val="clear"/>
            <w:tcMar>
              <w:top w:type="dxa" w:w="70"/>
              <w:left w:type="dxa" w:w="110"/>
              <w:bottom w:type="dxa" w:w="70"/>
              <w:right w:type="dxa" w:w="110"/>
            </w:tcMar>
            <w:vAlign w:val="top"/>
          </w:tcPr>
          <w:p>
            <w:pPr>
              <w:spacing w:after="0" w:before="0"/>
              <w:jc w:val="left"/>
            </w:pPr>
            <w:r>
              <w:rPr>
                <w:rFonts w:ascii="Arial" w:cs="Arial" w:eastAsia="Arial" w:hAnsi="Arial"/>
                <w:b/>
                <w:bCs/>
                <w:i w:val="false"/>
                <w:iCs w:val="false"/>
                <w:color w:val="FFFFFF"/>
                <w:sz w:val="19"/>
                <w:szCs w:val="19"/>
              </w:rPr>
              <w:t xml:space="preserve">Issue date</w:t>
            </w:r>
          </w:p>
        </w:tc>
        <w:tc>
          <w:tcPr>
            <w:tcW w:type="dxa" w:w="2257"/>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9"/>
                <w:szCs w:val="19"/>
              </w:rPr>
              <w:t xml:space="preserve"/>
            </w:r>
          </w:p>
        </w:tc>
      </w:tr>
      <w:tr>
        <w:tc>
          <w:tcPr>
            <w:tcW w:type="dxa" w:w="2256"/>
            <w:tcBorders>
              <w:top w:val="single" w:color="BFBFBF" w:sz="4"/>
              <w:left w:val="single" w:color="BFBFBF" w:sz="4"/>
              <w:bottom w:val="single" w:color="BFBFBF" w:sz="4"/>
              <w:right w:val="single" w:color="BFBFBF" w:sz="4"/>
            </w:tcBorders>
            <w:shd w:fill="009FE3" w:val="clear"/>
            <w:tcMar>
              <w:top w:type="dxa" w:w="70"/>
              <w:left w:type="dxa" w:w="110"/>
              <w:bottom w:type="dxa" w:w="70"/>
              <w:right w:type="dxa" w:w="110"/>
            </w:tcMar>
            <w:vAlign w:val="top"/>
          </w:tcPr>
          <w:p>
            <w:pPr>
              <w:spacing w:after="0" w:before="0"/>
              <w:jc w:val="left"/>
            </w:pPr>
            <w:r>
              <w:rPr>
                <w:rFonts w:ascii="Arial" w:cs="Arial" w:eastAsia="Arial" w:hAnsi="Arial"/>
                <w:b/>
                <w:bCs/>
                <w:i w:val="false"/>
                <w:iCs w:val="false"/>
                <w:color w:val="FFFFFF"/>
                <w:sz w:val="19"/>
                <w:szCs w:val="19"/>
              </w:rPr>
              <w:t xml:space="preserve">Author</w:t>
            </w:r>
          </w:p>
        </w:tc>
        <w:tc>
          <w:tcPr>
            <w:tcW w:type="dxa" w:w="225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9"/>
                <w:szCs w:val="19"/>
              </w:rPr>
              <w:t xml:space="preserve"/>
            </w:r>
          </w:p>
        </w:tc>
        <w:tc>
          <w:tcPr>
            <w:tcW w:type="dxa" w:w="2257"/>
            <w:tcBorders>
              <w:top w:val="single" w:color="BFBFBF" w:sz="4"/>
              <w:left w:val="single" w:color="BFBFBF" w:sz="4"/>
              <w:bottom w:val="single" w:color="BFBFBF" w:sz="4"/>
              <w:right w:val="single" w:color="BFBFBF" w:sz="4"/>
            </w:tcBorders>
            <w:shd w:fill="009FE3" w:val="clear"/>
            <w:tcMar>
              <w:top w:type="dxa" w:w="70"/>
              <w:left w:type="dxa" w:w="110"/>
              <w:bottom w:type="dxa" w:w="70"/>
              <w:right w:type="dxa" w:w="110"/>
            </w:tcMar>
            <w:vAlign w:val="top"/>
          </w:tcPr>
          <w:p>
            <w:pPr>
              <w:spacing w:after="0" w:before="0"/>
              <w:jc w:val="left"/>
            </w:pPr>
            <w:r>
              <w:rPr>
                <w:rFonts w:ascii="Arial" w:cs="Arial" w:eastAsia="Arial" w:hAnsi="Arial"/>
                <w:b/>
                <w:bCs/>
                <w:i w:val="false"/>
                <w:iCs w:val="false"/>
                <w:color w:val="FFFFFF"/>
                <w:sz w:val="19"/>
                <w:szCs w:val="19"/>
              </w:rPr>
              <w:t xml:space="preserve">Approved by</w:t>
            </w:r>
          </w:p>
        </w:tc>
        <w:tc>
          <w:tcPr>
            <w:tcW w:type="dxa" w:w="2257"/>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9"/>
                <w:szCs w:val="19"/>
              </w:rPr>
              <w:t xml:space="preserve"/>
            </w:r>
          </w:p>
        </w:tc>
      </w:tr>
      <w:tr>
        <w:tc>
          <w:tcPr>
            <w:tcW w:type="dxa" w:w="2256"/>
            <w:tcBorders>
              <w:top w:val="single" w:color="BFBFBF" w:sz="4"/>
              <w:left w:val="single" w:color="BFBFBF" w:sz="4"/>
              <w:bottom w:val="single" w:color="BFBFBF" w:sz="4"/>
              <w:right w:val="single" w:color="BFBFBF" w:sz="4"/>
            </w:tcBorders>
            <w:shd w:fill="009FE3" w:val="clear"/>
            <w:tcMar>
              <w:top w:type="dxa" w:w="70"/>
              <w:left w:type="dxa" w:w="110"/>
              <w:bottom w:type="dxa" w:w="70"/>
              <w:right w:type="dxa" w:w="110"/>
            </w:tcMar>
            <w:vAlign w:val="top"/>
          </w:tcPr>
          <w:p>
            <w:pPr>
              <w:spacing w:after="0" w:before="0"/>
              <w:jc w:val="left"/>
            </w:pPr>
            <w:r>
              <w:rPr>
                <w:rFonts w:ascii="Arial" w:cs="Arial" w:eastAsia="Arial" w:hAnsi="Arial"/>
                <w:b/>
                <w:bCs/>
                <w:i w:val="false"/>
                <w:iCs w:val="false"/>
                <w:color w:val="FFFFFF"/>
                <w:sz w:val="19"/>
                <w:szCs w:val="19"/>
              </w:rPr>
              <w:t xml:space="preserve">Next review date</w:t>
            </w:r>
          </w:p>
        </w:tc>
        <w:tc>
          <w:tcPr>
            <w:tcW w:type="dxa" w:w="225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9"/>
                <w:szCs w:val="19"/>
              </w:rPr>
              <w:t xml:space="preserve"/>
            </w:r>
          </w:p>
        </w:tc>
        <w:tc>
          <w:tcPr>
            <w:tcW w:type="dxa" w:w="2257"/>
            <w:tcBorders>
              <w:top w:val="single" w:color="BFBFBF" w:sz="4"/>
              <w:left w:val="single" w:color="BFBFBF" w:sz="4"/>
              <w:bottom w:val="single" w:color="BFBFBF" w:sz="4"/>
              <w:right w:val="single" w:color="BFBFBF" w:sz="4"/>
            </w:tcBorders>
            <w:shd w:fill="009FE3" w:val="clear"/>
            <w:tcMar>
              <w:top w:type="dxa" w:w="70"/>
              <w:left w:type="dxa" w:w="110"/>
              <w:bottom w:type="dxa" w:w="70"/>
              <w:right w:type="dxa" w:w="110"/>
            </w:tcMar>
            <w:vAlign w:val="top"/>
          </w:tcPr>
          <w:p>
            <w:pPr>
              <w:spacing w:after="0" w:before="0"/>
              <w:jc w:val="left"/>
            </w:pPr>
            <w:r>
              <w:rPr>
                <w:rFonts w:ascii="Arial" w:cs="Arial" w:eastAsia="Arial" w:hAnsi="Arial"/>
                <w:b/>
                <w:bCs/>
                <w:i w:val="false"/>
                <w:iCs w:val="false"/>
                <w:color w:val="FFFFFF"/>
                <w:sz w:val="19"/>
                <w:szCs w:val="19"/>
              </w:rPr>
              <w:t xml:space="preserve">Training required</w:t>
            </w:r>
          </w:p>
        </w:tc>
        <w:tc>
          <w:tcPr>
            <w:tcW w:type="dxa" w:w="2257"/>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9"/>
                <w:szCs w:val="19"/>
              </w:rPr>
              <w:t xml:space="preserve"/>
            </w:r>
          </w:p>
        </w:tc>
      </w:tr>
      <w:tr>
        <w:tc>
          <w:tcPr>
            <w:tcW w:type="dxa" w:w="2256"/>
            <w:tcBorders>
              <w:top w:val="single" w:color="BFBFBF" w:sz="4"/>
              <w:left w:val="single" w:color="BFBFBF" w:sz="4"/>
              <w:bottom w:val="single" w:color="BFBFBF" w:sz="4"/>
              <w:right w:val="single" w:color="BFBFBF" w:sz="4"/>
            </w:tcBorders>
            <w:shd w:fill="83348F" w:val="clear"/>
            <w:tcMar>
              <w:top w:type="dxa" w:w="70"/>
              <w:left w:type="dxa" w:w="110"/>
              <w:bottom w:type="dxa" w:w="70"/>
              <w:right w:type="dxa" w:w="110"/>
            </w:tcMar>
            <w:vAlign w:val="top"/>
          </w:tcPr>
          <w:p>
            <w:pPr>
              <w:spacing w:after="0" w:before="0"/>
              <w:jc w:val="left"/>
            </w:pPr>
            <w:r>
              <w:rPr>
                <w:rFonts w:ascii="Arial" w:cs="Arial" w:eastAsia="Arial" w:hAnsi="Arial"/>
                <w:b/>
                <w:bCs/>
                <w:i w:val="false"/>
                <w:iCs w:val="false"/>
                <w:color w:val="FFFFFF"/>
                <w:sz w:val="19"/>
                <w:szCs w:val="19"/>
              </w:rPr>
              <w:t xml:space="preserve">Status</w:t>
            </w:r>
          </w:p>
        </w:tc>
        <w:tc>
          <w:tcPr>
            <w:tcW w:type="dxa" w:w="6770"/>
            <w:gridSpan w:val="3"/>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bCs/>
                <w:i/>
                <w:iCs/>
                <w:color w:val="5B595A"/>
                <w:sz w:val="19"/>
                <w:szCs w:val="19"/>
              </w:rPr>
              <w:t xml:space="preserve">DRAFT  /  ISSUED  /  OBSOLETE</w:t>
            </w:r>
          </w:p>
        </w:tc>
      </w:tr>
    </w:tbl>
    <w:p>
      <w:pPr>
        <w:pStyle w:val="Heading1"/>
        <w:spacing w:after="140" w:before="300"/>
      </w:pPr>
      <w:r>
        <w:rPr>
          <w:rFonts w:ascii="Arial" w:cs="Arial" w:eastAsia="Arial" w:hAnsi="Arial"/>
          <w:b/>
          <w:bCs/>
          <w:color w:val="29ABE2"/>
          <w:sz w:val="28"/>
          <w:szCs w:val="28"/>
        </w:rPr>
        <w:t xml:space="preserve">1.  Purpose</w:t>
      </w:r>
    </w:p>
    <w:p>
      <w:pPr>
        <w:spacing w:after="100" w:before="40"/>
        <w:jc w:val="left"/>
      </w:pPr>
      <w:r>
        <w:rPr>
          <w:rFonts w:ascii="Arial" w:cs="Arial" w:eastAsia="Arial" w:hAnsi="Arial"/>
          <w:b w:val="false"/>
          <w:bCs w:val="false"/>
          <w:i/>
          <w:iCs/>
          <w:color w:val="8A8A8A"/>
          <w:sz w:val="19"/>
          <w:szCs w:val="19"/>
        </w:rPr>
        <w:t xml:space="preserve">Why this procedure exists: the output it produces and the risk it controls. One or two sentences.</w:t>
      </w:r>
    </w:p>
    <w:p>
      <w:pPr>
        <w:pStyle w:val="Heading1"/>
        <w:spacing w:after="140" w:before="300"/>
      </w:pPr>
      <w:r>
        <w:rPr>
          <w:rFonts w:ascii="Arial" w:cs="Arial" w:eastAsia="Arial" w:hAnsi="Arial"/>
          <w:b/>
          <w:bCs/>
          <w:color w:val="29ABE2"/>
          <w:sz w:val="28"/>
          <w:szCs w:val="28"/>
        </w:rPr>
        <w:t xml:space="preserve">2.  Scope</w:t>
      </w:r>
    </w:p>
    <w:p>
      <w:pPr>
        <w:spacing w:after="100" w:before="40"/>
        <w:jc w:val="left"/>
      </w:pPr>
      <w:r>
        <w:rPr>
          <w:rFonts w:ascii="Arial" w:cs="Arial" w:eastAsia="Arial" w:hAnsi="Arial"/>
          <w:b w:val="false"/>
          <w:bCs w:val="false"/>
          <w:i/>
          <w:iCs/>
          <w:color w:val="8A8A8A"/>
          <w:sz w:val="19"/>
          <w:szCs w:val="19"/>
        </w:rPr>
        <w:t xml:space="preserve">Which parts, processes, machines and people this SOP applies to, and anything explicitly excluded.</w:t>
      </w:r>
    </w:p>
    <w:p>
      <w:pPr>
        <w:pStyle w:val="Heading1"/>
        <w:spacing w:after="140" w:before="300"/>
      </w:pPr>
      <w:r>
        <w:rPr>
          <w:rFonts w:ascii="Arial" w:cs="Arial" w:eastAsia="Arial" w:hAnsi="Arial"/>
          <w:b/>
          <w:bCs/>
          <w:color w:val="29ABE2"/>
          <w:sz w:val="28"/>
          <w:szCs w:val="28"/>
        </w:rPr>
        <w:t xml:space="preserve">3.  Safety and PPE</w:t>
      </w:r>
    </w:p>
    <w:p>
      <w:pPr>
        <w:spacing w:after="100" w:before="40"/>
        <w:jc w:val="left"/>
      </w:pPr>
      <w:r>
        <w:rPr>
          <w:rFonts w:ascii="Arial" w:cs="Arial" w:eastAsia="Arial" w:hAnsi="Arial"/>
          <w:b w:val="false"/>
          <w:bCs w:val="false"/>
          <w:i/>
          <w:iCs/>
          <w:color w:val="8A8A8A"/>
          <w:sz w:val="19"/>
          <w:szCs w:val="19"/>
        </w:rPr>
        <w:t xml:space="preserve">Hazards specific to this task, required PPE, isolations or permits, and what to do before starting. If a risk assessment applies, reference it here.</w:t>
      </w:r>
    </w:p>
    <w:p>
      <w:pPr>
        <w:pStyle w:val="Heading1"/>
        <w:spacing w:after="140" w:before="300"/>
      </w:pPr>
      <w:r>
        <w:rPr>
          <w:rFonts w:ascii="Arial" w:cs="Arial" w:eastAsia="Arial" w:hAnsi="Arial"/>
          <w:b/>
          <w:bCs/>
          <w:color w:val="29ABE2"/>
          <w:sz w:val="28"/>
          <w:szCs w:val="28"/>
        </w:rPr>
        <w:t xml:space="preserve">4.  Tools, equipment and materials</w:t>
      </w:r>
    </w:p>
    <w:p>
      <w:pPr>
        <w:spacing w:after="100" w:before="40"/>
        <w:jc w:val="left"/>
      </w:pPr>
      <w:r>
        <w:rPr>
          <w:rFonts w:ascii="Arial" w:cs="Arial" w:eastAsia="Arial" w:hAnsi="Arial"/>
          <w:b w:val="false"/>
          <w:bCs w:val="false"/>
          <w:i/>
          <w:iCs/>
          <w:color w:val="8A8A8A"/>
          <w:sz w:val="19"/>
          <w:szCs w:val="19"/>
        </w:rPr>
        <w:t xml:space="preserve">Everything needed before starting: tools, gauges (with calibration status), consumables, documents and their revisions. Listing these here supports your 5S point-of-use storage (PE-05).</w:t>
      </w:r>
    </w:p>
    <w:p>
      <w:pPr>
        <w:pStyle w:val="Heading1"/>
        <w:spacing w:after="140" w:before="300"/>
      </w:pPr>
      <w:r>
        <w:rPr>
          <w:rFonts w:ascii="Arial" w:cs="Arial" w:eastAsia="Arial" w:hAnsi="Arial"/>
          <w:b/>
          <w:bCs/>
          <w:color w:val="29ABE2"/>
          <w:sz w:val="28"/>
          <w:szCs w:val="28"/>
        </w:rPr>
        <w:t xml:space="preserve">5.  Procedure</w:t>
      </w:r>
    </w:p>
    <w:p>
      <w:pPr>
        <w:spacing w:after="100" w:before="40"/>
        <w:jc w:val="left"/>
      </w:pPr>
      <w:r>
        <w:rPr>
          <w:rFonts w:ascii="Arial" w:cs="Arial" w:eastAsia="Arial" w:hAnsi="Arial"/>
          <w:b w:val="false"/>
          <w:bCs w:val="false"/>
          <w:i/>
          <w:iCs/>
          <w:color w:val="8A8A8A"/>
          <w:sz w:val="19"/>
          <w:szCs w:val="19"/>
        </w:rPr>
        <w:t xml:space="preserve">One action per step, in the order performed. Key points carry the how and the why: the tribal knowledge that makes the difference between done and done right. The check column records what is verified or written down at that step. Add photos or sketches wherever a picture beats a paragraph.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3226"/>
        <w:gridCol w:w="1500"/>
      </w:tblGrid>
      <w:tr>
        <w:tc>
          <w:tcPr>
            <w:tcW w:type="dxa" w:w="700"/>
            <w:tcBorders>
              <w:top w:val="single" w:color="BFBFBF" w:sz="4"/>
              <w:left w:val="single" w:color="BFBFBF" w:sz="4"/>
              <w:bottom w:val="single" w:color="BFBFBF" w:sz="4"/>
              <w:right w:val="single" w:color="BFBFBF" w:sz="4"/>
            </w:tcBorders>
            <w:shd w:fill="009FE3" w:val="clear"/>
            <w:tcMar>
              <w:top w:type="dxa" w:w="70"/>
              <w:left w:type="dxa" w:w="110"/>
              <w:bottom w:type="dxa" w:w="70"/>
              <w:right w:type="dxa" w:w="110"/>
            </w:tcMar>
            <w:vAlign w:val="top"/>
          </w:tcPr>
          <w:p>
            <w:pPr>
              <w:spacing w:after="0" w:before="0"/>
              <w:jc w:val="left"/>
            </w:pPr>
            <w:r>
              <w:rPr>
                <w:rFonts w:ascii="Arial" w:cs="Arial" w:eastAsia="Arial" w:hAnsi="Arial"/>
                <w:b/>
                <w:bCs/>
                <w:i w:val="false"/>
                <w:iCs w:val="false"/>
                <w:color w:val="FFFFFF"/>
                <w:sz w:val="19"/>
                <w:szCs w:val="19"/>
              </w:rPr>
              <w:t xml:space="preserve">Step</w:t>
            </w:r>
          </w:p>
        </w:tc>
        <w:tc>
          <w:tcPr>
            <w:tcW w:type="dxa" w:w="3600"/>
            <w:tcBorders>
              <w:top w:val="single" w:color="BFBFBF" w:sz="4"/>
              <w:left w:val="single" w:color="BFBFBF" w:sz="4"/>
              <w:bottom w:val="single" w:color="BFBFBF" w:sz="4"/>
              <w:right w:val="single" w:color="BFBFBF" w:sz="4"/>
            </w:tcBorders>
            <w:shd w:fill="009FE3" w:val="clear"/>
            <w:tcMar>
              <w:top w:type="dxa" w:w="70"/>
              <w:left w:type="dxa" w:w="110"/>
              <w:bottom w:type="dxa" w:w="70"/>
              <w:right w:type="dxa" w:w="110"/>
            </w:tcMar>
            <w:vAlign w:val="top"/>
          </w:tcPr>
          <w:p>
            <w:pPr>
              <w:spacing w:after="0" w:before="0"/>
              <w:jc w:val="left"/>
            </w:pPr>
            <w:r>
              <w:rPr>
                <w:rFonts w:ascii="Arial" w:cs="Arial" w:eastAsia="Arial" w:hAnsi="Arial"/>
                <w:b/>
                <w:bCs/>
                <w:i w:val="false"/>
                <w:iCs w:val="false"/>
                <w:color w:val="FFFFFF"/>
                <w:sz w:val="19"/>
                <w:szCs w:val="19"/>
              </w:rPr>
              <w:t xml:space="preserve">Action: what to do</w:t>
            </w:r>
          </w:p>
        </w:tc>
        <w:tc>
          <w:tcPr>
            <w:tcW w:type="dxa" w:w="3226"/>
            <w:tcBorders>
              <w:top w:val="single" w:color="BFBFBF" w:sz="4"/>
              <w:left w:val="single" w:color="BFBFBF" w:sz="4"/>
              <w:bottom w:val="single" w:color="BFBFBF" w:sz="4"/>
              <w:right w:val="single" w:color="BFBFBF" w:sz="4"/>
            </w:tcBorders>
            <w:shd w:fill="83348F" w:val="clear"/>
            <w:tcMar>
              <w:top w:type="dxa" w:w="70"/>
              <w:left w:type="dxa" w:w="110"/>
              <w:bottom w:type="dxa" w:w="70"/>
              <w:right w:type="dxa" w:w="110"/>
            </w:tcMar>
            <w:vAlign w:val="top"/>
          </w:tcPr>
          <w:p>
            <w:pPr>
              <w:spacing w:after="0" w:before="0"/>
              <w:jc w:val="left"/>
            </w:pPr>
            <w:r>
              <w:rPr>
                <w:rFonts w:ascii="Arial" w:cs="Arial" w:eastAsia="Arial" w:hAnsi="Arial"/>
                <w:b/>
                <w:bCs/>
                <w:i w:val="false"/>
                <w:iCs w:val="false"/>
                <w:color w:val="FFFFFF"/>
                <w:sz w:val="19"/>
                <w:szCs w:val="19"/>
              </w:rPr>
              <w:t xml:space="preserve">Key point: how, and why it matters</w:t>
            </w:r>
          </w:p>
        </w:tc>
        <w:tc>
          <w:tcPr>
            <w:tcW w:type="dxa" w:w="1500"/>
            <w:tcBorders>
              <w:top w:val="single" w:color="BFBFBF" w:sz="4"/>
              <w:left w:val="single" w:color="BFBFBF" w:sz="4"/>
              <w:bottom w:val="single" w:color="BFBFBF" w:sz="4"/>
              <w:right w:val="single" w:color="BFBFBF" w:sz="4"/>
            </w:tcBorders>
            <w:shd w:fill="83348F" w:val="clear"/>
            <w:tcMar>
              <w:top w:type="dxa" w:w="70"/>
              <w:left w:type="dxa" w:w="110"/>
              <w:bottom w:type="dxa" w:w="70"/>
              <w:right w:type="dxa" w:w="110"/>
            </w:tcMar>
            <w:vAlign w:val="top"/>
          </w:tcPr>
          <w:p>
            <w:pPr>
              <w:spacing w:after="0" w:before="0"/>
              <w:jc w:val="left"/>
            </w:pPr>
            <w:r>
              <w:rPr>
                <w:rFonts w:ascii="Arial" w:cs="Arial" w:eastAsia="Arial" w:hAnsi="Arial"/>
                <w:b/>
                <w:bCs/>
                <w:i w:val="false"/>
                <w:iCs w:val="false"/>
                <w:color w:val="FFFFFF"/>
                <w:sz w:val="19"/>
                <w:szCs w:val="19"/>
              </w:rPr>
              <w:t xml:space="preserve">Check / record</w:t>
            </w:r>
          </w:p>
        </w:tc>
      </w:tr>
      <w:tr>
        <w:trPr>
          <w:trHeight w:val="500" w:hRule="atLeas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center"/>
            </w:pPr>
            <w:r>
              <w:rPr>
                <w:rFonts w:ascii="Arial" w:cs="Arial" w:eastAsia="Arial" w:hAnsi="Arial"/>
                <w:b w:val="false"/>
                <w:bCs w:val="false"/>
                <w:i w:val="false"/>
                <w:iCs w:val="false"/>
                <w:color w:val="8A8A8A"/>
                <w:sz w:val="19"/>
                <w:szCs w:val="19"/>
              </w:rPr>
              <w:t xml:space="preserve">1</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9"/>
                <w:szCs w:val="19"/>
              </w:rPr>
              <w:t xml:space="preserve"/>
            </w:r>
          </w:p>
        </w:tc>
        <w:tc>
          <w:tcPr>
            <w:tcW w:type="dxa" w:w="3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9"/>
                <w:szCs w:val="19"/>
              </w:rPr>
              <w:t xml:space="preserve"/>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9"/>
                <w:szCs w:val="19"/>
              </w:rPr>
              <w:t xml:space="preserve"/>
            </w:r>
          </w:p>
        </w:tc>
      </w:tr>
      <w:tr>
        <w:trPr>
          <w:trHeight w:val="500" w:hRule="atLeas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center"/>
            </w:pPr>
            <w:r>
              <w:rPr>
                <w:rFonts w:ascii="Arial" w:cs="Arial" w:eastAsia="Arial" w:hAnsi="Arial"/>
                <w:b w:val="false"/>
                <w:bCs w:val="false"/>
                <w:i w:val="false"/>
                <w:iCs w:val="false"/>
                <w:color w:val="8A8A8A"/>
                <w:sz w:val="19"/>
                <w:szCs w:val="19"/>
              </w:rPr>
              <w:t xml:space="preserve">2</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9"/>
                <w:szCs w:val="19"/>
              </w:rPr>
              <w:t xml:space="preserve"/>
            </w:r>
          </w:p>
        </w:tc>
        <w:tc>
          <w:tcPr>
            <w:tcW w:type="dxa" w:w="3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9"/>
                <w:szCs w:val="19"/>
              </w:rPr>
              <w:t xml:space="preserve"/>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9"/>
                <w:szCs w:val="19"/>
              </w:rPr>
              <w:t xml:space="preserve"/>
            </w:r>
          </w:p>
        </w:tc>
      </w:tr>
      <w:tr>
        <w:trPr>
          <w:trHeight w:val="500" w:hRule="atLeas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center"/>
            </w:pPr>
            <w:r>
              <w:rPr>
                <w:rFonts w:ascii="Arial" w:cs="Arial" w:eastAsia="Arial" w:hAnsi="Arial"/>
                <w:b w:val="false"/>
                <w:bCs w:val="false"/>
                <w:i w:val="false"/>
                <w:iCs w:val="false"/>
                <w:color w:val="8A8A8A"/>
                <w:sz w:val="19"/>
                <w:szCs w:val="19"/>
              </w:rPr>
              <w:t xml:space="preserve">3</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9"/>
                <w:szCs w:val="19"/>
              </w:rPr>
              <w:t xml:space="preserve"/>
            </w:r>
          </w:p>
        </w:tc>
        <w:tc>
          <w:tcPr>
            <w:tcW w:type="dxa" w:w="3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9"/>
                <w:szCs w:val="19"/>
              </w:rPr>
              <w:t xml:space="preserve"/>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9"/>
                <w:szCs w:val="19"/>
              </w:rPr>
              <w:t xml:space="preserve"/>
            </w:r>
          </w:p>
        </w:tc>
      </w:tr>
      <w:tr>
        <w:trPr>
          <w:trHeight w:val="500" w:hRule="atLeas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center"/>
            </w:pPr>
            <w:r>
              <w:rPr>
                <w:rFonts w:ascii="Arial" w:cs="Arial" w:eastAsia="Arial" w:hAnsi="Arial"/>
                <w:b w:val="false"/>
                <w:bCs w:val="false"/>
                <w:i w:val="false"/>
                <w:iCs w:val="false"/>
                <w:color w:val="8A8A8A"/>
                <w:sz w:val="19"/>
                <w:szCs w:val="19"/>
              </w:rPr>
              <w:t xml:space="preserve">4</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9"/>
                <w:szCs w:val="19"/>
              </w:rPr>
              <w:t xml:space="preserve"/>
            </w:r>
          </w:p>
        </w:tc>
        <w:tc>
          <w:tcPr>
            <w:tcW w:type="dxa" w:w="3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9"/>
                <w:szCs w:val="19"/>
              </w:rPr>
              <w:t xml:space="preserve"/>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9"/>
                <w:szCs w:val="19"/>
              </w:rPr>
              <w:t xml:space="preserve"/>
            </w:r>
          </w:p>
        </w:tc>
      </w:tr>
      <w:tr>
        <w:trPr>
          <w:trHeight w:val="500" w:hRule="atLeas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center"/>
            </w:pPr>
            <w:r>
              <w:rPr>
                <w:rFonts w:ascii="Arial" w:cs="Arial" w:eastAsia="Arial" w:hAnsi="Arial"/>
                <w:b w:val="false"/>
                <w:bCs w:val="false"/>
                <w:i w:val="false"/>
                <w:iCs w:val="false"/>
                <w:color w:val="8A8A8A"/>
                <w:sz w:val="19"/>
                <w:szCs w:val="19"/>
              </w:rPr>
              <w:t xml:space="preserve">5</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9"/>
                <w:szCs w:val="19"/>
              </w:rPr>
              <w:t xml:space="preserve"/>
            </w:r>
          </w:p>
        </w:tc>
        <w:tc>
          <w:tcPr>
            <w:tcW w:type="dxa" w:w="3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9"/>
                <w:szCs w:val="19"/>
              </w:rPr>
              <w:t xml:space="preserve"/>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9"/>
                <w:szCs w:val="19"/>
              </w:rPr>
              <w:t xml:space="preserve"/>
            </w:r>
          </w:p>
        </w:tc>
      </w:tr>
      <w:tr>
        <w:trPr>
          <w:trHeight w:val="500" w:hRule="atLeas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center"/>
            </w:pPr>
            <w:r>
              <w:rPr>
                <w:rFonts w:ascii="Arial" w:cs="Arial" w:eastAsia="Arial" w:hAnsi="Arial"/>
                <w:b w:val="false"/>
                <w:bCs w:val="false"/>
                <w:i w:val="false"/>
                <w:iCs w:val="false"/>
                <w:color w:val="8A8A8A"/>
                <w:sz w:val="19"/>
                <w:szCs w:val="19"/>
              </w:rPr>
              <w:t xml:space="preserve">6</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9"/>
                <w:szCs w:val="19"/>
              </w:rPr>
              <w:t xml:space="preserve"/>
            </w:r>
          </w:p>
        </w:tc>
        <w:tc>
          <w:tcPr>
            <w:tcW w:type="dxa" w:w="3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9"/>
                <w:szCs w:val="19"/>
              </w:rPr>
              <w:t xml:space="preserve"/>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9"/>
                <w:szCs w:val="19"/>
              </w:rPr>
              <w:t xml:space="preserve"/>
            </w:r>
          </w:p>
        </w:tc>
      </w:tr>
      <w:tr>
        <w:trPr>
          <w:trHeight w:val="500" w:hRule="atLeas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center"/>
            </w:pPr>
            <w:r>
              <w:rPr>
                <w:rFonts w:ascii="Arial" w:cs="Arial" w:eastAsia="Arial" w:hAnsi="Arial"/>
                <w:b w:val="false"/>
                <w:bCs w:val="false"/>
                <w:i w:val="false"/>
                <w:iCs w:val="false"/>
                <w:color w:val="8A8A8A"/>
                <w:sz w:val="19"/>
                <w:szCs w:val="19"/>
              </w:rPr>
              <w:t xml:space="preserve">7</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9"/>
                <w:szCs w:val="19"/>
              </w:rPr>
              <w:t xml:space="preserve"/>
            </w:r>
          </w:p>
        </w:tc>
        <w:tc>
          <w:tcPr>
            <w:tcW w:type="dxa" w:w="3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9"/>
                <w:szCs w:val="19"/>
              </w:rPr>
              <w:t xml:space="preserve"/>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9"/>
                <w:szCs w:val="19"/>
              </w:rPr>
              <w:t xml:space="preserve"/>
            </w:r>
          </w:p>
        </w:tc>
      </w:tr>
      <w:tr>
        <w:trPr>
          <w:trHeight w:val="500" w:hRule="atLeas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center"/>
            </w:pPr>
            <w:r>
              <w:rPr>
                <w:rFonts w:ascii="Arial" w:cs="Arial" w:eastAsia="Arial" w:hAnsi="Arial"/>
                <w:b w:val="false"/>
                <w:bCs w:val="false"/>
                <w:i w:val="false"/>
                <w:iCs w:val="false"/>
                <w:color w:val="8A8A8A"/>
                <w:sz w:val="19"/>
                <w:szCs w:val="19"/>
              </w:rPr>
              <w:t xml:space="preserve">8</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9"/>
                <w:szCs w:val="19"/>
              </w:rPr>
              <w:t xml:space="preserve"/>
            </w:r>
          </w:p>
        </w:tc>
        <w:tc>
          <w:tcPr>
            <w:tcW w:type="dxa" w:w="3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9"/>
                <w:szCs w:val="19"/>
              </w:rPr>
              <w:t xml:space="preserve"/>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9"/>
                <w:szCs w:val="19"/>
              </w:rPr>
              <w:t xml:space="preserve"/>
            </w:r>
          </w:p>
        </w:tc>
      </w:tr>
    </w:tbl>
    <w:p>
      <w:pPr>
        <w:pStyle w:val="Heading1"/>
        <w:spacing w:after="140" w:before="300"/>
      </w:pPr>
      <w:r>
        <w:rPr>
          <w:rFonts w:ascii="Arial" w:cs="Arial" w:eastAsia="Arial" w:hAnsi="Arial"/>
          <w:b/>
          <w:bCs/>
          <w:color w:val="29ABE2"/>
          <w:sz w:val="28"/>
          <w:szCs w:val="28"/>
        </w:rPr>
        <w:t xml:space="preserve">6.  Quality checks and acceptance criteria</w:t>
      </w:r>
    </w:p>
    <w:p>
      <w:pPr>
        <w:spacing w:after="100" w:before="40"/>
        <w:jc w:val="left"/>
      </w:pPr>
      <w:r>
        <w:rPr>
          <w:rFonts w:ascii="Arial" w:cs="Arial" w:eastAsia="Arial" w:hAnsi="Arial"/>
          <w:b w:val="false"/>
          <w:bCs w:val="false"/>
          <w:i/>
          <w:iCs/>
          <w:color w:val="8A8A8A"/>
          <w:sz w:val="19"/>
          <w:szCs w:val="19"/>
        </w:rPr>
        <w:t xml:space="preserve">What is measured or inspected, with what, how often, against what limits, and where results are recorded. Align with your control plan (PE-09) and inspection records.</w:t>
      </w:r>
    </w:p>
    <w:p>
      <w:pPr>
        <w:pStyle w:val="Heading1"/>
        <w:spacing w:after="140" w:before="300"/>
      </w:pPr>
      <w:r>
        <w:rPr>
          <w:rFonts w:ascii="Arial" w:cs="Arial" w:eastAsia="Arial" w:hAnsi="Arial"/>
          <w:b/>
          <w:bCs/>
          <w:color w:val="29ABE2"/>
          <w:sz w:val="28"/>
          <w:szCs w:val="28"/>
        </w:rPr>
        <w:t xml:space="preserve">7.  If something is wrong: reaction plan</w:t>
      </w:r>
    </w:p>
    <w:p>
      <w:pPr>
        <w:spacing w:after="100" w:before="40"/>
        <w:jc w:val="left"/>
      </w:pPr>
      <w:r>
        <w:rPr>
          <w:rFonts w:ascii="Arial" w:cs="Arial" w:eastAsia="Arial" w:hAnsi="Arial"/>
          <w:b w:val="false"/>
          <w:bCs w:val="false"/>
          <w:i/>
          <w:iCs/>
          <w:color w:val="8A8A8A"/>
          <w:sz w:val="19"/>
          <w:szCs w:val="19"/>
        </w:rPr>
        <w:t xml:space="preserve">What the operator does on finding a nonconformance or abnormality: stop, contain, quarantine, who to tell, what to record. Link to your nonconformance process and Problem Register (PE-04a). Never leave 'what if it goes wrong' to judgement on the day.</w:t>
      </w:r>
    </w:p>
    <w:p>
      <w:pPr>
        <w:pStyle w:val="Heading1"/>
        <w:spacing w:after="140" w:before="300"/>
      </w:pPr>
      <w:r>
        <w:rPr>
          <w:rFonts w:ascii="Arial" w:cs="Arial" w:eastAsia="Arial" w:hAnsi="Arial"/>
          <w:b/>
          <w:bCs/>
          <w:color w:val="29ABE2"/>
          <w:sz w:val="28"/>
          <w:szCs w:val="28"/>
        </w:rPr>
        <w:t xml:space="preserve">8.  Revision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4326"/>
        <w:gridCol w:w="2200"/>
      </w:tblGrid>
      <w:tr>
        <w:tc>
          <w:tcPr>
            <w:tcW w:type="dxa" w:w="900"/>
            <w:tcBorders>
              <w:top w:val="single" w:color="BFBFBF" w:sz="4"/>
              <w:left w:val="single" w:color="BFBFBF" w:sz="4"/>
              <w:bottom w:val="single" w:color="BFBFBF" w:sz="4"/>
              <w:right w:val="single" w:color="BFBFBF" w:sz="4"/>
            </w:tcBorders>
            <w:shd w:fill="009FE3" w:val="clear"/>
            <w:tcMar>
              <w:top w:type="dxa" w:w="70"/>
              <w:left w:type="dxa" w:w="110"/>
              <w:bottom w:type="dxa" w:w="70"/>
              <w:right w:type="dxa" w:w="110"/>
            </w:tcMar>
            <w:vAlign w:val="top"/>
          </w:tcPr>
          <w:p>
            <w:pPr>
              <w:spacing w:after="0" w:before="0"/>
              <w:jc w:val="left"/>
            </w:pPr>
            <w:r>
              <w:rPr>
                <w:rFonts w:ascii="Arial" w:cs="Arial" w:eastAsia="Arial" w:hAnsi="Arial"/>
                <w:b/>
                <w:bCs/>
                <w:i w:val="false"/>
                <w:iCs w:val="false"/>
                <w:color w:val="FFFFFF"/>
                <w:sz w:val="19"/>
                <w:szCs w:val="19"/>
              </w:rPr>
              <w:t xml:space="preserve">Rev</w:t>
            </w:r>
          </w:p>
        </w:tc>
        <w:tc>
          <w:tcPr>
            <w:tcW w:type="dxa" w:w="1600"/>
            <w:tcBorders>
              <w:top w:val="single" w:color="BFBFBF" w:sz="4"/>
              <w:left w:val="single" w:color="BFBFBF" w:sz="4"/>
              <w:bottom w:val="single" w:color="BFBFBF" w:sz="4"/>
              <w:right w:val="single" w:color="BFBFBF" w:sz="4"/>
            </w:tcBorders>
            <w:shd w:fill="009FE3" w:val="clear"/>
            <w:tcMar>
              <w:top w:type="dxa" w:w="70"/>
              <w:left w:type="dxa" w:w="110"/>
              <w:bottom w:type="dxa" w:w="70"/>
              <w:right w:type="dxa" w:w="110"/>
            </w:tcMar>
            <w:vAlign w:val="top"/>
          </w:tcPr>
          <w:p>
            <w:pPr>
              <w:spacing w:after="0" w:before="0"/>
              <w:jc w:val="left"/>
            </w:pPr>
            <w:r>
              <w:rPr>
                <w:rFonts w:ascii="Arial" w:cs="Arial" w:eastAsia="Arial" w:hAnsi="Arial"/>
                <w:b/>
                <w:bCs/>
                <w:i w:val="false"/>
                <w:iCs w:val="false"/>
                <w:color w:val="FFFFFF"/>
                <w:sz w:val="19"/>
                <w:szCs w:val="19"/>
              </w:rPr>
              <w:t xml:space="preserve">Date</w:t>
            </w:r>
          </w:p>
        </w:tc>
        <w:tc>
          <w:tcPr>
            <w:tcW w:type="dxa" w:w="4326"/>
            <w:tcBorders>
              <w:top w:val="single" w:color="BFBFBF" w:sz="4"/>
              <w:left w:val="single" w:color="BFBFBF" w:sz="4"/>
              <w:bottom w:val="single" w:color="BFBFBF" w:sz="4"/>
              <w:right w:val="single" w:color="BFBFBF" w:sz="4"/>
            </w:tcBorders>
            <w:shd w:fill="009FE3" w:val="clear"/>
            <w:tcMar>
              <w:top w:type="dxa" w:w="70"/>
              <w:left w:type="dxa" w:w="110"/>
              <w:bottom w:type="dxa" w:w="70"/>
              <w:right w:type="dxa" w:w="110"/>
            </w:tcMar>
            <w:vAlign w:val="top"/>
          </w:tcPr>
          <w:p>
            <w:pPr>
              <w:spacing w:after="0" w:before="0"/>
              <w:jc w:val="left"/>
            </w:pPr>
            <w:r>
              <w:rPr>
                <w:rFonts w:ascii="Arial" w:cs="Arial" w:eastAsia="Arial" w:hAnsi="Arial"/>
                <w:b/>
                <w:bCs/>
                <w:i w:val="false"/>
                <w:iCs w:val="false"/>
                <w:color w:val="FFFFFF"/>
                <w:sz w:val="19"/>
                <w:szCs w:val="19"/>
              </w:rPr>
              <w:t xml:space="preserve">Description of change and reason</w:t>
            </w:r>
          </w:p>
        </w:tc>
        <w:tc>
          <w:tcPr>
            <w:tcW w:type="dxa" w:w="2200"/>
            <w:tcBorders>
              <w:top w:val="single" w:color="BFBFBF" w:sz="4"/>
              <w:left w:val="single" w:color="BFBFBF" w:sz="4"/>
              <w:bottom w:val="single" w:color="BFBFBF" w:sz="4"/>
              <w:right w:val="single" w:color="BFBFBF" w:sz="4"/>
            </w:tcBorders>
            <w:shd w:fill="009FE3" w:val="clear"/>
            <w:tcMar>
              <w:top w:type="dxa" w:w="70"/>
              <w:left w:type="dxa" w:w="110"/>
              <w:bottom w:type="dxa" w:w="70"/>
              <w:right w:type="dxa" w:w="110"/>
            </w:tcMar>
            <w:vAlign w:val="top"/>
          </w:tcPr>
          <w:p>
            <w:pPr>
              <w:spacing w:after="0" w:before="0"/>
              <w:jc w:val="left"/>
            </w:pPr>
            <w:r>
              <w:rPr>
                <w:rFonts w:ascii="Arial" w:cs="Arial" w:eastAsia="Arial" w:hAnsi="Arial"/>
                <w:b/>
                <w:bCs/>
                <w:i w:val="false"/>
                <w:iCs w:val="false"/>
                <w:color w:val="FFFFFF"/>
                <w:sz w:val="19"/>
                <w:szCs w:val="19"/>
              </w:rPr>
              <w:t xml:space="preserve">Author / approver</w:t>
            </w:r>
          </w:p>
        </w:tc>
      </w:tr>
      <w:tr>
        <w:trPr>
          <w:trHeight w:val="420" w:hRule="atLeast"/>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9"/>
                <w:szCs w:val="19"/>
              </w:rPr>
              <w:t xml:space="preserve"/>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9"/>
                <w:szCs w:val="19"/>
              </w:rPr>
              <w:t xml:space="preserve"/>
            </w:r>
          </w:p>
        </w:tc>
        <w:tc>
          <w:tcPr>
            <w:tcW w:type="dxa" w:w="43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9"/>
                <w:szCs w:val="19"/>
              </w:rPr>
              <w:t xml:space="preserve"/>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9"/>
                <w:szCs w:val="19"/>
              </w:rPr>
              <w:t xml:space="preserve"/>
            </w:r>
          </w:p>
        </w:tc>
      </w:tr>
      <w:tr>
        <w:trPr>
          <w:trHeight w:val="420" w:hRule="atLeast"/>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9"/>
                <w:szCs w:val="19"/>
              </w:rPr>
              <w:t xml:space="preserve"/>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9"/>
                <w:szCs w:val="19"/>
              </w:rPr>
              <w:t xml:space="preserve"/>
            </w:r>
          </w:p>
        </w:tc>
        <w:tc>
          <w:tcPr>
            <w:tcW w:type="dxa" w:w="43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9"/>
                <w:szCs w:val="19"/>
              </w:rPr>
              <w:t xml:space="preserve"/>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9"/>
                <w:szCs w:val="19"/>
              </w:rPr>
              <w:t xml:space="preserve"/>
            </w:r>
          </w:p>
        </w:tc>
      </w:tr>
      <w:tr>
        <w:trPr>
          <w:trHeight w:val="420" w:hRule="atLeast"/>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9"/>
                <w:szCs w:val="19"/>
              </w:rPr>
              <w:t xml:space="preserve"/>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9"/>
                <w:szCs w:val="19"/>
              </w:rPr>
              <w:t xml:space="preserve"/>
            </w:r>
          </w:p>
        </w:tc>
        <w:tc>
          <w:tcPr>
            <w:tcW w:type="dxa" w:w="43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9"/>
                <w:szCs w:val="19"/>
              </w:rPr>
              <w:t xml:space="preserve"/>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val="false"/>
                <w:bCs w:val="false"/>
                <w:i w:val="false"/>
                <w:iCs w:val="false"/>
                <w:color w:val="333333"/>
                <w:sz w:val="19"/>
                <w:szCs w:val="19"/>
              </w:rPr>
              <w:t xml:space="preserve"/>
            </w:r>
          </w:p>
        </w:tc>
      </w:tr>
    </w:tbl>
    <w:p>
      <w:pPr>
        <w:pStyle w:val="Heading1"/>
        <w:spacing w:after="140" w:before="300"/>
      </w:pPr>
      <w:r>
        <w:rPr>
          <w:rFonts w:ascii="Arial" w:cs="Arial" w:eastAsia="Arial" w:hAnsi="Arial"/>
          <w:b/>
          <w:bCs/>
          <w:color w:val="29ABE2"/>
          <w:sz w:val="28"/>
          <w:szCs w:val="28"/>
        </w:rPr>
        <w:t xml:space="preserve">9.  Training: read and understood</w:t>
      </w:r>
    </w:p>
    <w:p>
      <w:pPr>
        <w:spacing w:after="100" w:before="40"/>
        <w:jc w:val="left"/>
      </w:pPr>
      <w:r>
        <w:rPr>
          <w:rFonts w:ascii="Arial" w:cs="Arial" w:eastAsia="Arial" w:hAnsi="Arial"/>
          <w:b w:val="false"/>
          <w:bCs w:val="false"/>
          <w:i/>
          <w:iCs/>
          <w:color w:val="8A8A8A"/>
          <w:sz w:val="19"/>
          <w:szCs w:val="19"/>
        </w:rPr>
        <w:t xml:space="preserve">Everyone who performs this task signs below after training against the current revision. Update the skills matrix accordingly.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26"/>
        <w:gridCol w:w="3000"/>
      </w:tblGrid>
      <w:tr>
        <w:tc>
          <w:tcPr>
            <w:tcW w:type="dxa" w:w="3000"/>
            <w:tcBorders>
              <w:top w:val="single" w:color="BFBFBF" w:sz="4"/>
              <w:left w:val="single" w:color="BFBFBF" w:sz="4"/>
              <w:bottom w:val="single" w:color="BFBFBF" w:sz="4"/>
              <w:right w:val="single" w:color="BFBFBF" w:sz="4"/>
            </w:tcBorders>
            <w:shd w:fill="83348F" w:val="clear"/>
            <w:tcMar>
              <w:top w:type="dxa" w:w="70"/>
              <w:left w:type="dxa" w:w="110"/>
              <w:bottom w:type="dxa" w:w="70"/>
              <w:right w:type="dxa" w:w="110"/>
            </w:tcMar>
            <w:vAlign w:val="top"/>
          </w:tcPr>
          <w:p>
            <w:pPr>
              <w:spacing w:after="0" w:before="0"/>
              <w:jc w:val="left"/>
            </w:pPr>
            <w:r>
              <w:rPr>
                <w:rFonts w:ascii="Arial" w:cs="Arial" w:eastAsia="Arial" w:hAnsi="Arial"/>
                <w:b/>
                <w:bCs/>
                <w:i w:val="false"/>
                <w:iCs w:val="false"/>
                <w:color w:val="FFFFFF"/>
                <w:sz w:val="19"/>
                <w:szCs w:val="19"/>
              </w:rPr>
              <w:t xml:space="preserve">Name</w:t>
            </w:r>
          </w:p>
        </w:tc>
        <w:tc>
          <w:tcPr>
            <w:tcW w:type="dxa" w:w="3026"/>
            <w:tcBorders>
              <w:top w:val="single" w:color="BFBFBF" w:sz="4"/>
              <w:left w:val="single" w:color="BFBFBF" w:sz="4"/>
              <w:bottom w:val="single" w:color="BFBFBF" w:sz="4"/>
              <w:right w:val="single" w:color="BFBFBF" w:sz="4"/>
            </w:tcBorders>
            <w:shd w:fill="83348F" w:val="clear"/>
            <w:tcMar>
              <w:top w:type="dxa" w:w="70"/>
              <w:left w:type="dxa" w:w="110"/>
              <w:bottom w:type="dxa" w:w="70"/>
              <w:right w:type="dxa" w:w="110"/>
            </w:tcMar>
            <w:vAlign w:val="top"/>
          </w:tcPr>
          <w:p>
            <w:pPr>
              <w:spacing w:after="0" w:before="0"/>
              <w:jc w:val="left"/>
            </w:pPr>
            <w:r>
              <w:rPr>
                <w:rFonts w:ascii="Arial" w:cs="Arial" w:eastAsia="Arial" w:hAnsi="Arial"/>
                <w:b/>
                <w:bCs/>
                <w:i w:val="false"/>
                <w:iCs w:val="false"/>
                <w:color w:val="FFFFFF"/>
                <w:sz w:val="19"/>
                <w:szCs w:val="19"/>
              </w:rPr>
              <w:t xml:space="preserve">Signature</w:t>
            </w:r>
          </w:p>
        </w:tc>
        <w:tc>
          <w:tcPr>
            <w:tcW w:type="dxa" w:w="3000"/>
            <w:tcBorders>
              <w:top w:val="single" w:color="BFBFBF" w:sz="4"/>
              <w:left w:val="single" w:color="BFBFBF" w:sz="4"/>
              <w:bottom w:val="single" w:color="BFBFBF" w:sz="4"/>
              <w:right w:val="single" w:color="BFBFBF" w:sz="4"/>
            </w:tcBorders>
            <w:shd w:fill="83348F" w:val="clear"/>
            <w:tcMar>
              <w:top w:type="dxa" w:w="70"/>
              <w:left w:type="dxa" w:w="110"/>
              <w:bottom w:type="dxa" w:w="70"/>
              <w:right w:type="dxa" w:w="110"/>
            </w:tcMar>
            <w:vAlign w:val="top"/>
          </w:tcPr>
          <w:p>
            <w:pPr>
              <w:spacing w:after="0" w:before="0"/>
              <w:jc w:val="left"/>
            </w:pPr>
            <w:r>
              <w:rPr>
                <w:rFonts w:ascii="Arial" w:cs="Arial" w:eastAsia="Arial" w:hAnsi="Arial"/>
                <w:b/>
                <w:bCs/>
                <w:i w:val="false"/>
                <w:iCs w:val="false"/>
                <w:color w:val="FFFFFF"/>
                <w:sz w:val="19"/>
                <w:szCs w:val="19"/>
              </w:rPr>
              <w:t xml:space="preserve">Date</w:t>
            </w:r>
          </w:p>
        </w:tc>
      </w:tr>
      <w:tr>
        <w:trPr>
          <w:trHeight w:val="420" w:hRule="atLeas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val="false"/>
                <w:bCs w:val="false"/>
                <w:i/>
                <w:iCs/>
                <w:color w:val="333333"/>
                <w:sz w:val="19"/>
                <w:szCs w:val="19"/>
              </w:rPr>
              <w:t xml:space="preserve"/>
            </w:r>
          </w:p>
        </w:tc>
        <w:tc>
          <w:tcPr>
            <w:tcW w:type="dxa" w:w="30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val="false"/>
                <w:bCs w:val="false"/>
                <w:i/>
                <w:iCs/>
                <w:color w:val="333333"/>
                <w:sz w:val="19"/>
                <w:szCs w:val="19"/>
              </w:rPr>
              <w:t xml:space="preserve"/>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val="false"/>
                <w:bCs w:val="false"/>
                <w:i/>
                <w:iCs/>
                <w:color w:val="333333"/>
                <w:sz w:val="19"/>
                <w:szCs w:val="19"/>
              </w:rPr>
              <w:t xml:space="preserve"/>
            </w:r>
          </w:p>
        </w:tc>
      </w:tr>
      <w:tr>
        <w:trPr>
          <w:trHeight w:val="420" w:hRule="atLeas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val="false"/>
                <w:bCs w:val="false"/>
                <w:i/>
                <w:iCs/>
                <w:color w:val="333333"/>
                <w:sz w:val="19"/>
                <w:szCs w:val="19"/>
              </w:rPr>
              <w:t xml:space="preserve"/>
            </w:r>
          </w:p>
        </w:tc>
        <w:tc>
          <w:tcPr>
            <w:tcW w:type="dxa" w:w="30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val="false"/>
                <w:bCs w:val="false"/>
                <w:i/>
                <w:iCs/>
                <w:color w:val="333333"/>
                <w:sz w:val="19"/>
                <w:szCs w:val="19"/>
              </w:rPr>
              <w:t xml:space="preserve"/>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val="false"/>
                <w:bCs w:val="false"/>
                <w:i/>
                <w:iCs/>
                <w:color w:val="333333"/>
                <w:sz w:val="19"/>
                <w:szCs w:val="19"/>
              </w:rPr>
              <w:t xml:space="preserve"/>
            </w:r>
          </w:p>
        </w:tc>
      </w:tr>
      <w:tr>
        <w:trPr>
          <w:trHeight w:val="420" w:hRule="atLeas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val="false"/>
                <w:bCs w:val="false"/>
                <w:i/>
                <w:iCs/>
                <w:color w:val="333333"/>
                <w:sz w:val="19"/>
                <w:szCs w:val="19"/>
              </w:rPr>
              <w:t xml:space="preserve"/>
            </w:r>
          </w:p>
        </w:tc>
        <w:tc>
          <w:tcPr>
            <w:tcW w:type="dxa" w:w="30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val="false"/>
                <w:bCs w:val="false"/>
                <w:i/>
                <w:iCs/>
                <w:color w:val="333333"/>
                <w:sz w:val="19"/>
                <w:szCs w:val="19"/>
              </w:rPr>
              <w:t xml:space="preserve"/>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val="false"/>
                <w:bCs w:val="false"/>
                <w:i/>
                <w:iCs/>
                <w:color w:val="333333"/>
                <w:sz w:val="19"/>
                <w:szCs w:val="19"/>
              </w:rPr>
              <w:t xml:space="preserve"/>
            </w:r>
          </w:p>
        </w:tc>
      </w:tr>
      <w:tr>
        <w:trPr>
          <w:trHeight w:val="420" w:hRule="atLeas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val="false"/>
                <w:bCs w:val="false"/>
                <w:i/>
                <w:iCs/>
                <w:color w:val="333333"/>
                <w:sz w:val="19"/>
                <w:szCs w:val="19"/>
              </w:rPr>
              <w:t xml:space="preserve"/>
            </w:r>
          </w:p>
        </w:tc>
        <w:tc>
          <w:tcPr>
            <w:tcW w:type="dxa" w:w="30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val="false"/>
                <w:bCs w:val="false"/>
                <w:i/>
                <w:iCs/>
                <w:color w:val="333333"/>
                <w:sz w:val="19"/>
                <w:szCs w:val="19"/>
              </w:rPr>
              <w:t xml:space="preserve"/>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val="false"/>
                <w:bCs w:val="false"/>
                <w:i/>
                <w:iCs/>
                <w:color w:val="333333"/>
                <w:sz w:val="19"/>
                <w:szCs w:val="19"/>
              </w:rPr>
              <w:t xml:space="preserve"/>
            </w:r>
          </w:p>
        </w:tc>
      </w:tr>
    </w:tbl>
    <w:p>
      <w:r>
        <w:br w:type="page"/>
      </w:r>
    </w:p>
    <w:p>
      <w:pPr>
        <w:spacing w:after="120"/>
        <w:jc w:val="left"/>
      </w:pPr>
      <w:r>
        <w:rPr>
          <w:rFonts w:ascii="Arial" w:cs="Arial" w:eastAsia="Arial" w:hAnsi="Arial"/>
          <w:b/>
          <w:bCs/>
          <w:i w:val="false"/>
          <w:iCs w:val="false"/>
          <w:color w:val="83348F"/>
          <w:sz w:val="28"/>
          <w:szCs w:val="28"/>
        </w:rPr>
        <w:t xml:space="preserve">WORKED EXAMPLE  |  STANDARD OPERATING PROCEDURE</w:t>
      </w:r>
    </w:p>
    <w:p>
      <w:pPr>
        <w:spacing w:after="120" w:before="60"/>
        <w:jc w:val="left"/>
      </w:pPr>
      <w:r>
        <w:rPr>
          <w:rFonts w:ascii="Arial" w:cs="Arial" w:eastAsia="Arial" w:hAnsi="Arial"/>
          <w:b w:val="false"/>
          <w:bCs w:val="false"/>
          <w:i/>
          <w:iCs/>
          <w:color w:val="5B595A"/>
          <w:sz w:val="19"/>
          <w:szCs w:val="19"/>
        </w:rPr>
        <w:t xml:space="preserve">This example shows the expected standard of completion. It continues the toolkit's running example: the in-process bore check introduced as the countermeasure to reject P-001 (PE-04).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c>
          <w:tcPr>
            <w:tcW w:type="dxa" w:w="2256"/>
            <w:tcBorders>
              <w:top w:val="single" w:color="BFBFBF" w:sz="4"/>
              <w:left w:val="single" w:color="BFBFBF" w:sz="4"/>
              <w:bottom w:val="single" w:color="BFBFBF" w:sz="4"/>
              <w:right w:val="single" w:color="BFBFBF" w:sz="4"/>
            </w:tcBorders>
            <w:shd w:fill="009FE3" w:val="clear"/>
            <w:tcMar>
              <w:top w:type="dxa" w:w="70"/>
              <w:left w:type="dxa" w:w="110"/>
              <w:bottom w:type="dxa" w:w="70"/>
              <w:right w:type="dxa" w:w="110"/>
            </w:tcMar>
            <w:vAlign w:val="top"/>
          </w:tcPr>
          <w:p>
            <w:pPr>
              <w:spacing w:after="0" w:before="0"/>
              <w:jc w:val="left"/>
            </w:pPr>
            <w:r>
              <w:rPr>
                <w:rFonts w:ascii="Arial" w:cs="Arial" w:eastAsia="Arial" w:hAnsi="Arial"/>
                <w:b/>
                <w:bCs/>
                <w:i w:val="false"/>
                <w:iCs w:val="false"/>
                <w:color w:val="FFFFFF"/>
                <w:sz w:val="19"/>
                <w:szCs w:val="19"/>
              </w:rPr>
              <w:t xml:space="preserve">Document number</w:t>
            </w:r>
          </w:p>
        </w:tc>
        <w:tc>
          <w:tcPr>
            <w:tcW w:type="dxa" w:w="225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val="false"/>
                <w:bCs w:val="false"/>
                <w:i/>
                <w:iCs/>
                <w:color w:val="333333"/>
                <w:sz w:val="19"/>
                <w:szCs w:val="19"/>
              </w:rPr>
              <w:t xml:space="preserve">SOP-014</w:t>
            </w:r>
          </w:p>
        </w:tc>
        <w:tc>
          <w:tcPr>
            <w:tcW w:type="dxa" w:w="2257"/>
            <w:tcBorders>
              <w:top w:val="single" w:color="BFBFBF" w:sz="4"/>
              <w:left w:val="single" w:color="BFBFBF" w:sz="4"/>
              <w:bottom w:val="single" w:color="BFBFBF" w:sz="4"/>
              <w:right w:val="single" w:color="BFBFBF" w:sz="4"/>
            </w:tcBorders>
            <w:shd w:fill="009FE3" w:val="clear"/>
            <w:tcMar>
              <w:top w:type="dxa" w:w="70"/>
              <w:left w:type="dxa" w:w="110"/>
              <w:bottom w:type="dxa" w:w="70"/>
              <w:right w:type="dxa" w:w="110"/>
            </w:tcMar>
            <w:vAlign w:val="top"/>
          </w:tcPr>
          <w:p>
            <w:pPr>
              <w:spacing w:after="0" w:before="0"/>
              <w:jc w:val="left"/>
            </w:pPr>
            <w:r>
              <w:rPr>
                <w:rFonts w:ascii="Arial" w:cs="Arial" w:eastAsia="Arial" w:hAnsi="Arial"/>
                <w:b/>
                <w:bCs/>
                <w:i w:val="false"/>
                <w:iCs w:val="false"/>
                <w:color w:val="FFFFFF"/>
                <w:sz w:val="19"/>
                <w:szCs w:val="19"/>
              </w:rPr>
              <w:t xml:space="preserve">Revision</w:t>
            </w:r>
          </w:p>
        </w:tc>
        <w:tc>
          <w:tcPr>
            <w:tcW w:type="dxa" w:w="2257"/>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val="false"/>
                <w:bCs w:val="false"/>
                <w:i/>
                <w:iCs/>
                <w:color w:val="333333"/>
                <w:sz w:val="19"/>
                <w:szCs w:val="19"/>
              </w:rPr>
              <w:t xml:space="preserve">C</w:t>
            </w:r>
          </w:p>
        </w:tc>
      </w:tr>
      <w:tr>
        <w:tc>
          <w:tcPr>
            <w:tcW w:type="dxa" w:w="2256"/>
            <w:tcBorders>
              <w:top w:val="single" w:color="BFBFBF" w:sz="4"/>
              <w:left w:val="single" w:color="BFBFBF" w:sz="4"/>
              <w:bottom w:val="single" w:color="BFBFBF" w:sz="4"/>
              <w:right w:val="single" w:color="BFBFBF" w:sz="4"/>
            </w:tcBorders>
            <w:shd w:fill="009FE3" w:val="clear"/>
            <w:tcMar>
              <w:top w:type="dxa" w:w="70"/>
              <w:left w:type="dxa" w:w="110"/>
              <w:bottom w:type="dxa" w:w="70"/>
              <w:right w:type="dxa" w:w="110"/>
            </w:tcMar>
            <w:vAlign w:val="top"/>
          </w:tcPr>
          <w:p>
            <w:pPr>
              <w:spacing w:after="0" w:before="0"/>
              <w:jc w:val="left"/>
            </w:pPr>
            <w:r>
              <w:rPr>
                <w:rFonts w:ascii="Arial" w:cs="Arial" w:eastAsia="Arial" w:hAnsi="Arial"/>
                <w:b/>
                <w:bCs/>
                <w:i w:val="false"/>
                <w:iCs w:val="false"/>
                <w:color w:val="FFFFFF"/>
                <w:sz w:val="19"/>
                <w:szCs w:val="19"/>
              </w:rPr>
              <w:t xml:space="preserve">Title</w:t>
            </w:r>
          </w:p>
        </w:tc>
        <w:tc>
          <w:tcPr>
            <w:tcW w:type="dxa" w:w="6770"/>
            <w:gridSpan w:val="3"/>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val="false"/>
                <w:bCs w:val="false"/>
                <w:i/>
                <w:iCs/>
                <w:color w:val="333333"/>
                <w:sz w:val="19"/>
                <w:szCs w:val="19"/>
              </w:rPr>
              <w:t xml:space="preserve">In-process bore inspection, flange housings, CNC Cell 2</w:t>
            </w:r>
          </w:p>
        </w:tc>
      </w:tr>
      <w:tr>
        <w:tc>
          <w:tcPr>
            <w:tcW w:type="dxa" w:w="2256"/>
            <w:tcBorders>
              <w:top w:val="single" w:color="BFBFBF" w:sz="4"/>
              <w:left w:val="single" w:color="BFBFBF" w:sz="4"/>
              <w:bottom w:val="single" w:color="BFBFBF" w:sz="4"/>
              <w:right w:val="single" w:color="BFBFBF" w:sz="4"/>
            </w:tcBorders>
            <w:shd w:fill="009FE3" w:val="clear"/>
            <w:tcMar>
              <w:top w:type="dxa" w:w="70"/>
              <w:left w:type="dxa" w:w="110"/>
              <w:bottom w:type="dxa" w:w="70"/>
              <w:right w:type="dxa" w:w="110"/>
            </w:tcMar>
            <w:vAlign w:val="top"/>
          </w:tcPr>
          <w:p>
            <w:pPr>
              <w:spacing w:after="0" w:before="0"/>
              <w:jc w:val="left"/>
            </w:pPr>
            <w:r>
              <w:rPr>
                <w:rFonts w:ascii="Arial" w:cs="Arial" w:eastAsia="Arial" w:hAnsi="Arial"/>
                <w:b/>
                <w:bCs/>
                <w:i w:val="false"/>
                <w:iCs w:val="false"/>
                <w:color w:val="FFFFFF"/>
                <w:sz w:val="19"/>
                <w:szCs w:val="19"/>
              </w:rPr>
              <w:t xml:space="preserve">Area / process</w:t>
            </w:r>
          </w:p>
        </w:tc>
        <w:tc>
          <w:tcPr>
            <w:tcW w:type="dxa" w:w="225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val="false"/>
                <w:bCs w:val="false"/>
                <w:i/>
                <w:iCs/>
                <w:color w:val="333333"/>
                <w:sz w:val="19"/>
                <w:szCs w:val="19"/>
              </w:rPr>
              <w:t xml:space="preserve">CNC Cell 2, finish boring</w:t>
            </w:r>
          </w:p>
        </w:tc>
        <w:tc>
          <w:tcPr>
            <w:tcW w:type="dxa" w:w="2257"/>
            <w:tcBorders>
              <w:top w:val="single" w:color="BFBFBF" w:sz="4"/>
              <w:left w:val="single" w:color="BFBFBF" w:sz="4"/>
              <w:bottom w:val="single" w:color="BFBFBF" w:sz="4"/>
              <w:right w:val="single" w:color="BFBFBF" w:sz="4"/>
            </w:tcBorders>
            <w:shd w:fill="009FE3" w:val="clear"/>
            <w:tcMar>
              <w:top w:type="dxa" w:w="70"/>
              <w:left w:type="dxa" w:w="110"/>
              <w:bottom w:type="dxa" w:w="70"/>
              <w:right w:type="dxa" w:w="110"/>
            </w:tcMar>
            <w:vAlign w:val="top"/>
          </w:tcPr>
          <w:p>
            <w:pPr>
              <w:spacing w:after="0" w:before="0"/>
              <w:jc w:val="left"/>
            </w:pPr>
            <w:r>
              <w:rPr>
                <w:rFonts w:ascii="Arial" w:cs="Arial" w:eastAsia="Arial" w:hAnsi="Arial"/>
                <w:b/>
                <w:bCs/>
                <w:i w:val="false"/>
                <w:iCs w:val="false"/>
                <w:color w:val="FFFFFF"/>
                <w:sz w:val="19"/>
                <w:szCs w:val="19"/>
              </w:rPr>
              <w:t xml:space="preserve">Issue date</w:t>
            </w:r>
          </w:p>
        </w:tc>
        <w:tc>
          <w:tcPr>
            <w:tcW w:type="dxa" w:w="2257"/>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val="false"/>
                <w:bCs w:val="false"/>
                <w:i/>
                <w:iCs/>
                <w:color w:val="333333"/>
                <w:sz w:val="19"/>
                <w:szCs w:val="19"/>
              </w:rPr>
              <w:t xml:space="preserve">15 Jan 2026</w:t>
            </w:r>
          </w:p>
        </w:tc>
      </w:tr>
      <w:tr>
        <w:tc>
          <w:tcPr>
            <w:tcW w:type="dxa" w:w="2256"/>
            <w:tcBorders>
              <w:top w:val="single" w:color="BFBFBF" w:sz="4"/>
              <w:left w:val="single" w:color="BFBFBF" w:sz="4"/>
              <w:bottom w:val="single" w:color="BFBFBF" w:sz="4"/>
              <w:right w:val="single" w:color="BFBFBF" w:sz="4"/>
            </w:tcBorders>
            <w:shd w:fill="009FE3" w:val="clear"/>
            <w:tcMar>
              <w:top w:type="dxa" w:w="70"/>
              <w:left w:type="dxa" w:w="110"/>
              <w:bottom w:type="dxa" w:w="70"/>
              <w:right w:type="dxa" w:w="110"/>
            </w:tcMar>
            <w:vAlign w:val="top"/>
          </w:tcPr>
          <w:p>
            <w:pPr>
              <w:spacing w:after="0" w:before="0"/>
              <w:jc w:val="left"/>
            </w:pPr>
            <w:r>
              <w:rPr>
                <w:rFonts w:ascii="Arial" w:cs="Arial" w:eastAsia="Arial" w:hAnsi="Arial"/>
                <w:b/>
                <w:bCs/>
                <w:i w:val="false"/>
                <w:iCs w:val="false"/>
                <w:color w:val="FFFFFF"/>
                <w:sz w:val="19"/>
                <w:szCs w:val="19"/>
              </w:rPr>
              <w:t xml:space="preserve">Author</w:t>
            </w:r>
          </w:p>
        </w:tc>
        <w:tc>
          <w:tcPr>
            <w:tcW w:type="dxa" w:w="225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val="false"/>
                <w:bCs w:val="false"/>
                <w:i/>
                <w:iCs/>
                <w:color w:val="333333"/>
                <w:sz w:val="19"/>
                <w:szCs w:val="19"/>
              </w:rPr>
              <w:t xml:space="preserve">S. Patel</w:t>
            </w:r>
          </w:p>
        </w:tc>
        <w:tc>
          <w:tcPr>
            <w:tcW w:type="dxa" w:w="2257"/>
            <w:tcBorders>
              <w:top w:val="single" w:color="BFBFBF" w:sz="4"/>
              <w:left w:val="single" w:color="BFBFBF" w:sz="4"/>
              <w:bottom w:val="single" w:color="BFBFBF" w:sz="4"/>
              <w:right w:val="single" w:color="BFBFBF" w:sz="4"/>
            </w:tcBorders>
            <w:shd w:fill="009FE3" w:val="clear"/>
            <w:tcMar>
              <w:top w:type="dxa" w:w="70"/>
              <w:left w:type="dxa" w:w="110"/>
              <w:bottom w:type="dxa" w:w="70"/>
              <w:right w:type="dxa" w:w="110"/>
            </w:tcMar>
            <w:vAlign w:val="top"/>
          </w:tcPr>
          <w:p>
            <w:pPr>
              <w:spacing w:after="0" w:before="0"/>
              <w:jc w:val="left"/>
            </w:pPr>
            <w:r>
              <w:rPr>
                <w:rFonts w:ascii="Arial" w:cs="Arial" w:eastAsia="Arial" w:hAnsi="Arial"/>
                <w:b/>
                <w:bCs/>
                <w:i w:val="false"/>
                <w:iCs w:val="false"/>
                <w:color w:val="FFFFFF"/>
                <w:sz w:val="19"/>
                <w:szCs w:val="19"/>
              </w:rPr>
              <w:t xml:space="preserve">Approved by</w:t>
            </w:r>
          </w:p>
        </w:tc>
        <w:tc>
          <w:tcPr>
            <w:tcW w:type="dxa" w:w="2257"/>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val="false"/>
                <w:bCs w:val="false"/>
                <w:i/>
                <w:iCs/>
                <w:color w:val="333333"/>
                <w:sz w:val="19"/>
                <w:szCs w:val="19"/>
              </w:rPr>
              <w:t xml:space="preserve">J. Whitfield, Quality Manager</w:t>
            </w:r>
          </w:p>
        </w:tc>
      </w:tr>
      <w:tr>
        <w:tc>
          <w:tcPr>
            <w:tcW w:type="dxa" w:w="2256"/>
            <w:tcBorders>
              <w:top w:val="single" w:color="BFBFBF" w:sz="4"/>
              <w:left w:val="single" w:color="BFBFBF" w:sz="4"/>
              <w:bottom w:val="single" w:color="BFBFBF" w:sz="4"/>
              <w:right w:val="single" w:color="BFBFBF" w:sz="4"/>
            </w:tcBorders>
            <w:shd w:fill="009FE3" w:val="clear"/>
            <w:tcMar>
              <w:top w:type="dxa" w:w="70"/>
              <w:left w:type="dxa" w:w="110"/>
              <w:bottom w:type="dxa" w:w="70"/>
              <w:right w:type="dxa" w:w="110"/>
            </w:tcMar>
            <w:vAlign w:val="top"/>
          </w:tcPr>
          <w:p>
            <w:pPr>
              <w:spacing w:after="0" w:before="0"/>
              <w:jc w:val="left"/>
            </w:pPr>
            <w:r>
              <w:rPr>
                <w:rFonts w:ascii="Arial" w:cs="Arial" w:eastAsia="Arial" w:hAnsi="Arial"/>
                <w:b/>
                <w:bCs/>
                <w:i w:val="false"/>
                <w:iCs w:val="false"/>
                <w:color w:val="FFFFFF"/>
                <w:sz w:val="19"/>
                <w:szCs w:val="19"/>
              </w:rPr>
              <w:t xml:space="preserve">Next review date</w:t>
            </w:r>
          </w:p>
        </w:tc>
        <w:tc>
          <w:tcPr>
            <w:tcW w:type="dxa" w:w="225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val="false"/>
                <w:bCs w:val="false"/>
                <w:i/>
                <w:iCs/>
                <w:color w:val="333333"/>
                <w:sz w:val="19"/>
                <w:szCs w:val="19"/>
              </w:rPr>
              <w:t xml:space="preserve">15 Jan 2027</w:t>
            </w:r>
          </w:p>
        </w:tc>
        <w:tc>
          <w:tcPr>
            <w:tcW w:type="dxa" w:w="2257"/>
            <w:tcBorders>
              <w:top w:val="single" w:color="BFBFBF" w:sz="4"/>
              <w:left w:val="single" w:color="BFBFBF" w:sz="4"/>
              <w:bottom w:val="single" w:color="BFBFBF" w:sz="4"/>
              <w:right w:val="single" w:color="BFBFBF" w:sz="4"/>
            </w:tcBorders>
            <w:shd w:fill="009FE3" w:val="clear"/>
            <w:tcMar>
              <w:top w:type="dxa" w:w="70"/>
              <w:left w:type="dxa" w:w="110"/>
              <w:bottom w:type="dxa" w:w="70"/>
              <w:right w:type="dxa" w:w="110"/>
            </w:tcMar>
            <w:vAlign w:val="top"/>
          </w:tcPr>
          <w:p>
            <w:pPr>
              <w:spacing w:after="0" w:before="0"/>
              <w:jc w:val="left"/>
            </w:pPr>
            <w:r>
              <w:rPr>
                <w:rFonts w:ascii="Arial" w:cs="Arial" w:eastAsia="Arial" w:hAnsi="Arial"/>
                <w:b/>
                <w:bCs/>
                <w:i w:val="false"/>
                <w:iCs w:val="false"/>
                <w:color w:val="FFFFFF"/>
                <w:sz w:val="19"/>
                <w:szCs w:val="19"/>
              </w:rPr>
              <w:t xml:space="preserve">Training required</w:t>
            </w:r>
          </w:p>
        </w:tc>
        <w:tc>
          <w:tcPr>
            <w:tcW w:type="dxa" w:w="2257"/>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val="false"/>
                <w:bCs w:val="false"/>
                <w:i/>
                <w:iCs/>
                <w:color w:val="333333"/>
                <w:sz w:val="19"/>
                <w:szCs w:val="19"/>
              </w:rPr>
              <w:t xml:space="preserve">Yes: all Cell 2 setters and operators</w:t>
            </w:r>
          </w:p>
        </w:tc>
      </w:tr>
      <w:tr>
        <w:tc>
          <w:tcPr>
            <w:tcW w:type="dxa" w:w="2256"/>
            <w:tcBorders>
              <w:top w:val="single" w:color="BFBFBF" w:sz="4"/>
              <w:left w:val="single" w:color="BFBFBF" w:sz="4"/>
              <w:bottom w:val="single" w:color="BFBFBF" w:sz="4"/>
              <w:right w:val="single" w:color="BFBFBF" w:sz="4"/>
            </w:tcBorders>
            <w:shd w:fill="83348F" w:val="clear"/>
            <w:tcMar>
              <w:top w:type="dxa" w:w="70"/>
              <w:left w:type="dxa" w:w="110"/>
              <w:bottom w:type="dxa" w:w="70"/>
              <w:right w:type="dxa" w:w="110"/>
            </w:tcMar>
            <w:vAlign w:val="top"/>
          </w:tcPr>
          <w:p>
            <w:pPr>
              <w:spacing w:after="0" w:before="0"/>
              <w:jc w:val="left"/>
            </w:pPr>
            <w:r>
              <w:rPr>
                <w:rFonts w:ascii="Arial" w:cs="Arial" w:eastAsia="Arial" w:hAnsi="Arial"/>
                <w:b/>
                <w:bCs/>
                <w:i w:val="false"/>
                <w:iCs w:val="false"/>
                <w:color w:val="FFFFFF"/>
                <w:sz w:val="19"/>
                <w:szCs w:val="19"/>
              </w:rPr>
              <w:t xml:space="preserve">Status</w:t>
            </w:r>
          </w:p>
        </w:tc>
        <w:tc>
          <w:tcPr>
            <w:tcW w:type="dxa" w:w="6770"/>
            <w:gridSpan w:val="3"/>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bCs/>
                <w:i w:val="false"/>
                <w:iCs w:val="false"/>
                <w:color w:val="2E7D32"/>
                <w:sz w:val="19"/>
                <w:szCs w:val="19"/>
              </w:rPr>
              <w:t xml:space="preserve">ISSUED</w:t>
            </w:r>
          </w:p>
        </w:tc>
      </w:tr>
    </w:tbl>
    <w:p>
      <w:pPr>
        <w:pStyle w:val="Heading1"/>
        <w:spacing w:after="140" w:before="300"/>
      </w:pPr>
      <w:r>
        <w:rPr>
          <w:rFonts w:ascii="Arial" w:cs="Arial" w:eastAsia="Arial" w:hAnsi="Arial"/>
          <w:b/>
          <w:bCs/>
          <w:color w:val="29ABE2"/>
          <w:sz w:val="28"/>
          <w:szCs w:val="28"/>
        </w:rPr>
        <w:t xml:space="preserve">1.  Purpose</w:t>
      </w:r>
    </w:p>
    <w:p>
      <w:pPr>
        <w:spacing w:after="120" w:before="60"/>
        <w:jc w:val="left"/>
      </w:pPr>
      <w:r>
        <w:rPr>
          <w:rFonts w:ascii="Arial" w:cs="Arial" w:eastAsia="Arial" w:hAnsi="Arial"/>
          <w:b w:val="false"/>
          <w:bCs w:val="false"/>
          <w:i/>
          <w:iCs/>
          <w:color w:val="333333"/>
          <w:sz w:val="21"/>
          <w:szCs w:val="21"/>
        </w:rPr>
        <w:t xml:space="preserve">To detect boring bar insert wear before it produces an oversize bore, by measuring the bore in-process at defined tool-life points. Controls the recurrence of reject P-001.</w:t>
      </w:r>
    </w:p>
    <w:p>
      <w:pPr>
        <w:pStyle w:val="Heading1"/>
        <w:spacing w:after="140" w:before="300"/>
      </w:pPr>
      <w:r>
        <w:rPr>
          <w:rFonts w:ascii="Arial" w:cs="Arial" w:eastAsia="Arial" w:hAnsi="Arial"/>
          <w:b/>
          <w:bCs/>
          <w:color w:val="29ABE2"/>
          <w:sz w:val="28"/>
          <w:szCs w:val="28"/>
        </w:rPr>
        <w:t xml:space="preserve">2.  Scope</w:t>
      </w:r>
    </w:p>
    <w:p>
      <w:pPr>
        <w:spacing w:after="120" w:before="60"/>
        <w:jc w:val="left"/>
      </w:pPr>
      <w:r>
        <w:rPr>
          <w:rFonts w:ascii="Arial" w:cs="Arial" w:eastAsia="Arial" w:hAnsi="Arial"/>
          <w:b w:val="false"/>
          <w:bCs w:val="false"/>
          <w:i/>
          <w:iCs/>
          <w:color w:val="333333"/>
          <w:sz w:val="21"/>
          <w:szCs w:val="21"/>
        </w:rPr>
        <w:t xml:space="preserve">Applies to finish boring of all flange housing variants on CNC Cell 2, all shifts, all trained setters and operators. Does not cover first-off approval, which is SOP-009.</w:t>
      </w:r>
    </w:p>
    <w:p>
      <w:pPr>
        <w:pStyle w:val="Heading1"/>
        <w:spacing w:after="140" w:before="300"/>
      </w:pPr>
      <w:r>
        <w:rPr>
          <w:rFonts w:ascii="Arial" w:cs="Arial" w:eastAsia="Arial" w:hAnsi="Arial"/>
          <w:b/>
          <w:bCs/>
          <w:color w:val="29ABE2"/>
          <w:sz w:val="28"/>
          <w:szCs w:val="28"/>
        </w:rPr>
        <w:t xml:space="preserve">3.  Safety and PPE</w:t>
      </w:r>
    </w:p>
    <w:p>
      <w:pPr>
        <w:spacing w:after="120" w:before="60"/>
        <w:jc w:val="left"/>
      </w:pPr>
      <w:r>
        <w:rPr>
          <w:rFonts w:ascii="Arial" w:cs="Arial" w:eastAsia="Arial" w:hAnsi="Arial"/>
          <w:b w:val="false"/>
          <w:bCs w:val="false"/>
          <w:i/>
          <w:iCs/>
          <w:color w:val="333333"/>
          <w:sz w:val="21"/>
          <w:szCs w:val="21"/>
        </w:rPr>
        <w:t xml:space="preserve">Standard machining PPE (safety glasses, safety boots, no loose clothing). Machine must be in feed hold with spindle stopped before gauging. Risk assessment RA-CNC-02 applies.</w:t>
      </w:r>
    </w:p>
    <w:p>
      <w:pPr>
        <w:pStyle w:val="Heading1"/>
        <w:spacing w:after="140" w:before="300"/>
      </w:pPr>
      <w:r>
        <w:rPr>
          <w:rFonts w:ascii="Arial" w:cs="Arial" w:eastAsia="Arial" w:hAnsi="Arial"/>
          <w:b/>
          <w:bCs/>
          <w:color w:val="29ABE2"/>
          <w:sz w:val="28"/>
          <w:szCs w:val="28"/>
        </w:rPr>
        <w:t xml:space="preserve">4.  Tools, equipment and materials</w:t>
      </w:r>
    </w:p>
    <w:p>
      <w:pPr>
        <w:spacing w:after="120" w:before="60"/>
        <w:jc w:val="left"/>
      </w:pPr>
      <w:r>
        <w:rPr>
          <w:rFonts w:ascii="Arial" w:cs="Arial" w:eastAsia="Arial" w:hAnsi="Arial"/>
          <w:b w:val="false"/>
          <w:bCs w:val="false"/>
          <w:i/>
          <w:iCs/>
          <w:color w:val="333333"/>
          <w:sz w:val="21"/>
          <w:szCs w:val="21"/>
        </w:rPr>
        <w:t xml:space="preserve">Calibrated three-point bore gauge 60 to 70 mm (check the calibration label is in date before use); bore check record card QF-014 (current revision from the document station); component drawing at the revision stated on the route card; lint-free wipes.</w:t>
      </w:r>
    </w:p>
    <w:p>
      <w:pPr>
        <w:pStyle w:val="Heading1"/>
        <w:spacing w:after="140" w:before="300"/>
      </w:pPr>
      <w:r>
        <w:rPr>
          <w:rFonts w:ascii="Arial" w:cs="Arial" w:eastAsia="Arial" w:hAnsi="Arial"/>
          <w:b/>
          <w:bCs/>
          <w:color w:val="29ABE2"/>
          <w:sz w:val="28"/>
          <w:szCs w:val="28"/>
        </w:rPr>
        <w:t xml:space="preserve">5.  Procedure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3226"/>
        <w:gridCol w:w="1500"/>
      </w:tblGrid>
      <w:tr>
        <w:tc>
          <w:tcPr>
            <w:tcW w:type="dxa" w:w="700"/>
            <w:tcBorders>
              <w:top w:val="single" w:color="BFBFBF" w:sz="4"/>
              <w:left w:val="single" w:color="BFBFBF" w:sz="4"/>
              <w:bottom w:val="single" w:color="BFBFBF" w:sz="4"/>
              <w:right w:val="single" w:color="BFBFBF" w:sz="4"/>
            </w:tcBorders>
            <w:shd w:fill="009FE3" w:val="clear"/>
            <w:tcMar>
              <w:top w:type="dxa" w:w="70"/>
              <w:left w:type="dxa" w:w="110"/>
              <w:bottom w:type="dxa" w:w="70"/>
              <w:right w:type="dxa" w:w="110"/>
            </w:tcMar>
            <w:vAlign w:val="top"/>
          </w:tcPr>
          <w:p>
            <w:pPr>
              <w:spacing w:after="0" w:before="0"/>
              <w:jc w:val="left"/>
            </w:pPr>
            <w:r>
              <w:rPr>
                <w:rFonts w:ascii="Arial" w:cs="Arial" w:eastAsia="Arial" w:hAnsi="Arial"/>
                <w:b/>
                <w:bCs/>
                <w:i w:val="false"/>
                <w:iCs w:val="false"/>
                <w:color w:val="FFFFFF"/>
                <w:sz w:val="19"/>
                <w:szCs w:val="19"/>
              </w:rPr>
              <w:t xml:space="preserve">Step</w:t>
            </w:r>
          </w:p>
        </w:tc>
        <w:tc>
          <w:tcPr>
            <w:tcW w:type="dxa" w:w="3600"/>
            <w:tcBorders>
              <w:top w:val="single" w:color="BFBFBF" w:sz="4"/>
              <w:left w:val="single" w:color="BFBFBF" w:sz="4"/>
              <w:bottom w:val="single" w:color="BFBFBF" w:sz="4"/>
              <w:right w:val="single" w:color="BFBFBF" w:sz="4"/>
            </w:tcBorders>
            <w:shd w:fill="009FE3" w:val="clear"/>
            <w:tcMar>
              <w:top w:type="dxa" w:w="70"/>
              <w:left w:type="dxa" w:w="110"/>
              <w:bottom w:type="dxa" w:w="70"/>
              <w:right w:type="dxa" w:w="110"/>
            </w:tcMar>
            <w:vAlign w:val="top"/>
          </w:tcPr>
          <w:p>
            <w:pPr>
              <w:spacing w:after="0" w:before="0"/>
              <w:jc w:val="left"/>
            </w:pPr>
            <w:r>
              <w:rPr>
                <w:rFonts w:ascii="Arial" w:cs="Arial" w:eastAsia="Arial" w:hAnsi="Arial"/>
                <w:b/>
                <w:bCs/>
                <w:i w:val="false"/>
                <w:iCs w:val="false"/>
                <w:color w:val="FFFFFF"/>
                <w:sz w:val="19"/>
                <w:szCs w:val="19"/>
              </w:rPr>
              <w:t xml:space="preserve">Action: what to do</w:t>
            </w:r>
          </w:p>
        </w:tc>
        <w:tc>
          <w:tcPr>
            <w:tcW w:type="dxa" w:w="3226"/>
            <w:tcBorders>
              <w:top w:val="single" w:color="BFBFBF" w:sz="4"/>
              <w:left w:val="single" w:color="BFBFBF" w:sz="4"/>
              <w:bottom w:val="single" w:color="BFBFBF" w:sz="4"/>
              <w:right w:val="single" w:color="BFBFBF" w:sz="4"/>
            </w:tcBorders>
            <w:shd w:fill="83348F" w:val="clear"/>
            <w:tcMar>
              <w:top w:type="dxa" w:w="70"/>
              <w:left w:type="dxa" w:w="110"/>
              <w:bottom w:type="dxa" w:w="70"/>
              <w:right w:type="dxa" w:w="110"/>
            </w:tcMar>
            <w:vAlign w:val="top"/>
          </w:tcPr>
          <w:p>
            <w:pPr>
              <w:spacing w:after="0" w:before="0"/>
              <w:jc w:val="left"/>
            </w:pPr>
            <w:r>
              <w:rPr>
                <w:rFonts w:ascii="Arial" w:cs="Arial" w:eastAsia="Arial" w:hAnsi="Arial"/>
                <w:b/>
                <w:bCs/>
                <w:i w:val="false"/>
                <w:iCs w:val="false"/>
                <w:color w:val="FFFFFF"/>
                <w:sz w:val="19"/>
                <w:szCs w:val="19"/>
              </w:rPr>
              <w:t xml:space="preserve">Key point: how, and why it matters</w:t>
            </w:r>
          </w:p>
        </w:tc>
        <w:tc>
          <w:tcPr>
            <w:tcW w:type="dxa" w:w="1500"/>
            <w:tcBorders>
              <w:top w:val="single" w:color="BFBFBF" w:sz="4"/>
              <w:left w:val="single" w:color="BFBFBF" w:sz="4"/>
              <w:bottom w:val="single" w:color="BFBFBF" w:sz="4"/>
              <w:right w:val="single" w:color="BFBFBF" w:sz="4"/>
            </w:tcBorders>
            <w:shd w:fill="83348F" w:val="clear"/>
            <w:tcMar>
              <w:top w:type="dxa" w:w="70"/>
              <w:left w:type="dxa" w:w="110"/>
              <w:bottom w:type="dxa" w:w="70"/>
              <w:right w:type="dxa" w:w="110"/>
            </w:tcMar>
            <w:vAlign w:val="top"/>
          </w:tcPr>
          <w:p>
            <w:pPr>
              <w:spacing w:after="0" w:before="0"/>
              <w:jc w:val="left"/>
            </w:pPr>
            <w:r>
              <w:rPr>
                <w:rFonts w:ascii="Arial" w:cs="Arial" w:eastAsia="Arial" w:hAnsi="Arial"/>
                <w:b/>
                <w:bCs/>
                <w:i w:val="false"/>
                <w:iCs w:val="false"/>
                <w:color w:val="FFFFFF"/>
                <w:sz w:val="19"/>
                <w:szCs w:val="19"/>
              </w:rPr>
              <w:t xml:space="preserve">Check / record</w:t>
            </w:r>
          </w:p>
        </w:tc>
      </w:tr>
      <w:t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center"/>
            </w:pPr>
            <w:r>
              <w:rPr>
                <w:rFonts w:ascii="Arial" w:cs="Arial" w:eastAsia="Arial" w:hAnsi="Arial"/>
                <w:b w:val="false"/>
                <w:bCs w:val="false"/>
                <w:i/>
                <w:iCs/>
                <w:color w:val="333333"/>
                <w:sz w:val="19"/>
                <w:szCs w:val="19"/>
              </w:rPr>
              <w:t xml:space="preserve">1</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val="false"/>
                <w:bCs w:val="false"/>
                <w:i/>
                <w:iCs/>
                <w:color w:val="333333"/>
                <w:sz w:val="19"/>
                <w:szCs w:val="19"/>
              </w:rPr>
              <w:t xml:space="preserve">Check the parts counter against the tool life card for the material in cut</w:t>
            </w:r>
          </w:p>
        </w:tc>
        <w:tc>
          <w:tcPr>
            <w:tcW w:type="dxa" w:w="3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val="false"/>
                <w:bCs w:val="false"/>
                <w:i/>
                <w:iCs/>
                <w:color w:val="333333"/>
                <w:sz w:val="19"/>
                <w:szCs w:val="19"/>
              </w:rPr>
              <w:t xml:space="preserve">Tool life is set in parts, per material grade; harder grades wear inserts faster. The check is due at 50% of tool life</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val="false"/>
                <w:bCs w:val="false"/>
                <w:i/>
                <w:iCs/>
                <w:color w:val="333333"/>
                <w:sz w:val="19"/>
                <w:szCs w:val="19"/>
              </w:rPr>
              <w:t xml:space="preserve">Counter value on QF-014</w:t>
            </w:r>
          </w:p>
        </w:tc>
      </w:tr>
      <w:t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center"/>
            </w:pPr>
            <w:r>
              <w:rPr>
                <w:rFonts w:ascii="Arial" w:cs="Arial" w:eastAsia="Arial" w:hAnsi="Arial"/>
                <w:b w:val="false"/>
                <w:bCs w:val="false"/>
                <w:i/>
                <w:iCs/>
                <w:color w:val="333333"/>
                <w:sz w:val="19"/>
                <w:szCs w:val="19"/>
              </w:rPr>
              <w:t xml:space="preserve">2</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val="false"/>
                <w:bCs w:val="false"/>
                <w:i/>
                <w:iCs/>
                <w:color w:val="333333"/>
                <w:sz w:val="19"/>
                <w:szCs w:val="19"/>
              </w:rPr>
              <w:t xml:space="preserve">At the due point, complete the cut in progress, feed hold, stop the spindle</w:t>
            </w:r>
          </w:p>
        </w:tc>
        <w:tc>
          <w:tcPr>
            <w:tcW w:type="dxa" w:w="3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val="false"/>
                <w:bCs w:val="false"/>
                <w:i/>
                <w:iCs/>
                <w:color w:val="333333"/>
                <w:sz w:val="19"/>
                <w:szCs w:val="19"/>
              </w:rPr>
              <w:t xml:space="preserve">Never gauge with the spindle live</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val="false"/>
                <w:bCs w:val="false"/>
                <w:i/>
                <w:iCs/>
                <w:color w:val="333333"/>
                <w:sz w:val="19"/>
                <w:szCs w:val="19"/>
              </w:rPr>
              <w:t xml:space="preserve">None</w:t>
            </w:r>
          </w:p>
        </w:tc>
      </w:tr>
      <w:t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center"/>
            </w:pPr>
            <w:r>
              <w:rPr>
                <w:rFonts w:ascii="Arial" w:cs="Arial" w:eastAsia="Arial" w:hAnsi="Arial"/>
                <w:b w:val="false"/>
                <w:bCs w:val="false"/>
                <w:i/>
                <w:iCs/>
                <w:color w:val="333333"/>
                <w:sz w:val="19"/>
                <w:szCs w:val="19"/>
              </w:rPr>
              <w:t xml:space="preserve">3</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val="false"/>
                <w:bCs w:val="false"/>
                <w:i/>
                <w:iCs/>
                <w:color w:val="333333"/>
                <w:sz w:val="19"/>
                <w:szCs w:val="19"/>
              </w:rPr>
              <w:t xml:space="preserve">Wipe the bore clean with a lint-free wipe</w:t>
            </w:r>
          </w:p>
        </w:tc>
        <w:tc>
          <w:tcPr>
            <w:tcW w:type="dxa" w:w="3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val="false"/>
                <w:bCs w:val="false"/>
                <w:i/>
                <w:iCs/>
                <w:color w:val="333333"/>
                <w:sz w:val="19"/>
                <w:szCs w:val="19"/>
              </w:rPr>
              <w:t xml:space="preserve">Swarf or coolant under the gauge anvils reads undersize and hides wear</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val="false"/>
                <w:bCs w:val="false"/>
                <w:i/>
                <w:iCs/>
                <w:color w:val="333333"/>
                <w:sz w:val="19"/>
                <w:szCs w:val="19"/>
              </w:rPr>
              <w:t xml:space="preserve">None</w:t>
            </w:r>
          </w:p>
        </w:tc>
      </w:tr>
      <w:t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center"/>
            </w:pPr>
            <w:r>
              <w:rPr>
                <w:rFonts w:ascii="Arial" w:cs="Arial" w:eastAsia="Arial" w:hAnsi="Arial"/>
                <w:b w:val="false"/>
                <w:bCs w:val="false"/>
                <w:i/>
                <w:iCs/>
                <w:color w:val="333333"/>
                <w:sz w:val="19"/>
                <w:szCs w:val="19"/>
              </w:rPr>
              <w:t xml:space="preserve">4</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val="false"/>
                <w:bCs w:val="false"/>
                <w:i/>
                <w:iCs/>
                <w:color w:val="333333"/>
                <w:sz w:val="19"/>
                <w:szCs w:val="19"/>
              </w:rPr>
              <w:t xml:space="preserve">Measure the bore at top, middle and bottom of the last completed part</w:t>
            </w:r>
          </w:p>
        </w:tc>
        <w:tc>
          <w:tcPr>
            <w:tcW w:type="dxa" w:w="3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val="false"/>
                <w:bCs w:val="false"/>
                <w:i/>
                <w:iCs/>
                <w:color w:val="333333"/>
                <w:sz w:val="19"/>
                <w:szCs w:val="19"/>
              </w:rPr>
              <w:t xml:space="preserve">Three depths reveal taper from uneven insert wear, not just size drift</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val="false"/>
                <w:bCs w:val="false"/>
                <w:i/>
                <w:iCs/>
                <w:color w:val="333333"/>
                <w:sz w:val="19"/>
                <w:szCs w:val="19"/>
              </w:rPr>
              <w:t xml:space="preserve">Three readings on QF-014</w:t>
            </w:r>
          </w:p>
        </w:tc>
      </w:tr>
      <w:t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center"/>
            </w:pPr>
            <w:r>
              <w:rPr>
                <w:rFonts w:ascii="Arial" w:cs="Arial" w:eastAsia="Arial" w:hAnsi="Arial"/>
                <w:b w:val="false"/>
                <w:bCs w:val="false"/>
                <w:i/>
                <w:iCs/>
                <w:color w:val="333333"/>
                <w:sz w:val="19"/>
                <w:szCs w:val="19"/>
              </w:rPr>
              <w:t xml:space="preserve">5</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val="false"/>
                <w:bCs w:val="false"/>
                <w:i/>
                <w:iCs/>
                <w:color w:val="333333"/>
                <w:sz w:val="19"/>
                <w:szCs w:val="19"/>
              </w:rPr>
              <w:t xml:space="preserve">Compare against the drawing limit minus the wear margin on the tool life card</w:t>
            </w:r>
          </w:p>
        </w:tc>
        <w:tc>
          <w:tcPr>
            <w:tcW w:type="dxa" w:w="3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val="false"/>
                <w:bCs w:val="false"/>
                <w:i/>
                <w:iCs/>
                <w:color w:val="333333"/>
                <w:sz w:val="19"/>
                <w:szCs w:val="19"/>
              </w:rPr>
              <w:t xml:space="preserve">The wear margin triggers an insert change before the limit is reached, not at it</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val="false"/>
                <w:bCs w:val="false"/>
                <w:i/>
                <w:iCs/>
                <w:color w:val="333333"/>
                <w:sz w:val="19"/>
                <w:szCs w:val="19"/>
              </w:rPr>
              <w:t xml:space="preserve">Pass / change insert on QF-014</w:t>
            </w:r>
          </w:p>
        </w:tc>
      </w:tr>
      <w:t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center"/>
            </w:pPr>
            <w:r>
              <w:rPr>
                <w:rFonts w:ascii="Arial" w:cs="Arial" w:eastAsia="Arial" w:hAnsi="Arial"/>
                <w:b w:val="false"/>
                <w:bCs w:val="false"/>
                <w:i/>
                <w:iCs/>
                <w:color w:val="333333"/>
                <w:sz w:val="19"/>
                <w:szCs w:val="19"/>
              </w:rPr>
              <w:t xml:space="preserve">6</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val="false"/>
                <w:bCs w:val="false"/>
                <w:i/>
                <w:iCs/>
                <w:color w:val="333333"/>
                <w:sz w:val="19"/>
                <w:szCs w:val="19"/>
              </w:rPr>
              <w:t xml:space="preserve">If within margin: resume. If at or beyond margin: change the insert, re-zero, and re-check the next part</w:t>
            </w:r>
          </w:p>
        </w:tc>
        <w:tc>
          <w:tcPr>
            <w:tcW w:type="dxa" w:w="3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val="false"/>
                <w:bCs w:val="false"/>
                <w:i/>
                <w:iCs/>
                <w:color w:val="333333"/>
                <w:sz w:val="19"/>
                <w:szCs w:val="19"/>
              </w:rPr>
              <w:t xml:space="preserve">Changing early costs an insert; changing late costs the batch</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val="false"/>
                <w:bCs w:val="false"/>
                <w:i/>
                <w:iCs/>
                <w:color w:val="333333"/>
                <w:sz w:val="19"/>
                <w:szCs w:val="19"/>
              </w:rPr>
              <w:t xml:space="preserve">Insert change logged on QF-014</w:t>
            </w:r>
          </w:p>
        </w:tc>
      </w:tr>
      <w:t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center"/>
            </w:pPr>
            <w:r>
              <w:rPr>
                <w:rFonts w:ascii="Arial" w:cs="Arial" w:eastAsia="Arial" w:hAnsi="Arial"/>
                <w:b w:val="false"/>
                <w:bCs w:val="false"/>
                <w:i/>
                <w:iCs/>
                <w:color w:val="333333"/>
                <w:sz w:val="19"/>
                <w:szCs w:val="19"/>
              </w:rPr>
              <w:t xml:space="preserve">7</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val="false"/>
                <w:bCs w:val="false"/>
                <w:i/>
                <w:iCs/>
                <w:color w:val="333333"/>
                <w:sz w:val="19"/>
                <w:szCs w:val="19"/>
              </w:rPr>
              <w:t xml:space="preserve">If any reading exceeds the drawing limit: stop, quarantine parts back to the last good check, and tell the team leader</w:t>
            </w:r>
          </w:p>
        </w:tc>
        <w:tc>
          <w:tcPr>
            <w:tcW w:type="dxa" w:w="3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val="false"/>
                <w:bCs w:val="false"/>
                <w:i/>
                <w:iCs/>
                <w:color w:val="333333"/>
                <w:sz w:val="19"/>
                <w:szCs w:val="19"/>
              </w:rPr>
              <w:t xml:space="preserve">This is the reaction plan in section 7: containment first, then root cause</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val="false"/>
                <w:bCs w:val="false"/>
                <w:i/>
                <w:iCs/>
                <w:color w:val="333333"/>
                <w:sz w:val="19"/>
                <w:szCs w:val="19"/>
              </w:rPr>
              <w:t xml:space="preserve">Quarantine label and Problem Register entry</w:t>
            </w:r>
          </w:p>
        </w:tc>
      </w:tr>
    </w:tbl>
    <w:p>
      <w:pPr>
        <w:pStyle w:val="Heading1"/>
        <w:spacing w:after="140" w:before="300"/>
      </w:pPr>
      <w:r>
        <w:rPr>
          <w:rFonts w:ascii="Arial" w:cs="Arial" w:eastAsia="Arial" w:hAnsi="Arial"/>
          <w:b/>
          <w:bCs/>
          <w:color w:val="29ABE2"/>
          <w:sz w:val="28"/>
          <w:szCs w:val="28"/>
        </w:rPr>
        <w:t xml:space="preserve">6.  Quality checks and acceptance criteria</w:t>
      </w:r>
    </w:p>
    <w:p>
      <w:pPr>
        <w:spacing w:after="120" w:before="60"/>
        <w:jc w:val="left"/>
      </w:pPr>
      <w:r>
        <w:rPr>
          <w:rFonts w:ascii="Arial" w:cs="Arial" w:eastAsia="Arial" w:hAnsi="Arial"/>
          <w:b w:val="false"/>
          <w:bCs w:val="false"/>
          <w:i/>
          <w:iCs/>
          <w:color w:val="333333"/>
          <w:sz w:val="21"/>
          <w:szCs w:val="21"/>
        </w:rPr>
        <w:t xml:space="preserve">Bore diameter per component drawing, measured at three depths with the calibrated three-point gauge at 50% of tool life and at every insert change. All readings recorded on QF-014 and retained with the batch record.</w:t>
      </w:r>
    </w:p>
    <w:p>
      <w:pPr>
        <w:pStyle w:val="Heading1"/>
        <w:spacing w:after="140" w:before="300"/>
      </w:pPr>
      <w:r>
        <w:rPr>
          <w:rFonts w:ascii="Arial" w:cs="Arial" w:eastAsia="Arial" w:hAnsi="Arial"/>
          <w:b/>
          <w:bCs/>
          <w:color w:val="29ABE2"/>
          <w:sz w:val="28"/>
          <w:szCs w:val="28"/>
        </w:rPr>
        <w:t xml:space="preserve">7.  If something is wrong: reaction plan</w:t>
      </w:r>
    </w:p>
    <w:p>
      <w:pPr>
        <w:spacing w:after="120" w:before="60"/>
        <w:jc w:val="left"/>
      </w:pPr>
      <w:r>
        <w:rPr>
          <w:rFonts w:ascii="Arial" w:cs="Arial" w:eastAsia="Arial" w:hAnsi="Arial"/>
          <w:b w:val="false"/>
          <w:bCs w:val="false"/>
          <w:i/>
          <w:iCs/>
          <w:color w:val="333333"/>
          <w:sz w:val="21"/>
          <w:szCs w:val="21"/>
        </w:rPr>
        <w:t xml:space="preserve">Any reading over the drawing limit: stop the operation, quarantine all parts produced since the last passing check, label them with the quarantine tag, inform the team leader immediately, and raise the problem in the Problem Register (PE-04a). Do not restart until the cause is identified and the team leader authorises.</w:t>
      </w:r>
    </w:p>
    <w:p>
      <w:pPr>
        <w:pStyle w:val="Heading1"/>
        <w:spacing w:after="140" w:before="300"/>
      </w:pPr>
      <w:r>
        <w:rPr>
          <w:rFonts w:ascii="Arial" w:cs="Arial" w:eastAsia="Arial" w:hAnsi="Arial"/>
          <w:b/>
          <w:bCs/>
          <w:color w:val="29ABE2"/>
          <w:sz w:val="28"/>
          <w:szCs w:val="28"/>
        </w:rPr>
        <w:t xml:space="preserve">8.  Revision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4326"/>
        <w:gridCol w:w="2200"/>
      </w:tblGrid>
      <w:tr>
        <w:tc>
          <w:tcPr>
            <w:tcW w:type="dxa" w:w="900"/>
            <w:tcBorders>
              <w:top w:val="single" w:color="BFBFBF" w:sz="4"/>
              <w:left w:val="single" w:color="BFBFBF" w:sz="4"/>
              <w:bottom w:val="single" w:color="BFBFBF" w:sz="4"/>
              <w:right w:val="single" w:color="BFBFBF" w:sz="4"/>
            </w:tcBorders>
            <w:shd w:fill="009FE3" w:val="clear"/>
            <w:tcMar>
              <w:top w:type="dxa" w:w="70"/>
              <w:left w:type="dxa" w:w="110"/>
              <w:bottom w:type="dxa" w:w="70"/>
              <w:right w:type="dxa" w:w="110"/>
            </w:tcMar>
            <w:vAlign w:val="top"/>
          </w:tcPr>
          <w:p>
            <w:pPr>
              <w:spacing w:after="0" w:before="0"/>
              <w:jc w:val="left"/>
            </w:pPr>
            <w:r>
              <w:rPr>
                <w:rFonts w:ascii="Arial" w:cs="Arial" w:eastAsia="Arial" w:hAnsi="Arial"/>
                <w:b/>
                <w:bCs/>
                <w:i w:val="false"/>
                <w:iCs w:val="false"/>
                <w:color w:val="FFFFFF"/>
                <w:sz w:val="19"/>
                <w:szCs w:val="19"/>
              </w:rPr>
              <w:t xml:space="preserve">Rev</w:t>
            </w:r>
          </w:p>
        </w:tc>
        <w:tc>
          <w:tcPr>
            <w:tcW w:type="dxa" w:w="1600"/>
            <w:tcBorders>
              <w:top w:val="single" w:color="BFBFBF" w:sz="4"/>
              <w:left w:val="single" w:color="BFBFBF" w:sz="4"/>
              <w:bottom w:val="single" w:color="BFBFBF" w:sz="4"/>
              <w:right w:val="single" w:color="BFBFBF" w:sz="4"/>
            </w:tcBorders>
            <w:shd w:fill="009FE3" w:val="clear"/>
            <w:tcMar>
              <w:top w:type="dxa" w:w="70"/>
              <w:left w:type="dxa" w:w="110"/>
              <w:bottom w:type="dxa" w:w="70"/>
              <w:right w:type="dxa" w:w="110"/>
            </w:tcMar>
            <w:vAlign w:val="top"/>
          </w:tcPr>
          <w:p>
            <w:pPr>
              <w:spacing w:after="0" w:before="0"/>
              <w:jc w:val="left"/>
            </w:pPr>
            <w:r>
              <w:rPr>
                <w:rFonts w:ascii="Arial" w:cs="Arial" w:eastAsia="Arial" w:hAnsi="Arial"/>
                <w:b/>
                <w:bCs/>
                <w:i w:val="false"/>
                <w:iCs w:val="false"/>
                <w:color w:val="FFFFFF"/>
                <w:sz w:val="19"/>
                <w:szCs w:val="19"/>
              </w:rPr>
              <w:t xml:space="preserve">Date</w:t>
            </w:r>
          </w:p>
        </w:tc>
        <w:tc>
          <w:tcPr>
            <w:tcW w:type="dxa" w:w="4326"/>
            <w:tcBorders>
              <w:top w:val="single" w:color="BFBFBF" w:sz="4"/>
              <w:left w:val="single" w:color="BFBFBF" w:sz="4"/>
              <w:bottom w:val="single" w:color="BFBFBF" w:sz="4"/>
              <w:right w:val="single" w:color="BFBFBF" w:sz="4"/>
            </w:tcBorders>
            <w:shd w:fill="009FE3" w:val="clear"/>
            <w:tcMar>
              <w:top w:type="dxa" w:w="70"/>
              <w:left w:type="dxa" w:w="110"/>
              <w:bottom w:type="dxa" w:w="70"/>
              <w:right w:type="dxa" w:w="110"/>
            </w:tcMar>
            <w:vAlign w:val="top"/>
          </w:tcPr>
          <w:p>
            <w:pPr>
              <w:spacing w:after="0" w:before="0"/>
              <w:jc w:val="left"/>
            </w:pPr>
            <w:r>
              <w:rPr>
                <w:rFonts w:ascii="Arial" w:cs="Arial" w:eastAsia="Arial" w:hAnsi="Arial"/>
                <w:b/>
                <w:bCs/>
                <w:i w:val="false"/>
                <w:iCs w:val="false"/>
                <w:color w:val="FFFFFF"/>
                <w:sz w:val="19"/>
                <w:szCs w:val="19"/>
              </w:rPr>
              <w:t xml:space="preserve">Description of change and reason</w:t>
            </w:r>
          </w:p>
        </w:tc>
        <w:tc>
          <w:tcPr>
            <w:tcW w:type="dxa" w:w="2200"/>
            <w:tcBorders>
              <w:top w:val="single" w:color="BFBFBF" w:sz="4"/>
              <w:left w:val="single" w:color="BFBFBF" w:sz="4"/>
              <w:bottom w:val="single" w:color="BFBFBF" w:sz="4"/>
              <w:right w:val="single" w:color="BFBFBF" w:sz="4"/>
            </w:tcBorders>
            <w:shd w:fill="009FE3" w:val="clear"/>
            <w:tcMar>
              <w:top w:type="dxa" w:w="70"/>
              <w:left w:type="dxa" w:w="110"/>
              <w:bottom w:type="dxa" w:w="70"/>
              <w:right w:type="dxa" w:w="110"/>
            </w:tcMar>
            <w:vAlign w:val="top"/>
          </w:tcPr>
          <w:p>
            <w:pPr>
              <w:spacing w:after="0" w:before="0"/>
              <w:jc w:val="left"/>
            </w:pPr>
            <w:r>
              <w:rPr>
                <w:rFonts w:ascii="Arial" w:cs="Arial" w:eastAsia="Arial" w:hAnsi="Arial"/>
                <w:b/>
                <w:bCs/>
                <w:i w:val="false"/>
                <w:iCs w:val="false"/>
                <w:color w:val="FFFFFF"/>
                <w:sz w:val="19"/>
                <w:szCs w:val="19"/>
              </w:rPr>
              <w:t xml:space="preserve">Author / approver</w:t>
            </w:r>
          </w:p>
        </w:tc>
      </w:tr>
      <w:t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val="false"/>
                <w:bCs w:val="false"/>
                <w:i/>
                <w:iCs/>
                <w:color w:val="333333"/>
                <w:sz w:val="19"/>
                <w:szCs w:val="19"/>
              </w:rPr>
              <w:t xml:space="preserve">A</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val="false"/>
                <w:bCs w:val="false"/>
                <w:i/>
                <w:iCs/>
                <w:color w:val="333333"/>
                <w:sz w:val="19"/>
                <w:szCs w:val="19"/>
              </w:rPr>
              <w:t xml:space="preserve">12 Mar 2024</w:t>
            </w:r>
          </w:p>
        </w:tc>
        <w:tc>
          <w:tcPr>
            <w:tcW w:type="dxa" w:w="43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val="false"/>
                <w:bCs w:val="false"/>
                <w:i/>
                <w:iCs/>
                <w:color w:val="333333"/>
                <w:sz w:val="19"/>
                <w:szCs w:val="19"/>
              </w:rPr>
              <w:t xml:space="preserve">First issue</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val="false"/>
                <w:bCs w:val="false"/>
                <w:i/>
                <w:iCs/>
                <w:color w:val="333333"/>
                <w:sz w:val="19"/>
                <w:szCs w:val="19"/>
              </w:rPr>
              <w:t xml:space="preserve">T. Mason / J. Whitfield</w:t>
            </w:r>
          </w:p>
        </w:tc>
      </w:tr>
      <w:t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val="false"/>
                <w:bCs w:val="false"/>
                <w:i/>
                <w:iCs/>
                <w:color w:val="333333"/>
                <w:sz w:val="19"/>
                <w:szCs w:val="19"/>
              </w:rPr>
              <w:t xml:space="preserve">B</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val="false"/>
                <w:bCs w:val="false"/>
                <w:i/>
                <w:iCs/>
                <w:color w:val="333333"/>
                <w:sz w:val="19"/>
                <w:szCs w:val="19"/>
              </w:rPr>
              <w:t xml:space="preserve">02 Oct 2025</w:t>
            </w:r>
          </w:p>
        </w:tc>
        <w:tc>
          <w:tcPr>
            <w:tcW w:type="dxa" w:w="43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val="false"/>
                <w:bCs w:val="false"/>
                <w:i/>
                <w:iCs/>
                <w:color w:val="333333"/>
                <w:sz w:val="19"/>
                <w:szCs w:val="19"/>
              </w:rPr>
              <w:t xml:space="preserve">Gauge type updated following calibration review</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val="false"/>
                <w:bCs w:val="false"/>
                <w:i/>
                <w:iCs/>
                <w:color w:val="333333"/>
                <w:sz w:val="19"/>
                <w:szCs w:val="19"/>
              </w:rPr>
              <w:t xml:space="preserve">S. Patel / J. Whitfield</w:t>
            </w:r>
          </w:p>
        </w:tc>
      </w:tr>
      <w:t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val="false"/>
                <w:bCs w:val="false"/>
                <w:i/>
                <w:iCs/>
                <w:color w:val="333333"/>
                <w:sz w:val="19"/>
                <w:szCs w:val="19"/>
              </w:rPr>
              <w:t xml:space="preserve">C</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val="false"/>
                <w:bCs w:val="false"/>
                <w:i/>
                <w:iCs/>
                <w:color w:val="333333"/>
                <w:sz w:val="19"/>
                <w:szCs w:val="19"/>
              </w:rPr>
              <w:t xml:space="preserve">15 Jan 2026</w:t>
            </w:r>
          </w:p>
        </w:tc>
        <w:tc>
          <w:tcPr>
            <w:tcW w:type="dxa" w:w="43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val="false"/>
                <w:bCs w:val="false"/>
                <w:i/>
                <w:iCs/>
                <w:color w:val="333333"/>
                <w:sz w:val="19"/>
                <w:szCs w:val="19"/>
              </w:rPr>
              <w:t xml:space="preserve">In-process check frequency changed to 50% of tool life; tool life now by parts count per material. Reason: root cause of bore reject P-001 (see PE-04a)</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val="false"/>
                <w:bCs w:val="false"/>
                <w:i/>
                <w:iCs/>
                <w:color w:val="333333"/>
                <w:sz w:val="19"/>
                <w:szCs w:val="19"/>
              </w:rPr>
              <w:t xml:space="preserve">S. Patel / J. Whitfield</w:t>
            </w:r>
          </w:p>
        </w:tc>
      </w:tr>
    </w:tbl>
    <w:p>
      <w:pPr>
        <w:pStyle w:val="Heading1"/>
        <w:spacing w:after="140" w:before="300"/>
      </w:pPr>
      <w:r>
        <w:rPr>
          <w:rFonts w:ascii="Arial" w:cs="Arial" w:eastAsia="Arial" w:hAnsi="Arial"/>
          <w:b/>
          <w:bCs/>
          <w:color w:val="29ABE2"/>
          <w:sz w:val="28"/>
          <w:szCs w:val="28"/>
        </w:rPr>
        <w:t xml:space="preserve">9.  Training: read and understood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26"/>
        <w:gridCol w:w="3000"/>
      </w:tblGrid>
      <w:tr>
        <w:tc>
          <w:tcPr>
            <w:tcW w:type="dxa" w:w="3000"/>
            <w:tcBorders>
              <w:top w:val="single" w:color="BFBFBF" w:sz="4"/>
              <w:left w:val="single" w:color="BFBFBF" w:sz="4"/>
              <w:bottom w:val="single" w:color="BFBFBF" w:sz="4"/>
              <w:right w:val="single" w:color="BFBFBF" w:sz="4"/>
            </w:tcBorders>
            <w:shd w:fill="83348F" w:val="clear"/>
            <w:tcMar>
              <w:top w:type="dxa" w:w="70"/>
              <w:left w:type="dxa" w:w="110"/>
              <w:bottom w:type="dxa" w:w="70"/>
              <w:right w:type="dxa" w:w="110"/>
            </w:tcMar>
            <w:vAlign w:val="top"/>
          </w:tcPr>
          <w:p>
            <w:pPr>
              <w:spacing w:after="0" w:before="0"/>
              <w:jc w:val="left"/>
            </w:pPr>
            <w:r>
              <w:rPr>
                <w:rFonts w:ascii="Arial" w:cs="Arial" w:eastAsia="Arial" w:hAnsi="Arial"/>
                <w:b/>
                <w:bCs/>
                <w:i w:val="false"/>
                <w:iCs w:val="false"/>
                <w:color w:val="FFFFFF"/>
                <w:sz w:val="19"/>
                <w:szCs w:val="19"/>
              </w:rPr>
              <w:t xml:space="preserve">Name</w:t>
            </w:r>
          </w:p>
        </w:tc>
        <w:tc>
          <w:tcPr>
            <w:tcW w:type="dxa" w:w="3026"/>
            <w:tcBorders>
              <w:top w:val="single" w:color="BFBFBF" w:sz="4"/>
              <w:left w:val="single" w:color="BFBFBF" w:sz="4"/>
              <w:bottom w:val="single" w:color="BFBFBF" w:sz="4"/>
              <w:right w:val="single" w:color="BFBFBF" w:sz="4"/>
            </w:tcBorders>
            <w:shd w:fill="83348F" w:val="clear"/>
            <w:tcMar>
              <w:top w:type="dxa" w:w="70"/>
              <w:left w:type="dxa" w:w="110"/>
              <w:bottom w:type="dxa" w:w="70"/>
              <w:right w:type="dxa" w:w="110"/>
            </w:tcMar>
            <w:vAlign w:val="top"/>
          </w:tcPr>
          <w:p>
            <w:pPr>
              <w:spacing w:after="0" w:before="0"/>
              <w:jc w:val="left"/>
            </w:pPr>
            <w:r>
              <w:rPr>
                <w:rFonts w:ascii="Arial" w:cs="Arial" w:eastAsia="Arial" w:hAnsi="Arial"/>
                <w:b/>
                <w:bCs/>
                <w:i w:val="false"/>
                <w:iCs w:val="false"/>
                <w:color w:val="FFFFFF"/>
                <w:sz w:val="19"/>
                <w:szCs w:val="19"/>
              </w:rPr>
              <w:t xml:space="preserve">Signature</w:t>
            </w:r>
          </w:p>
        </w:tc>
        <w:tc>
          <w:tcPr>
            <w:tcW w:type="dxa" w:w="3000"/>
            <w:tcBorders>
              <w:top w:val="single" w:color="BFBFBF" w:sz="4"/>
              <w:left w:val="single" w:color="BFBFBF" w:sz="4"/>
              <w:bottom w:val="single" w:color="BFBFBF" w:sz="4"/>
              <w:right w:val="single" w:color="BFBFBF" w:sz="4"/>
            </w:tcBorders>
            <w:shd w:fill="83348F" w:val="clear"/>
            <w:tcMar>
              <w:top w:type="dxa" w:w="70"/>
              <w:left w:type="dxa" w:w="110"/>
              <w:bottom w:type="dxa" w:w="70"/>
              <w:right w:type="dxa" w:w="110"/>
            </w:tcMar>
            <w:vAlign w:val="top"/>
          </w:tcPr>
          <w:p>
            <w:pPr>
              <w:spacing w:after="0" w:before="0"/>
              <w:jc w:val="left"/>
            </w:pPr>
            <w:r>
              <w:rPr>
                <w:rFonts w:ascii="Arial" w:cs="Arial" w:eastAsia="Arial" w:hAnsi="Arial"/>
                <w:b/>
                <w:bCs/>
                <w:i w:val="false"/>
                <w:iCs w:val="false"/>
                <w:color w:val="FFFFFF"/>
                <w:sz w:val="19"/>
                <w:szCs w:val="19"/>
              </w:rPr>
              <w:t xml:space="preserve">Date</w:t>
            </w:r>
          </w:p>
        </w:tc>
      </w:tr>
      <w:tr>
        <w:trPr>
          <w:trHeight w:val="420" w:hRule="atLeas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val="false"/>
                <w:bCs w:val="false"/>
                <w:i/>
                <w:iCs/>
                <w:color w:val="333333"/>
                <w:sz w:val="19"/>
                <w:szCs w:val="19"/>
              </w:rPr>
              <w:t xml:space="preserve">K. Adams</w:t>
            </w:r>
          </w:p>
        </w:tc>
        <w:tc>
          <w:tcPr>
            <w:tcW w:type="dxa" w:w="30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val="false"/>
                <w:bCs w:val="false"/>
                <w:i/>
                <w:iCs/>
                <w:color w:val="333333"/>
                <w:sz w:val="19"/>
                <w:szCs w:val="19"/>
              </w:rPr>
              <w:t xml:space="preserve">(signed)</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val="false"/>
                <w:bCs w:val="false"/>
                <w:i/>
                <w:iCs/>
                <w:color w:val="333333"/>
                <w:sz w:val="19"/>
                <w:szCs w:val="19"/>
              </w:rPr>
              <w:t xml:space="preserve">16 Jan 2026</w:t>
            </w:r>
          </w:p>
        </w:tc>
      </w:tr>
      <w:tr>
        <w:trPr>
          <w:trHeight w:val="420" w:hRule="atLeas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val="false"/>
                <w:bCs w:val="false"/>
                <w:i/>
                <w:iCs/>
                <w:color w:val="333333"/>
                <w:sz w:val="19"/>
                <w:szCs w:val="19"/>
              </w:rPr>
              <w:t xml:space="preserve">R. Bryce</w:t>
            </w:r>
          </w:p>
        </w:tc>
        <w:tc>
          <w:tcPr>
            <w:tcW w:type="dxa" w:w="30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val="false"/>
                <w:bCs w:val="false"/>
                <w:i/>
                <w:iCs/>
                <w:color w:val="333333"/>
                <w:sz w:val="19"/>
                <w:szCs w:val="19"/>
              </w:rPr>
              <w:t xml:space="preserve">(signed)</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val="false"/>
                <w:bCs w:val="false"/>
                <w:i/>
                <w:iCs/>
                <w:color w:val="333333"/>
                <w:sz w:val="19"/>
                <w:szCs w:val="19"/>
              </w:rPr>
              <w:t xml:space="preserve">16 Jan 2026</w:t>
            </w:r>
          </w:p>
        </w:tc>
      </w:tr>
      <w:tr>
        <w:trPr>
          <w:trHeight w:val="420" w:hRule="atLeas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val="false"/>
                <w:bCs w:val="false"/>
                <w:i/>
                <w:iCs/>
                <w:color w:val="333333"/>
                <w:sz w:val="19"/>
                <w:szCs w:val="19"/>
              </w:rPr>
              <w:t xml:space="preserve">D. Hughes</w:t>
            </w:r>
          </w:p>
        </w:tc>
        <w:tc>
          <w:tcPr>
            <w:tcW w:type="dxa" w:w="30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val="false"/>
                <w:bCs w:val="false"/>
                <w:i/>
                <w:iCs/>
                <w:color w:val="333333"/>
                <w:sz w:val="19"/>
                <w:szCs w:val="19"/>
              </w:rPr>
              <w:t xml:space="preserve">(signed)</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before="0"/>
              <w:jc w:val="left"/>
            </w:pPr>
            <w:r>
              <w:rPr>
                <w:rFonts w:ascii="Arial" w:cs="Arial" w:eastAsia="Arial" w:hAnsi="Arial"/>
                <w:b w:val="false"/>
                <w:bCs w:val="false"/>
                <w:i/>
                <w:iCs/>
                <w:color w:val="333333"/>
                <w:sz w:val="19"/>
                <w:szCs w:val="19"/>
              </w:rPr>
              <w:t xml:space="preserve">17 Jan 2026</w:t>
            </w:r>
          </w:p>
        </w:tc>
      </w:tr>
    </w:tbl>
    <w:sectPr>
      <w:headerReference w:type="default" r:id="rId7"/>
      <w:footerReference w:type="default" r:id="rId8"/>
      <w:pgSz w:w="11906" w:h="16838" w:orient="portrait"/>
      <w:pgMar w:top="1280" w:right="1440" w:bottom="1180" w:left="1440" w:header="283" w:footer="283"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spacing w:before="60" w:after="0"/>
      <w:pBdr>
        <w:top w:val="single" w:sz="6" w:space="1" w:color="29ABE2"/>
      </w:pBdr>
    </w:pPr>
    <w:r>
      <w:rPr>
        <w:rFonts w:ascii="Calibri" w:hAnsi="Calibri"/>
        <w:sz w:val="14"/>
        <w:color w:val="58595B"/>
      </w:rPr>
      <w:t xml:space="preserve">NucCol | Nuclear Collaboration Ltd  ·  Fit For Nuclear Programme  ·  Commercial in Confidence    |    Page </w:t>
    </w:r>
    <w:r>
      <w:rPr>
        <w:rFonts w:ascii="Calibri" w:hAnsi="Calibri"/>
        <w:sz w:val="14"/>
        <w:color w:val="58595B"/>
      </w:rPr>
      <w:fldChar w:fldCharType="begin"/>
      <w:instrText>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before="0" w:after="0"/>
      <w:pBdr>
        <w:bottom w:val="single" w:sz="12" w:space="1" w:color="29ABE2"/>
      </w:pBdr>
    </w:pP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5400"/>
      <w:gridCol w:w="5400"/>
    </w:tblGrid>
    <w:tr>
      <w:tc>
        <w:tcPr>
          <w:tcW w:type="dxa" w:w="1440"/>
          <w:tcBorders>
            <w:top w:val="none" w:sz="0" w:color="auto"/>
            <w:left w:val="none" w:sz="0" w:color="auto"/>
            <w:bottom w:val="none" w:sz="0" w:color="auto"/>
            <w:right w:val="none" w:sz="0" w:color="auto"/>
            <w:insideH w:val="none" w:sz="0" w:color="auto"/>
            <w:insideV w:val="none" w:sz="0" w:color="auto"/>
          </w:tcBorders>
        </w:tcPr>
        <w:p>
          <w:pPr>
            <w:spacing w:before="0" w:after="0"/>
            <w:jc w:val="left"/>
          </w:pPr>
          <w:r>
            <w:drawing>
              <wp:inline xmlns:a="http://schemas.openxmlformats.org/drawingml/2006/main" xmlns:pic="http://schemas.openxmlformats.org/drawingml/2006/picture">
                <wp:extent cx="475488" cy="475488"/>
                <wp:docPr id="1" name="Picture 1"/>
                <wp:cNvGraphicFramePr>
                  <a:graphicFrameLocks noChangeAspect="1"/>
                </wp:cNvGraphicFramePr>
                <a:graphic>
                  <a:graphicData uri="http://schemas.openxmlformats.org/drawingml/2006/picture">
                    <pic:pic>
                      <pic:nvPicPr>
                        <pic:cNvPr id="0" name="nuccol_logo.png"/>
                        <pic:cNvPicPr/>
                      </pic:nvPicPr>
                      <pic:blipFill>
                        <a:blip r:embed="rId1"/>
                        <a:stretch>
                          <a:fillRect/>
                        </a:stretch>
                      </pic:blipFill>
                      <pic:spPr>
                        <a:xfrm>
                          <a:off x="0" y="0"/>
                          <a:ext cx="475488" cy="475488"/>
                        </a:xfrm>
                        <a:prstGeom prst="rect"/>
                      </pic:spPr>
                    </pic:pic>
                  </a:graphicData>
                </a:graphic>
              </wp:inline>
            </w:drawing>
          </w:r>
        </w:p>
      </w:tc>
      <w:tc>
        <w:tcPr>
          <w:tcW w:type="dxa" w:w="9360"/>
          <w:tcBorders>
            <w:top w:val="none" w:sz="0" w:color="auto"/>
            <w:left w:val="none" w:sz="0" w:color="auto"/>
            <w:bottom w:val="none" w:sz="0" w:color="auto"/>
            <w:right w:val="none" w:sz="0" w:color="auto"/>
            <w:insideH w:val="none" w:sz="0" w:color="auto"/>
            <w:insideV w:val="none" w:sz="0" w:color="auto"/>
          </w:tcBorders>
        </w:tcPr>
        <w:p>
          <w:pPr>
            <w:spacing w:before="0" w:after="0"/>
            <w:jc w:val="right"/>
          </w:pPr>
          <w:r>
            <w:drawing>
              <wp:inline xmlns:a="http://schemas.openxmlformats.org/drawingml/2006/main" xmlns:pic="http://schemas.openxmlformats.org/drawingml/2006/picture">
                <wp:extent cx="472561" cy="320040"/>
                <wp:docPr id="2" name="Picture 2"/>
                <wp:cNvGraphicFramePr>
                  <a:graphicFrameLocks noChangeAspect="1"/>
                </wp:cNvGraphicFramePr>
                <a:graphic>
                  <a:graphicData uri="http://schemas.openxmlformats.org/drawingml/2006/picture">
                    <pic:pic>
                      <pic:nvPicPr>
                        <pic:cNvPr id="0" name="f4n_logo.png"/>
                        <pic:cNvPicPr/>
                      </pic:nvPicPr>
                      <pic:blipFill>
                        <a:blip r:embed="rId2"/>
                        <a:stretch>
                          <a:fillRect/>
                        </a:stretch>
                      </pic:blipFill>
                      <pic:spPr>
                        <a:xfrm>
                          <a:off x="0" y="0"/>
                          <a:ext cx="472561" cy="320040"/>
                        </a:xfrm>
                        <a:prstGeom prst="rect"/>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30" w:before="280"/>
      <w:outlineLvl w:val="0"/>
    </w:pPr>
    <w:rPr>
      <w:rFonts w:ascii="Arial" w:cs="Arial" w:eastAsia="Arial" w:hAnsi="Arial"/>
      <w:b/>
      <w:bCs/>
      <w:color w:val="83348F"/>
      <w:sz w:val="26"/>
      <w:szCs w:val="26"/>
    </w:rPr>
  </w:style>
</w:styl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endnotes" Target="endnotes.xml"/><Relationship Id="rId9" Type="http://schemas.openxmlformats.org/officeDocument/2006/relationships/image" Target="media/bc3cef6231019fe14614046ba1088e85d1be8619.jpg"/></Relationships>
</file>

<file path=word/_rels/header1.xml.rels><?xml version='1.0' encoding='UTF-8' standalone='yes'?>
<Relationships xmlns="http://schemas.openxmlformats.org/package/2006/relationships"><Relationship Id="rId0" Type="http://schemas.openxmlformats.org/officeDocument/2006/relationships/image" Target="media/84e24617c8e116e53a78dd71c60732e26fc932b8.jpg"/><Relationship Id="rId1" Type="http://schemas.openxmlformats.org/officeDocument/2006/relationships/image" Target="media/image1.png"/><Relationship Id="rId2" Type="http://schemas.openxmlformats.org/officeDocument/2006/relationships/image" Target="media/image2.pn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53F6056AA6464A99729F79B34ECED9" ma:contentTypeVersion="15" ma:contentTypeDescription="Create a new document." ma:contentTypeScope="" ma:versionID="5f61f7f6e9ac7af992ae58f204f4a905">
  <xsd:schema xmlns:xsd="http://www.w3.org/2001/XMLSchema" xmlns:xs="http://www.w3.org/2001/XMLSchema" xmlns:p="http://schemas.microsoft.com/office/2006/metadata/properties" xmlns:ns2="ecb9c8fd-b149-4da5-ae47-4cb2a6f921f7" xmlns:ns3="a57c75ee-0d51-4c06-b83a-21883992ef88" targetNamespace="http://schemas.microsoft.com/office/2006/metadata/properties" ma:root="true" ma:fieldsID="5bd49160a10d99efc7c2a57519ff9fe8" ns2:_="" ns3:_="">
    <xsd:import namespace="ecb9c8fd-b149-4da5-ae47-4cb2a6f921f7"/>
    <xsd:import namespace="a57c75ee-0d51-4c06-b83a-21883992ef88"/>
    <xsd:element name="properties">
      <xsd:complexType>
        <xsd:sequence>
          <xsd:element name="documentManagement">
            <xsd:complexType>
              <xsd:all>
                <xsd:element ref="ns2:MigrationSourceID"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MediaServiceBillingMetadata"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b9c8fd-b149-4da5-ae47-4cb2a6f921f7" elementFormDefault="qualified">
    <xsd:import namespace="http://schemas.microsoft.com/office/2006/documentManagement/types"/>
    <xsd:import namespace="http://schemas.microsoft.com/office/infopath/2007/PartnerControls"/>
    <xsd:element name="MigrationSourceID" ma:index="8" nillable="true" ma:displayName="MigrationSourceID" ma:internalName="MigrationSourceID" ma:readOnly="true">
      <xsd:simpleType>
        <xsd:restriction base="dms:Text"/>
      </xsd:simpleType>
    </xsd:element>
    <xsd:element name="TaxCatchAll" ma:index="20" nillable="true" ma:displayName="Taxonomy Catch All Column" ma:hidden="true" ma:list="{3bbffa37-1fb4-4f8b-a66f-2651692f13f0}" ma:internalName="TaxCatchAll" ma:showField="CatchAllData" ma:web="ecb9c8fd-b149-4da5-ae47-4cb2a6f921f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57c75ee-0d51-4c06-b83a-21883992ef88"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BillingMetadata" ma:index="17" nillable="true" ma:displayName="MediaServiceBillingMetadata" ma:hidden="true" ma:internalName="MediaServiceBillingMetadata"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c323488a-041b-479c-b98c-53326eeb9fc5"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cb9c8fd-b149-4da5-ae47-4cb2a6f921f7" xsi:nil="true"/>
    <lcf76f155ced4ddcb4097134ff3c332f xmlns="a57c75ee-0d51-4c06-b83a-21883992ef8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37B3AE6-91AA-4E0B-9F1D-984719C475C9}"/>
</file>

<file path=customXml/itemProps2.xml><?xml version="1.0" encoding="utf-8"?>
<ds:datastoreItem xmlns:ds="http://schemas.openxmlformats.org/officeDocument/2006/customXml" ds:itemID="{84E715F5-1131-4D84-BCE0-83B6B52E603C}"/>
</file>

<file path=customXml/itemProps3.xml><?xml version="1.0" encoding="utf-8"?>
<ds:datastoreItem xmlns:ds="http://schemas.openxmlformats.org/officeDocument/2006/customXml" ds:itemID="{E7913F93-A1B3-411F-B3B3-54BBB8615AF1}"/>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PE-06a Standard Operating Procedure Template</dc:title>
  <dc:creator>John Hilton-Brammer</dc:creator>
  <cp:lastModifiedBy>John Hilton-Brammer</cp:lastModifiedBy>
  <dcterms:created xsi:type="dcterms:W3CDTF">2026-07-01T07:45:32Z</dcterms:created>
  <dcterms:modified xsi:type="dcterms:W3CDTF">2026-07-01T07:45:32Z</dcterms:modified>
  <cp:category>Fit For Nuclear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0x0101002453F6056AA6464A99729F79B34ECED9</vt:lpwstr>
  </property>
</Properties>
</file>