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123825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09675"/>
                    </a:xfrm>
                    <a:prstGeom prst="rect">
                      <a:avLst/>
                    </a:prstGeom>
                  </pic:spPr>
                </pic:pic>
              </a:graphicData>
            </a:graphic>
          </wp:inline>
        </w:drawing>
      </w:r>
    </w:p>
    <w:p>
      <w:pPr>
        <w:spacing w:after="80" w:before="120"/>
        <w:jc w:val="center"/>
      </w:pPr>
      <w:r>
        <w:rPr>
          <w:rFonts w:ascii="Arial" w:cs="Arial" w:eastAsia="Arial" w:hAnsi="Arial"/>
          <w:b/>
          <w:bCs/>
          <w:i w:val="false"/>
          <w:iCs w:val="false"/>
          <w:color w:val="009FE3"/>
          <w:sz w:val="42"/>
          <w:szCs w:val="42"/>
        </w:rPr>
        <w:t xml:space="preserve">Writing &amp; Using Standard Operating Procedures</w:t>
      </w:r>
    </w:p>
    <w:p>
      <w:pPr>
        <w:spacing w:after="60"/>
        <w:jc w:val="center"/>
      </w:pPr>
      <w:r>
        <w:rPr>
          <w:rFonts w:ascii="Arial" w:cs="Arial" w:eastAsia="Arial" w:hAnsi="Arial"/>
          <w:b/>
          <w:bCs/>
          <w:i w:val="false"/>
          <w:iCs w:val="false"/>
          <w:color w:val="83348F"/>
          <w:sz w:val="23"/>
          <w:szCs w:val="23"/>
        </w:rPr>
        <w:t xml:space="preserve">Training Guide  |  PE-06c  |  Process Excellence  |  Fit For Nuclear Toolkit</w:t>
      </w:r>
    </w:p>
    <w:p>
      <w:pPr>
        <w:spacing w:after="280"/>
        <w:jc w:val="center"/>
      </w:pPr>
      <w:r>
        <w:rPr>
          <w:rFonts w:ascii="Arial" w:cs="Arial" w:eastAsia="Arial" w:hAnsi="Arial"/>
          <w:b w:val="false"/>
          <w:bCs w:val="false"/>
          <w:i/>
          <w:iCs/>
          <w:color w:val="5B595A"/>
          <w:sz w:val="21"/>
          <w:szCs w:val="21"/>
        </w:rPr>
        <w:t xml:space="preserve">What to do, how to do it, and the checks to make, for every work element</w:t>
      </w:r>
    </w:p>
    <w:p>
      <w:pPr>
        <w:pStyle w:val="Heading2"/>
        <w:spacing w:after="110" w:before="220"/>
      </w:pPr>
      <w:r>
        <w:rPr>
          <w:rFonts w:ascii="Arial" w:cs="Arial" w:eastAsia="Arial" w:hAnsi="Arial"/>
          <w:b/>
          <w:bCs/>
          <w:color w:val="7B2D8B"/>
          <w:sz w:val="24"/>
          <w:szCs w:val="24"/>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526"/>
        <w:gridCol w:w="3000"/>
      </w:tblGrid>
      <w:tr>
        <w:tc>
          <w:tcPr>
            <w:tcW w:type="dxa" w:w="13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Version</w:t>
            </w:r>
          </w:p>
        </w:tc>
        <w:tc>
          <w:tcPr>
            <w:tcW w:type="dxa" w:w="22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Date</w:t>
            </w:r>
          </w:p>
        </w:tc>
        <w:tc>
          <w:tcPr>
            <w:tcW w:type="dxa" w:w="25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Author</w:t>
            </w:r>
          </w:p>
        </w:tc>
        <w:tc>
          <w:tcPr>
            <w:tcW w:type="dxa" w:w="30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1.0</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First issue</w:t>
            </w:r>
          </w:p>
        </w:tc>
      </w:tr>
      <w:t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2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r>
    </w:tbl>
    <w:p>
      <w:r>
        <w:br w:type="page"/>
      </w:r>
    </w:p>
    <w:p>
      <w:pPr>
        <w:pStyle w:val="Heading1"/>
        <w:spacing w:after="150" w:before="320"/>
      </w:pPr>
      <w:r>
        <w:rPr>
          <w:rFonts w:ascii="Arial" w:cs="Arial" w:eastAsia="Arial" w:hAnsi="Arial"/>
          <w:b/>
          <w:bCs/>
          <w:color w:val="29ABE2"/>
          <w:sz w:val="29"/>
          <w:szCs w:val="29"/>
        </w:rPr>
        <w:t xml:space="preserve">1.  Why SOPs matter</w:t>
      </w:r>
    </w:p>
    <w:p>
      <w:pPr>
        <w:spacing w:after="120" w:before="60"/>
        <w:jc w:val="left"/>
      </w:pPr>
      <w:r>
        <w:rPr>
          <w:rFonts w:ascii="Arial" w:cs="Arial" w:eastAsia="Arial" w:hAnsi="Arial"/>
          <w:b w:val="false"/>
          <w:bCs w:val="false"/>
          <w:i w:val="false"/>
          <w:iCs w:val="false"/>
          <w:color w:val="333333"/>
          <w:sz w:val="21"/>
          <w:szCs w:val="21"/>
        </w:rPr>
        <w:t xml:space="preserve">A standard operating procedure sets out what to do, how to do it, and the checks to make for each work element, so that products and services conform to specification, quality and cost regardless of who does the work or when. Without a standard there is no baseline: quality depends on memory, improvement has nothing to improve from, and training is folklore.</w:t>
      </w:r>
    </w:p>
    <w:p>
      <w:pPr>
        <w:spacing w:after="120" w:before="60"/>
        <w:jc w:val="left"/>
      </w:pPr>
      <w:r>
        <w:rPr>
          <w:rFonts w:ascii="Arial" w:cs="Arial" w:eastAsia="Arial" w:hAnsi="Arial"/>
          <w:b w:val="false"/>
          <w:bCs w:val="false"/>
          <w:i w:val="false"/>
          <w:iCs w:val="false"/>
          <w:color w:val="333333"/>
          <w:sz w:val="21"/>
          <w:szCs w:val="21"/>
        </w:rPr>
        <w:t xml:space="preserve">At F4N verification the assessor expects to see live copies of SOPs at the point of use during the site tour, with review and approval records, evidence they are followed, and evidence they change when lessons are learned. In a nuclear supply chain the bar is higher still: procedure adherence is a core nuclear safety culture behaviour, and your customers will audit the integrity of your work instructions, the training behind them, and the discipline with which they are followed.</w:t>
      </w:r>
    </w:p>
    <w:p>
      <w:pPr>
        <w:spacing w:after="120" w:before="60"/>
        <w:jc w:val="left"/>
      </w:pPr>
      <w:r>
        <w:rPr>
          <w:rFonts w:ascii="Arial" w:cs="Arial" w:eastAsia="Arial" w:hAnsi="Arial"/>
          <w:b w:val="false"/>
          <w:bCs w:val="false"/>
          <w:i/>
          <w:iCs/>
          <w:color w:val="83348F"/>
          <w:sz w:val="21"/>
          <w:szCs w:val="21"/>
        </w:rPr>
        <w:t xml:space="preserve">One principle above all: the standard is the current best known way, not a perfect way. Write it, follow it, and improve it. A standard that cannot change is as damaging as no standard at all.</w:t>
      </w:r>
    </w:p>
    <w:p>
      <w:pPr>
        <w:pStyle w:val="Heading1"/>
        <w:spacing w:after="150" w:before="320"/>
      </w:pPr>
      <w:r>
        <w:rPr>
          <w:rFonts w:ascii="Arial" w:cs="Arial" w:eastAsia="Arial" w:hAnsi="Arial"/>
          <w:b/>
          <w:bCs/>
          <w:color w:val="29ABE2"/>
          <w:sz w:val="29"/>
          <w:szCs w:val="29"/>
        </w:rPr>
        <w:t xml:space="preserve">2.  Where SOPs sit: the documentation hierarchy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26"/>
        <w:gridCol w:w="3100"/>
      </w:tblGrid>
      <w:tr>
        <w:tc>
          <w:tcPr>
            <w:tcW w:type="dxa" w:w="24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Level</w:t>
            </w:r>
          </w:p>
        </w:tc>
        <w:tc>
          <w:tcPr>
            <w:tcW w:type="dxa" w:w="35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What it answers</w:t>
            </w:r>
          </w:p>
        </w:tc>
        <w:tc>
          <w:tcPr>
            <w:tcW w:type="dxa" w:w="31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Example</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Policy / manual</w:t>
            </w:r>
          </w:p>
        </w:tc>
        <w:tc>
          <w:tcPr>
            <w:tcW w:type="dxa" w:w="35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Why we do things; commitments and intent</w:t>
            </w:r>
          </w:p>
        </w:tc>
        <w:tc>
          <w:tcPr>
            <w:tcW w:type="dxa" w:w="31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Quality policy, quality manual</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Process map / procedure</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Who does what, in what order, across functions</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Order processing, nonconformance process</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SOP / work instruction</w:t>
            </w:r>
          </w:p>
        </w:tc>
        <w:tc>
          <w:tcPr>
            <w:tcW w:type="dxa" w:w="35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Exactly how one task is performed at one workstation, step by step, with checks</w:t>
            </w:r>
          </w:p>
        </w:tc>
        <w:tc>
          <w:tcPr>
            <w:tcW w:type="dxa" w:w="31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In-process bore inspection (the PE-06a worked example)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Records</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Proof it happened as specified</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Check sheets, route cards, sign-offs</w:t>
            </w:r>
          </w:p>
        </w:tc>
      </w:tr>
    </w:tbl>
    <w:p>
      <w:pPr>
        <w:spacing w:before="140"/>
        <w:jc w:val="left"/>
      </w:pPr>
      <w:r>
        <w:rPr>
          <w:rFonts w:ascii="Arial" w:cs="Arial" w:eastAsia="Arial" w:hAnsi="Arial"/>
          <w:b w:val="false"/>
          <w:bCs w:val="false"/>
          <w:i w:val="false"/>
          <w:iCs w:val="false"/>
          <w:color w:val="333333"/>
          <w:sz w:val="20"/>
          <w:szCs w:val="20"/>
        </w:rPr>
        <w:t xml:space="preserve">This guide and the PE-06a template cover the third level: the task-level standard. Keep the levels distinct: an SOP that tries to be a process map becomes too long to use; a process map that dives into torque values becomes impossible to maintain.</w:t>
      </w:r>
    </w:p>
    <w:p>
      <w:pPr>
        <w:pStyle w:val="Heading1"/>
        <w:spacing w:after="150" w:before="320"/>
      </w:pPr>
      <w:r>
        <w:rPr>
          <w:rFonts w:ascii="Arial" w:cs="Arial" w:eastAsia="Arial" w:hAnsi="Arial"/>
          <w:b/>
          <w:bCs/>
          <w:color w:val="29ABE2"/>
          <w:sz w:val="29"/>
          <w:szCs w:val="29"/>
        </w:rPr>
        <w:t xml:space="preserve">3.  Anatomy of a good SOP</w:t>
      </w:r>
    </w:p>
    <w:p>
      <w:pPr>
        <w:spacing w:after="120" w:before="60"/>
        <w:jc w:val="left"/>
      </w:pPr>
      <w:r>
        <w:rPr>
          <w:rFonts w:ascii="Arial" w:cs="Arial" w:eastAsia="Arial" w:hAnsi="Arial"/>
          <w:b w:val="false"/>
          <w:bCs w:val="false"/>
          <w:i w:val="false"/>
          <w:iCs w:val="false"/>
          <w:color w:val="333333"/>
          <w:sz w:val="21"/>
          <w:szCs w:val="21"/>
        </w:rPr>
        <w:t xml:space="preserve">The PE-06a template carries nine sections. Each earns its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Section</w:t>
            </w:r>
          </w:p>
        </w:tc>
        <w:tc>
          <w:tcPr>
            <w:tcW w:type="dxa" w:w="63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Why it is there</w:t>
            </w:r>
          </w:p>
        </w:tc>
      </w:tr>
      <w:tr>
        <w:tc>
          <w:tcPr>
            <w:tcW w:type="dxa" w:w="27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Control block</w:t>
            </w:r>
          </w:p>
        </w:tc>
        <w:tc>
          <w:tcPr>
            <w:tcW w:type="dxa" w:w="63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Document number, revision, dates, author, approver, status. This is what makes it a controlled document rather than a note.</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Purpose</w:t>
            </w:r>
          </w:p>
        </w:tc>
        <w:tc>
          <w:tcPr>
            <w:tcW w:type="dxa" w:w="6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The output produced and the risk controlled. If you cannot state the purpose, question whether the SOP is needed.</w:t>
            </w:r>
          </w:p>
        </w:tc>
      </w:tr>
      <w:tr>
        <w:tc>
          <w:tcPr>
            <w:tcW w:type="dxa" w:w="27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Scope</w:t>
            </w:r>
          </w:p>
        </w:tc>
        <w:tc>
          <w:tcPr>
            <w:tcW w:type="dxa" w:w="63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What it covers and, just as importantly, what it does not.</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Safety and PPE</w:t>
            </w:r>
          </w:p>
        </w:tc>
        <w:tc>
          <w:tcPr>
            <w:tcW w:type="dxa" w:w="6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Task-specific hazards and controls, before any step is performed.</w:t>
            </w:r>
          </w:p>
        </w:tc>
      </w:tr>
      <w:tr>
        <w:tc>
          <w:tcPr>
            <w:tcW w:type="dxa" w:w="27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Tools, equipment, materials</w:t>
            </w:r>
          </w:p>
        </w:tc>
        <w:tc>
          <w:tcPr>
            <w:tcW w:type="dxa" w:w="63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Everything needed, gathered before starting; supports 5S point-of-use storage.</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Procedure steps</w:t>
            </w:r>
          </w:p>
        </w:tc>
        <w:tc>
          <w:tcPr>
            <w:tcW w:type="dxa" w:w="6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One action per step; a key point with its reason; the check or record made. This table is the heart of the SOP.</w:t>
            </w:r>
          </w:p>
        </w:tc>
      </w:tr>
      <w:tr>
        <w:tc>
          <w:tcPr>
            <w:tcW w:type="dxa" w:w="27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Quality checks</w:t>
            </w:r>
          </w:p>
        </w:tc>
        <w:tc>
          <w:tcPr>
            <w:tcW w:type="dxa" w:w="63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What is measured, with what, how often, against what limits, recorded where.</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Reaction plan</w:t>
            </w:r>
          </w:p>
        </w:tc>
        <w:tc>
          <w:tcPr>
            <w:tcW w:type="dxa" w:w="6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What the operator does when something is wrong: stop, contain, escalate. Never leave this to judgement on the day.</w:t>
            </w:r>
          </w:p>
        </w:tc>
      </w:tr>
      <w:tr>
        <w:tc>
          <w:tcPr>
            <w:tcW w:type="dxa" w:w="27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Revision history and training</w:t>
            </w:r>
          </w:p>
        </w:tc>
        <w:tc>
          <w:tcPr>
            <w:tcW w:type="dxa" w:w="63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What changed, why, who approved it; who is trained on the current revision.</w:t>
            </w:r>
          </w:p>
        </w:tc>
      </w:tr>
    </w:tbl>
    <w:p>
      <w:pPr>
        <w:pStyle w:val="Heading1"/>
        <w:spacing w:after="150" w:before="320"/>
      </w:pPr>
      <w:r>
        <w:rPr>
          <w:rFonts w:ascii="Arial" w:cs="Arial" w:eastAsia="Arial" w:hAnsi="Arial"/>
          <w:b/>
          <w:bCs/>
          <w:color w:val="29ABE2"/>
          <w:sz w:val="29"/>
          <w:szCs w:val="29"/>
        </w:rPr>
        <w:t xml:space="preserve">4.  Writing principles</w:t>
      </w:r>
    </w:p>
    <w:p>
      <w:pPr>
        <w:pStyle w:val="Heading2"/>
        <w:spacing w:after="110" w:before="220"/>
      </w:pPr>
      <w:r>
        <w:rPr>
          <w:rFonts w:ascii="Arial" w:cs="Arial" w:eastAsia="Arial" w:hAnsi="Arial"/>
          <w:b/>
          <w:bCs/>
          <w:color w:val="7B2D8B"/>
          <w:sz w:val="24"/>
          <w:szCs w:val="24"/>
        </w:rPr>
        <w:t xml:space="preserve">Write at the workplace, with the people who do the job</w:t>
      </w:r>
    </w:p>
    <w:p>
      <w:pPr>
        <w:spacing w:after="120" w:before="60"/>
        <w:jc w:val="left"/>
      </w:pPr>
      <w:r>
        <w:rPr>
          <w:rFonts w:ascii="Arial" w:cs="Arial" w:eastAsia="Arial" w:hAnsi="Arial"/>
          <w:b w:val="false"/>
          <w:bCs w:val="false"/>
          <w:i w:val="false"/>
          <w:iCs w:val="false"/>
          <w:color w:val="333333"/>
          <w:sz w:val="21"/>
          <w:szCs w:val="21"/>
        </w:rPr>
        <w:t xml:space="preserve">Watch the task being done by the people who do it best. They hold the key points: the knack, the feel, the warning signs. An SOP written at a desk describes the job as imagined; an SOP written at the workplace describes the job as done. The operator who helped write a standard will follow it; one who had it imposed will quietly work around it.</w:t>
      </w:r>
    </w:p>
    <w:p>
      <w:pPr>
        <w:pStyle w:val="Heading2"/>
        <w:spacing w:after="110" w:before="220"/>
      </w:pPr>
      <w:r>
        <w:rPr>
          <w:rFonts w:ascii="Arial" w:cs="Arial" w:eastAsia="Arial" w:hAnsi="Arial"/>
          <w:b/>
          <w:bCs/>
          <w:color w:val="7B2D8B"/>
          <w:sz w:val="24"/>
          <w:szCs w:val="24"/>
        </w:rPr>
        <w:t xml:space="preserve">One action per step</w:t>
      </w:r>
    </w:p>
    <w:p>
      <w:pPr>
        <w:spacing w:after="120" w:before="60"/>
        <w:jc w:val="left"/>
      </w:pPr>
      <w:r>
        <w:rPr>
          <w:rFonts w:ascii="Arial" w:cs="Arial" w:eastAsia="Arial" w:hAnsi="Arial"/>
          <w:b w:val="false"/>
          <w:bCs w:val="false"/>
          <w:i w:val="false"/>
          <w:iCs w:val="false"/>
          <w:color w:val="333333"/>
          <w:sz w:val="21"/>
          <w:szCs w:val="21"/>
        </w:rPr>
        <w:t xml:space="preserve">Each step is a single observable action starting with a verb: check, clean, measure, fit, record. If a step contains the word 'and' twice, it is probably two steps. Number steps in the order performed, with no branching mazes; if the task genuinely forks, write two SOPs or a clear decision step.</w:t>
      </w:r>
    </w:p>
    <w:p>
      <w:pPr>
        <w:pStyle w:val="Heading2"/>
        <w:spacing w:after="110" w:before="220"/>
      </w:pPr>
      <w:r>
        <w:rPr>
          <w:rFonts w:ascii="Arial" w:cs="Arial" w:eastAsia="Arial" w:hAnsi="Arial"/>
          <w:b/>
          <w:bCs/>
          <w:color w:val="7B2D8B"/>
          <w:sz w:val="24"/>
          <w:szCs w:val="24"/>
        </w:rPr>
        <w:t xml:space="preserve">Key points carry the reason</w:t>
      </w:r>
    </w:p>
    <w:p>
      <w:pPr>
        <w:spacing w:after="120" w:before="60"/>
        <w:jc w:val="left"/>
      </w:pPr>
      <w:r>
        <w:rPr>
          <w:rFonts w:ascii="Arial" w:cs="Arial" w:eastAsia="Arial" w:hAnsi="Arial"/>
          <w:b w:val="false"/>
          <w:bCs w:val="false"/>
          <w:i w:val="false"/>
          <w:iCs w:val="false"/>
          <w:color w:val="333333"/>
          <w:sz w:val="21"/>
          <w:szCs w:val="21"/>
        </w:rPr>
        <w:t xml:space="preserve">The difference between a list of steps and a useful SOP is the key point column: how the step is done well, and why it matters. 'Wipe the bore clean' is a step; 'swarf under the gauge anvils reads undersize and hides wear' is the reason nobody skips it. People follow rules they understand and shortcut rules they do not.</w:t>
      </w:r>
    </w:p>
    <w:p>
      <w:pPr>
        <w:pStyle w:val="Heading2"/>
        <w:spacing w:after="110" w:before="220"/>
      </w:pPr>
      <w:r>
        <w:rPr>
          <w:rFonts w:ascii="Arial" w:cs="Arial" w:eastAsia="Arial" w:hAnsi="Arial"/>
          <w:b/>
          <w:bCs/>
          <w:color w:val="7B2D8B"/>
          <w:sz w:val="24"/>
          <w:szCs w:val="24"/>
        </w:rPr>
        <w:t xml:space="preserve">Plain language, visual wherever possible</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Short sentences, everyday words, no abbreviations that a new starter would not know on day one.</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A photo or sketch at the step beats a paragraph: correct setup, correct gauge position, correct result, and the most common wrong result.</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Write for the least experienced person who will do the task, then have exactly that person trial it.</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Keep it short enough to use: one to three pages for most tasks. If it is longer, the scope is probably too wide.</w:t>
      </w:r>
    </w:p>
    <w:p>
      <w:pPr>
        <w:pStyle w:val="Heading1"/>
        <w:spacing w:after="150" w:before="320"/>
      </w:pPr>
      <w:r>
        <w:rPr>
          <w:rFonts w:ascii="Arial" w:cs="Arial" w:eastAsia="Arial" w:hAnsi="Arial"/>
          <w:b/>
          <w:bCs/>
          <w:color w:val="29ABE2"/>
          <w:sz w:val="29"/>
          <w:szCs w:val="29"/>
        </w:rPr>
        <w:t xml:space="preserve">5.  The SOP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Stage</w:t>
            </w:r>
          </w:p>
        </w:tc>
        <w:tc>
          <w:tcPr>
            <w:tcW w:type="dxa" w:w="65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What happens</w:t>
            </w:r>
          </w:p>
        </w:tc>
      </w:tr>
      <w:tr>
        <w:tc>
          <w:tcPr>
            <w:tcW w:type="dxa" w:w="25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1. Draft</w:t>
            </w:r>
          </w:p>
        </w:tc>
        <w:tc>
          <w:tcPr>
            <w:tcW w:type="dxa" w:w="65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Author and operator write it together at the workplace, using PE-06a</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2. Trial</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A different trained person performs the task using only the SOP; gaps found are gaps fixed</w:t>
            </w:r>
          </w:p>
        </w:tc>
      </w:tr>
      <w:tr>
        <w:tc>
          <w:tcPr>
            <w:tcW w:type="dxa" w:w="25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3. Review and approve</w:t>
            </w:r>
          </w:p>
        </w:tc>
        <w:tc>
          <w:tcPr>
            <w:tcW w:type="dxa" w:w="65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Technical check plus quality approval; approver signs the control block</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4. Issue and register</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Enter in the SOP Register (PE-06b); set the next review date</w:t>
            </w:r>
          </w:p>
        </w:tc>
      </w:tr>
      <w:tr>
        <w:tc>
          <w:tcPr>
            <w:tcW w:type="dxa" w:w="25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5. Train</w:t>
            </w:r>
          </w:p>
        </w:tc>
        <w:tc>
          <w:tcPr>
            <w:tcW w:type="dxa" w:w="65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Everyone who performs the task trains against the issued revision and signs read-and-understood; update the skills matrix</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6. Post at point of use</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The current revision lives where the work happens, clean and legible; old copies are purged</w:t>
            </w:r>
          </w:p>
        </w:tc>
      </w:tr>
      <w:tr>
        <w:tc>
          <w:tcPr>
            <w:tcW w:type="dxa" w:w="25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7. Audit adherence</w:t>
            </w:r>
          </w:p>
        </w:tc>
        <w:tc>
          <w:tcPr>
            <w:tcW w:type="dxa" w:w="65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Routine checks that the work matches the standard (see section 7)</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8. Review and improve</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At the review date, after any process change, or when a lesson is learned: back to step 1</w:t>
            </w:r>
          </w:p>
        </w:tc>
      </w:tr>
    </w:tbl>
    <w:p>
      <w:pPr>
        <w:spacing w:before="140"/>
        <w:jc w:val="left"/>
      </w:pPr>
      <w:r>
        <w:rPr>
          <w:rFonts w:ascii="Arial" w:cs="Arial" w:eastAsia="Arial" w:hAnsi="Arial"/>
          <w:b w:val="false"/>
          <w:bCs w:val="false"/>
          <w:i/>
          <w:iCs/>
          <w:color w:val="83348F"/>
          <w:sz w:val="20"/>
          <w:szCs w:val="20"/>
        </w:rPr>
        <w:t xml:space="preserve">The trial in stage 2 is the step most often skipped and most often regretted. An SOP that has never been performed by a stranger to the task contains assumptions you cannot see.</w:t>
      </w:r>
    </w:p>
    <w:p>
      <w:pPr>
        <w:pStyle w:val="Heading1"/>
        <w:spacing w:after="150" w:before="320"/>
      </w:pPr>
      <w:r>
        <w:rPr>
          <w:rFonts w:ascii="Arial" w:cs="Arial" w:eastAsia="Arial" w:hAnsi="Arial"/>
          <w:b/>
          <w:bCs/>
          <w:color w:val="29ABE2"/>
          <w:sz w:val="29"/>
          <w:szCs w:val="29"/>
        </w:rPr>
        <w:t xml:space="preserve">6.  Document control rules</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One numbering scheme, one register (PE-06b): the register is the single source of truth for the current revision of every SOP.</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One live revision, everywhere: when revision C issues, every copy of revision B is removed from the point of use the same day. Obsolete document purge is part of your 5S standardise routine (PE-05).</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Uncontrolled when printed: printed copies carry this marking; the controlled version lives in the register or document system. Posted point-of-use copies are checked against the register at audit.</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Every change through the revision log: what changed, why, who wrote it, who approved it, and whether retraining is done. No quiet edits.</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Reviews on time, at the workplace: a review confirms the SOP still matches reality by watching the task, not by re-dating the header at a desk.</w:t>
      </w:r>
    </w:p>
    <w:p>
      <w:pPr>
        <w:pStyle w:val="Heading1"/>
        <w:spacing w:after="150" w:before="320"/>
      </w:pPr>
      <w:r>
        <w:rPr>
          <w:rFonts w:ascii="Arial" w:cs="Arial" w:eastAsia="Arial" w:hAnsi="Arial"/>
          <w:b/>
          <w:bCs/>
          <w:color w:val="29ABE2"/>
          <w:sz w:val="29"/>
          <w:szCs w:val="29"/>
        </w:rPr>
        <w:t xml:space="preserve">7.  Making SOPs used, not shelfware</w:t>
      </w:r>
    </w:p>
    <w:p>
      <w:pPr>
        <w:spacing w:after="120" w:before="60"/>
        <w:jc w:val="left"/>
      </w:pPr>
      <w:r>
        <w:rPr>
          <w:rFonts w:ascii="Arial" w:cs="Arial" w:eastAsia="Arial" w:hAnsi="Arial"/>
          <w:b w:val="false"/>
          <w:bCs w:val="false"/>
          <w:i w:val="false"/>
          <w:iCs w:val="false"/>
          <w:color w:val="333333"/>
          <w:sz w:val="21"/>
          <w:szCs w:val="21"/>
        </w:rPr>
        <w:t xml:space="preserve">Most SOP systems fail at adherence, not authorship. Four habits keep the standard and reality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Habit</w:t>
            </w:r>
          </w:p>
        </w:tc>
        <w:tc>
          <w:tcPr>
            <w:tcW w:type="dxa" w:w="63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In practice</w:t>
            </w:r>
          </w:p>
        </w:tc>
      </w:tr>
      <w:tr>
        <w:tc>
          <w:tcPr>
            <w:tcW w:type="dxa" w:w="27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Point of use, point of need</w:t>
            </w:r>
          </w:p>
        </w:tc>
        <w:tc>
          <w:tcPr>
            <w:tcW w:type="dxa" w:w="63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The SOP lives at the workstation, current and legible, with the key steps visible at a glance. A standard locked in a server folder controls nothing.</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Layered adherence checks</w:t>
            </w:r>
          </w:p>
        </w:tc>
        <w:tc>
          <w:tcPr>
            <w:tcW w:type="dxa" w:w="6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Team leaders confirm a step or two daily; managers observe a full task weekly against the SOP; quality audits the system monthly. Short, frequent, visible.</w:t>
            </w:r>
          </w:p>
        </w:tc>
      </w:tr>
      <w:tr>
        <w:tc>
          <w:tcPr>
            <w:tcW w:type="dxa" w:w="27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Induction through the standard</w:t>
            </w:r>
          </w:p>
        </w:tc>
        <w:tc>
          <w:tcPr>
            <w:tcW w:type="dxa" w:w="63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New starters learn the task from the SOP with a trainer, then sign read-and-understood. The skills matrix shows who is trained on which revision.</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Treat deviation as information</w:t>
            </w:r>
          </w:p>
        </w:tc>
        <w:tc>
          <w:tcPr>
            <w:tcW w:type="dxa" w:w="6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If a trained person deviates, find out why before correcting them. Either they need support, or they have found a better way and the SOP should change, or the SOP is wrong. All three are valuable; none is resolved by telling people to try harder.</w:t>
            </w:r>
          </w:p>
        </w:tc>
      </w:tr>
    </w:tbl>
    <w:p>
      <w:pPr>
        <w:pStyle w:val="Heading1"/>
        <w:spacing w:after="150" w:before="320"/>
      </w:pPr>
      <w:r>
        <w:rPr>
          <w:rFonts w:ascii="Arial" w:cs="Arial" w:eastAsia="Arial" w:hAnsi="Arial"/>
          <w:b/>
          <w:bCs/>
          <w:color w:val="29ABE2"/>
          <w:sz w:val="29"/>
          <w:szCs w:val="29"/>
        </w:rPr>
        <w:t xml:space="preserve">8.  Updating from lessons learned</w:t>
      </w:r>
    </w:p>
    <w:p>
      <w:pPr>
        <w:spacing w:after="120" w:before="60"/>
        <w:jc w:val="left"/>
      </w:pPr>
      <w:r>
        <w:rPr>
          <w:rFonts w:ascii="Arial" w:cs="Arial" w:eastAsia="Arial" w:hAnsi="Arial"/>
          <w:b w:val="false"/>
          <w:bCs w:val="false"/>
          <w:i w:val="false"/>
          <w:iCs w:val="false"/>
          <w:color w:val="333333"/>
          <w:sz w:val="21"/>
          <w:szCs w:val="21"/>
        </w:rPr>
        <w:t xml:space="preserve">An SOP changes when reality teaches you something. The standard triggers:</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A root cause investigation (PE-04) identifies a process gap: the countermeasure lands in the SOP, as in the PE-06a worked example, where reject P-001 produced revision C of SOP-014.</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An audit or adherence check finds the SOP and the best current practice have drifted apart.</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A process, material, machine or tooling change alters how the task is done.</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An improvement idea from the team beats the current method and survives a trial.</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The scheduled review finds anything above has happened quietly.</w:t>
      </w:r>
    </w:p>
    <w:p>
      <w:pPr>
        <w:spacing w:after="120" w:before="60"/>
        <w:jc w:val="left"/>
      </w:pPr>
      <w:r>
        <w:rPr>
          <w:rFonts w:ascii="Arial" w:cs="Arial" w:eastAsia="Arial" w:hAnsi="Arial"/>
          <w:b w:val="false"/>
          <w:bCs w:val="false"/>
          <w:i w:val="false"/>
          <w:iCs w:val="false"/>
          <w:color w:val="333333"/>
          <w:sz w:val="20"/>
          <w:szCs w:val="20"/>
        </w:rPr>
        <w:t xml:space="preserve">Every trigger follows the same path: revise, approve, log the reason in the Revision Log (PE-06b), retrain, repost, purge the old copy. The reason column in the revision log is your evidence that lessons learned actually change the way work is done.</w:t>
      </w:r>
    </w:p>
    <w:p>
      <w:pPr>
        <w:pStyle w:val="Heading1"/>
        <w:spacing w:after="150" w:before="320"/>
      </w:pPr>
      <w:r>
        <w:rPr>
          <w:rFonts w:ascii="Arial" w:cs="Arial" w:eastAsia="Arial" w:hAnsi="Arial"/>
          <w:b/>
          <w:bCs/>
          <w:color w:val="29ABE2"/>
          <w:sz w:val="29"/>
          <w:szCs w:val="29"/>
        </w:rPr>
        <w:t xml:space="preserve">9.  Common pitfalls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Pitfall</w:t>
            </w:r>
          </w:p>
        </w:tc>
        <w:tc>
          <w:tcPr>
            <w:tcW w:type="dxa" w:w="66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Avoid it by</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The novel</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A ten-page SOP nobody reads. Split the scope, cut to one action per step, move background into training material.</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The desk fiction</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Written without watching the task; the workplace quietly does something else. Always write and trial at the workplace.</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The orphan</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No owner, no review date, no register entry. Every SOP has a named owner and lives in PE-06b.</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The wallpaper</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Posted, laminated, faded and two revisions old. Point-of-use copies are checked at every 5S audit (PE-05a includes this).</w:t>
            </w:r>
          </w:p>
        </w:tc>
      </w:tr>
      <w:tr>
        <w:tc>
          <w:tcPr>
            <w:tcW w:type="dxa" w:w="2400"/>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The blame document</w:t>
            </w:r>
          </w:p>
        </w:tc>
        <w:tc>
          <w:tcPr>
            <w:tcW w:type="dxa" w:w="6626"/>
            <w:tcBorders>
              <w:top w:val="single" w:color="BFBFBF" w:sz="4"/>
              <w:left w:val="single" w:color="BFBFBF" w:sz="4"/>
              <w:bottom w:val="single" w:color="BFBFBF" w:sz="4"/>
              <w:right w:val="single" w:color="BFBFBF" w:sz="4"/>
            </w:tcBorders>
            <w:shd w:fill="E5F5FD" w:val="clear"/>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Used only to discipline people after failures. The fastest way to make a workforce hide problems and ignore standards.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009FE3"/>
                <w:sz w:val="19"/>
                <w:szCs w:val="19"/>
              </w:rPr>
              <w:t xml:space="preserve">The frozen standard</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Treated as unchangeable. If improving the SOP is hard, people will improve the work without it, and the standard dies.</w:t>
            </w:r>
          </w:p>
        </w:tc>
      </w:tr>
    </w:tbl>
    <w:p>
      <w:pPr>
        <w:pStyle w:val="Heading1"/>
        <w:spacing w:after="150" w:before="320"/>
      </w:pPr>
      <w:r>
        <w:rPr>
          <w:rFonts w:ascii="Arial" w:cs="Arial" w:eastAsia="Arial" w:hAnsi="Arial"/>
          <w:b/>
          <w:bCs/>
          <w:color w:val="29ABE2"/>
          <w:sz w:val="29"/>
          <w:szCs w:val="29"/>
        </w:rPr>
        <w:t xml:space="preserve">10.  Getting started</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List your critical tasks: anything where a mistake hits safety, quality or delivery. These are your first SOPs.</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Set up the SOP Register (PE-06b) and agree the numbering scheme before writing anything.</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Write the first SOP with the team that does the task, using the PE-06a template and its worked example as the standard.</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Trial it on a trained person who did not write it; fix what they stumble on.</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Issue, train, sign, post; then build the adherence-check habit from week one.</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Add one or two SOPs per week rather than twenty in a launch month: a small living system beats a large dead one.</w:t>
      </w:r>
    </w:p>
    <w:p>
      <w:pPr>
        <w:pStyle w:val="Heading1"/>
        <w:spacing w:after="150" w:before="320"/>
      </w:pPr>
      <w:r>
        <w:rPr>
          <w:rFonts w:ascii="Arial" w:cs="Arial" w:eastAsia="Arial" w:hAnsi="Arial"/>
          <w:b/>
          <w:bCs/>
          <w:color w:val="29ABE2"/>
          <w:sz w:val="29"/>
          <w:szCs w:val="29"/>
        </w:rPr>
        <w:t xml:space="preserve">11.  Toolkit documents</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PE-06a  SOP Template: the controlled document format with a completed worked example</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PE-06b  SOP Register &amp; Version Control Log: register, revision log, read-and-understood matrix, dashboard</w:t>
      </w:r>
    </w:p>
    <w:p>
      <w:pPr>
        <w:pStyle w:val="ListParagraph"/>
        <w:numPr>
          <w:ilvl w:val="0"/>
          <w:numId w:val="2"/>
        </w:numPr>
        <w:spacing w:after="30" w:before="30"/>
      </w:pPr>
      <w:r>
        <w:rPr>
          <w:rFonts w:ascii="Arial" w:cs="Arial" w:eastAsia="Arial" w:hAnsi="Arial"/>
          <w:b w:val="false"/>
          <w:bCs w:val="false"/>
          <w:i w:val="false"/>
          <w:iCs w:val="false"/>
          <w:color w:val="333333"/>
          <w:sz w:val="21"/>
          <w:szCs w:val="21"/>
        </w:rPr>
        <w:t xml:space="preserve">Related: PE-04 problem solving and RCA (lesson-learned revisions), PE-05 5S (point-of-use and obsolete purge), PE-09 process control plans, PE-10 product and specification control</w:t>
      </w:r>
    </w:p>
    <w:sectPr>
      <w:headerReference w:type="default" r:id="rId7"/>
      <w:footerReference w:type="default" r:id="rId8"/>
      <w:pgSz w:w="11906" w:h="16838" w:orient="portrait"/>
      <w:pgMar w:top="1280" w:right="1440" w:bottom="1180" w:left="144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20"/>
      <w:outlineLvl w:val="0"/>
    </w:pPr>
    <w:rPr>
      <w:rFonts w:ascii="Arial" w:cs="Arial" w:eastAsia="Arial" w:hAnsi="Arial"/>
      <w:b/>
      <w:bCs/>
      <w:color w:val="83348F"/>
      <w:sz w:val="29"/>
      <w:szCs w:val="29"/>
    </w:rPr>
  </w:style>
  <w:style w:type="paragraph" w:styleId="Heading2">
    <w:name w:val="Heading 2"/>
    <w:basedOn w:val="Normal"/>
    <w:next w:val="Normal"/>
    <w:qFormat/>
    <w:pPr>
      <w:spacing w:after="110" w:before="220"/>
      <w:outlineLvl w:val="1"/>
    </w:pPr>
    <w:rPr>
      <w:rFonts w:ascii="Arial" w:cs="Arial" w:eastAsia="Arial" w:hAnsi="Arial"/>
      <w:b/>
      <w:bCs/>
      <w:color w:val="009FE3"/>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bc3cef6231019fe14614046ba1088e85d1be8619.jpg"/></Relationships>
</file>

<file path=word/_rels/header1.xml.rels><?xml version='1.0' encoding='UTF-8' standalone='yes'?>
<Relationships xmlns="http://schemas.openxmlformats.org/package/2006/relationships"><Relationship Id="rId0" Type="http://schemas.openxmlformats.org/officeDocument/2006/relationships/image" Target="media/84e24617c8e116e53a78dd71c60732e26fc932b8.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AEC552-E68C-42AD-BA10-E28787A52D02}"/>
</file>

<file path=customXml/itemProps2.xml><?xml version="1.0" encoding="utf-8"?>
<ds:datastoreItem xmlns:ds="http://schemas.openxmlformats.org/officeDocument/2006/customXml" ds:itemID="{290CAB67-DA27-4E44-A7A3-4CA2AD4DCA46}"/>
</file>

<file path=customXml/itemProps3.xml><?xml version="1.0" encoding="utf-8"?>
<ds:datastoreItem xmlns:ds="http://schemas.openxmlformats.org/officeDocument/2006/customXml" ds:itemID="{179EFF00-1E95-4E25-87BE-680086F6801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PE-06c Training Guide Writing and Using Standard Operating Procedures</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