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jc w:val="center"/>
        <w:spacing w:before="600"/>
      </w:pPr>
      <w:r>
        <w:rPr>
          <w:rFonts w:ascii="Arial" w:hAnsi="Arial"/>
          <w:b/>
          <w:color w:val="009FE3"/>
          <w:sz w:val="44"/>
        </w:rPr>
        <w:t xml:space="preserve">BUSINESS CONTINUITY POLICY</w:t>
      </w:r>
    </w:p>
    <w:p>
      <w:pPr>
        <w:jc w:val="center"/>
      </w:pPr>
      <w:r>
        <w:rPr>
          <w:rFonts w:ascii="Arial" w:hAnsi="Arial"/>
          <w:color w:val="83348F"/>
          <w:sz w:val="24"/>
        </w:rPr>
        <w:t xml:space="preserve">Our commitment to maintaining critical operations through disruption</w:t>
      </w:r>
    </w:p>
    <w:p>
      <w:pPr>
        <w:jc w:val="center"/>
      </w:pPr>
      <w:r>
        <w:rPr>
          <w:rFonts w:ascii="Arial" w:hAnsi="Arial"/>
          <w:color w:val="5B595A"/>
          <w:sz w:val="24"/>
        </w:rPr>
        <w:t xml:space="preserve">[Company Name]  |  QHSE-BC-01</w:t>
      </w:r>
    </w:p>
    <w:p>
      <w:pPr>
        <w:spacing w:before="0" w:after="0"/>
      </w:pPr>
    </w:p>
    <w:p>
      <w:pPr>
        <w:spacing w:before="0" w:after="0"/>
      </w:pPr>
    </w:p>
    <w:p>
      <w:pPr>
        <w:spacing w:before="0" w:after="0"/>
      </w:pPr>
    </w:p>
    <w:p>
      <w:pPr>
        <w:shd w:val="clear" w:color="auto" w:fill="009FE3"/>
        <w:spacing w:before="240" w:after="100"/>
      </w:pPr>
      <w:r>
        <w:rPr>
          <w:rFonts w:ascii="Arial" w:hAnsi="Arial"/>
          <w:b/>
          <w:color w:val="FFFFFF"/>
          <w:sz w:val="26"/>
        </w:rPr>
        <w:t xml:space="preserve">1.  Policy Statement</w:t>
      </w:r>
    </w:p>
    <w:p>
      <w:pPr>
        <w:spacing w:before="0" w:after="80"/>
      </w:pPr>
      <w:r>
        <w:rPr>
          <w:rFonts w:ascii="Arial" w:hAnsi="Arial"/>
          <w:color w:val="5B595A"/>
          <w:sz w:val="20"/>
        </w:rPr>
        <w:t xml:space="preserve">[Organisation name] is committed to maintaining continuity of its critical business functions in the event of disruption, emergency or crisis. This policy establishes the framework for identifying, preventing and responding to events that could interrupt operations, harm people, damage reputation or affect obligations to customers — including nuclear sector licensees and Tier 1 contractors.</w:t>
      </w:r>
    </w:p>
    <w:p>
      <w:pPr>
        <w:spacing w:before="0" w:after="0"/>
      </w:pPr>
    </w:p>
    <w:p>
      <w:pPr>
        <w:shd w:val="clear" w:color="auto" w:fill="009FE3"/>
        <w:spacing w:before="240" w:after="100"/>
      </w:pPr>
      <w:r>
        <w:rPr>
          <w:rFonts w:ascii="Arial" w:hAnsi="Arial"/>
          <w:b/>
          <w:color w:val="FFFFFF"/>
          <w:sz w:val="26"/>
        </w:rPr>
        <w:t xml:space="preserve">2.  Scope</w:t>
      </w:r>
    </w:p>
    <w:p>
      <w:pPr>
        <w:spacing w:before="0" w:after="80"/>
      </w:pPr>
      <w:r>
        <w:rPr>
          <w:rFonts w:ascii="Arial" w:hAnsi="Arial"/>
          <w:color w:val="5B595A"/>
          <w:sz w:val="20"/>
        </w:rPr>
        <w:t xml:space="preserve">This policy applies to all employees, contractors and subcontractors operating on behalf of the organisation. It covers all functions identified as critical through the Business Impact Analysis (QHSE-BC-02) and all sites from which the organisation delivers products or services.</w:t>
      </w:r>
    </w:p>
    <w:p>
      <w:pPr>
        <w:spacing w:before="0" w:after="0"/>
      </w:pPr>
    </w:p>
    <w:p>
      <w:pPr>
        <w:shd w:val="clear" w:color="auto" w:fill="009FE3"/>
        <w:spacing w:before="240" w:after="100"/>
      </w:pPr>
      <w:r>
        <w:rPr>
          <w:rFonts w:ascii="Arial" w:hAnsi="Arial"/>
          <w:b/>
          <w:color w:val="FFFFFF"/>
          <w:sz w:val="26"/>
        </w:rPr>
        <w:t xml:space="preserve">3.  Objectives</w:t>
      </w:r>
    </w:p>
    <w:p>
      <w:pPr>
        <w:spacing w:before="0" w:after="40"/>
      </w:pPr>
      <w:r>
        <w:rPr>
          <w:rFonts w:ascii="Arial" w:hAnsi="Arial"/>
          <w:color w:val="5B595A"/>
          <w:sz w:val="20"/>
        </w:rPr>
        <w:t xml:space="preserve">The organisation will:</w:t>
      </w:r>
    </w:p>
    <w:p>
      <w:pPr>
        <w:ind w:left="360" w:hanging="180"/>
        <w:spacing w:before="0" w:after="40"/>
      </w:pPr>
      <w:r>
        <w:rPr>
          <w:rFonts w:ascii="Arial" w:hAnsi="Arial"/>
          <w:color w:val="5B595A"/>
          <w:sz w:val="20"/>
        </w:rPr>
        <w:t xml:space="preserve">•  Identify critical business functions and the minimum resources required to maintain them.</w:t>
      </w:r>
    </w:p>
    <w:p>
      <w:pPr>
        <w:ind w:left="360" w:hanging="180"/>
        <w:spacing w:before="0" w:after="40"/>
      </w:pPr>
      <w:r>
        <w:rPr>
          <w:rFonts w:ascii="Arial" w:hAnsi="Arial"/>
          <w:color w:val="5B595A"/>
          <w:sz w:val="20"/>
        </w:rPr>
        <w:t xml:space="preserve">•  Assess the risks and potential impacts of disruption to those functions.</w:t>
      </w:r>
    </w:p>
    <w:p>
      <w:pPr>
        <w:ind w:left="360" w:hanging="180"/>
        <w:spacing w:before="0" w:after="40"/>
      </w:pPr>
      <w:r>
        <w:rPr>
          <w:rFonts w:ascii="Arial" w:hAnsi="Arial"/>
          <w:color w:val="5B595A"/>
          <w:sz w:val="20"/>
        </w:rPr>
        <w:t xml:space="preserve">•  Develop, maintain and test a Business Continuity Plan (BCP) enabling recovery within agreed timescales.</w:t>
      </w:r>
    </w:p>
    <w:p>
      <w:pPr>
        <w:ind w:left="360" w:hanging="180"/>
        <w:spacing w:before="0" w:after="40"/>
      </w:pPr>
      <w:r>
        <w:rPr>
          <w:rFonts w:ascii="Arial" w:hAnsi="Arial"/>
          <w:color w:val="5B595A"/>
          <w:sz w:val="20"/>
        </w:rPr>
        <w:t xml:space="preserve">•  Communicate roles, responsibilities and response procedures to all relevant personnel.</w:t>
      </w:r>
    </w:p>
    <w:p>
      <w:pPr>
        <w:ind w:left="360" w:hanging="180"/>
        <w:spacing w:before="0" w:after="40"/>
      </w:pPr>
      <w:r>
        <w:rPr>
          <w:rFonts w:ascii="Arial" w:hAnsi="Arial"/>
          <w:color w:val="5B595A"/>
          <w:sz w:val="20"/>
        </w:rPr>
        <w:t xml:space="preserve">•  Review and improve the BCP following any activation, significant change or scheduled test.</w:t>
      </w:r>
    </w:p>
    <w:p>
      <w:pPr>
        <w:ind w:left="360" w:hanging="180"/>
        <w:spacing w:before="0" w:after="40"/>
      </w:pPr>
      <w:r>
        <w:rPr>
          <w:rFonts w:ascii="Arial" w:hAnsi="Arial"/>
          <w:color w:val="5B595A"/>
          <w:sz w:val="20"/>
        </w:rPr>
        <w:t xml:space="preserve">•  Meet the continuity expectations of nuclear customers, regulators and other stakeholders.</w:t>
      </w:r>
    </w:p>
    <w:p>
      <w:pPr>
        <w:spacing w:before="0" w:after="0"/>
      </w:pPr>
    </w:p>
    <w:p>
      <w:pPr>
        <w:shd w:val="clear" w:color="auto" w:fill="009FE3"/>
        <w:spacing w:before="240" w:after="100"/>
      </w:pPr>
      <w:r>
        <w:rPr>
          <w:rFonts w:ascii="Arial" w:hAnsi="Arial"/>
          <w:b/>
          <w:color w:val="FFFFFF"/>
          <w:sz w:val="26"/>
        </w:rPr>
        <w:t xml:space="preserve">4.  Roles and Responsibilities</w:t>
      </w:r>
    </w:p>
    <w:tbl>
      <w:tblPr>
        <w:tblW w:type="auto" w:w="0"/>
      </w:tblPr>
      <w:tblGrid>
        <w:gridCol w:w="3500"/>
        <w:gridCol w:w="6254"/>
      </w:tblGrid>
      <w:tr>
        <w:tc>
          <w:tcPr>
            <w:tcW w:type="dxa" w:w="3500"/>
            <w:tcBorders>
              <w:top w:val="single" w:sz="4" w:space="0" w:color="CCCCCC"/>
              <w:left w:val="single" w:sz="4" w:space="0" w:color="CCCCCC"/>
              <w:bottom w:val="single" w:sz="4" w:space="0" w:color="CCCCCC"/>
              <w:right w:val="single" w:sz="4" w:space="0" w:color="CCCCCC"/>
            </w:tcBorders>
            <w:shd w:val="clear" w:color="auto" w:fill="009FE3"/>
          </w:tcPr>
          <w:p>
            <w:pPr>
              <w:spacing w:before="40" w:after="40"/>
              <w:jc w:val="center"/>
            </w:pPr>
            <w:r>
              <w:rPr>
                <w:rFonts w:ascii="Arial" w:hAnsi="Arial"/>
                <w:b/>
                <w:color w:val="FFFFFF"/>
                <w:sz w:val="18"/>
              </w:rPr>
              <w:t xml:space="preserve">Role</w:t>
            </w:r>
          </w:p>
        </w:tc>
        <w:tc>
          <w:tcPr>
            <w:tcW w:type="dxa" w:w="6254"/>
            <w:tcBorders>
              <w:top w:val="single" w:sz="4" w:space="0" w:color="CCCCCC"/>
              <w:left w:val="single" w:sz="4" w:space="0" w:color="CCCCCC"/>
              <w:bottom w:val="single" w:sz="4" w:space="0" w:color="CCCCCC"/>
              <w:right w:val="single" w:sz="4" w:space="0" w:color="CCCCCC"/>
            </w:tcBorders>
            <w:shd w:val="clear" w:color="auto" w:fill="009FE3"/>
          </w:tcPr>
          <w:p>
            <w:pPr>
              <w:spacing w:before="40" w:after="40"/>
              <w:jc w:val="center"/>
            </w:pPr>
            <w:r>
              <w:rPr>
                <w:rFonts w:ascii="Arial" w:hAnsi="Arial"/>
                <w:b/>
                <w:color w:val="FFFFFF"/>
                <w:sz w:val="18"/>
              </w:rPr>
              <w:t xml:space="preserve">Responsibility</w:t>
            </w:r>
          </w:p>
        </w:tc>
      </w:tr>
      <w:tr>
        <w:tc>
          <w:tcPr>
            <w:tcW w:type="dxa" w:w="3500"/>
            <w:tcBorders>
              <w:top w:val="single" w:sz="4" w:space="0" w:color="CCCCCC"/>
              <w:left w:val="single" w:sz="4" w:space="0" w:color="CCCCCC"/>
              <w:bottom w:val="single" w:sz="4" w:space="0" w:color="CCCCCC"/>
              <w:right w:val="single" w:sz="4" w:space="0" w:color="CCCCCC"/>
            </w:tcBorders>
          </w:tcPr>
          <w:p>
            <w:pPr>
              <w:spacing w:before="40" w:after="40"/>
            </w:pPr>
            <w:r>
              <w:rPr>
                <w:rFonts w:ascii="Arial" w:hAnsi="Arial"/>
                <w:color w:val="5B595A"/>
                <w:sz w:val="18"/>
              </w:rPr>
              <w:t xml:space="preserve">Board / Senior Leadership</w:t>
            </w:r>
          </w:p>
        </w:tc>
        <w:tc>
          <w:tcPr>
            <w:tcW w:type="dxa" w:w="6254"/>
            <w:tcBorders>
              <w:top w:val="single" w:sz="4" w:space="0" w:color="CCCCCC"/>
              <w:left w:val="single" w:sz="4" w:space="0" w:color="CCCCCC"/>
              <w:bottom w:val="single" w:sz="4" w:space="0" w:color="CCCCCC"/>
              <w:right w:val="single" w:sz="4" w:space="0" w:color="CCCCCC"/>
            </w:tcBorders>
          </w:tcPr>
          <w:p>
            <w:pPr>
              <w:spacing w:before="40" w:after="40"/>
            </w:pPr>
            <w:r>
              <w:rPr>
                <w:rFonts w:ascii="Arial" w:hAnsi="Arial"/>
                <w:color w:val="5B595A"/>
                <w:sz w:val="18"/>
              </w:rPr>
              <w:t xml:space="preserve">Own this policy; approve the BCP; provide resources for preparedness.</w:t>
            </w:r>
          </w:p>
        </w:tc>
      </w:tr>
      <w:tr>
        <w:tc>
          <w:tcPr>
            <w:tcW w:type="dxa" w:w="3500"/>
            <w:tcBorders>
              <w:top w:val="single" w:sz="4" w:space="0" w:color="CCCCCC"/>
              <w:left w:val="single" w:sz="4" w:space="0" w:color="CCCCCC"/>
              <w:bottom w:val="single" w:sz="4" w:space="0" w:color="CCCCCC"/>
              <w:right w:val="single" w:sz="4" w:space="0" w:color="CCCCCC"/>
            </w:tcBorders>
            <w:shd w:val="clear" w:color="auto" w:fill="F2F2F2"/>
          </w:tcPr>
          <w:p>
            <w:pPr>
              <w:spacing w:before="40" w:after="40"/>
            </w:pPr>
            <w:r>
              <w:rPr>
                <w:rFonts w:ascii="Arial" w:hAnsi="Arial"/>
                <w:color w:val="5B595A"/>
                <w:sz w:val="18"/>
              </w:rPr>
              <w:t xml:space="preserve">Business Continuity Lead</w:t>
            </w:r>
          </w:p>
        </w:tc>
        <w:tc>
          <w:tcPr>
            <w:tcW w:type="dxa" w:w="6254"/>
            <w:tcBorders>
              <w:top w:val="single" w:sz="4" w:space="0" w:color="CCCCCC"/>
              <w:left w:val="single" w:sz="4" w:space="0" w:color="CCCCCC"/>
              <w:bottom w:val="single" w:sz="4" w:space="0" w:color="CCCCCC"/>
              <w:right w:val="single" w:sz="4" w:space="0" w:color="CCCCCC"/>
            </w:tcBorders>
            <w:shd w:val="clear" w:color="auto" w:fill="F2F2F2"/>
          </w:tcPr>
          <w:p>
            <w:pPr>
              <w:spacing w:before="40" w:after="40"/>
            </w:pPr>
            <w:r>
              <w:rPr>
                <w:rFonts w:ascii="Arial" w:hAnsi="Arial"/>
                <w:color w:val="5B595A"/>
                <w:sz w:val="18"/>
              </w:rPr>
              <w:t xml:space="preserve">Co-ordinate BIA, BCP development, testing and maintenance.</w:t>
            </w:r>
          </w:p>
        </w:tc>
      </w:tr>
      <w:tr>
        <w:tc>
          <w:tcPr>
            <w:tcW w:type="dxa" w:w="3500"/>
            <w:tcBorders>
              <w:top w:val="single" w:sz="4" w:space="0" w:color="CCCCCC"/>
              <w:left w:val="single" w:sz="4" w:space="0" w:color="CCCCCC"/>
              <w:bottom w:val="single" w:sz="4" w:space="0" w:color="CCCCCC"/>
              <w:right w:val="single" w:sz="4" w:space="0" w:color="CCCCCC"/>
            </w:tcBorders>
          </w:tcPr>
          <w:p>
            <w:pPr>
              <w:spacing w:before="40" w:after="40"/>
            </w:pPr>
            <w:r>
              <w:rPr>
                <w:rFonts w:ascii="Arial" w:hAnsi="Arial"/>
                <w:color w:val="5B595A"/>
                <w:sz w:val="18"/>
              </w:rPr>
              <w:t xml:space="preserve">Departmental Managers</w:t>
            </w:r>
          </w:p>
        </w:tc>
        <w:tc>
          <w:tcPr>
            <w:tcW w:type="dxa" w:w="6254"/>
            <w:tcBorders>
              <w:top w:val="single" w:sz="4" w:space="0" w:color="CCCCCC"/>
              <w:left w:val="single" w:sz="4" w:space="0" w:color="CCCCCC"/>
              <w:bottom w:val="single" w:sz="4" w:space="0" w:color="CCCCCC"/>
              <w:right w:val="single" w:sz="4" w:space="0" w:color="CCCCCC"/>
            </w:tcBorders>
          </w:tcPr>
          <w:p>
            <w:pPr>
              <w:spacing w:before="40" w:after="40"/>
            </w:pPr>
            <w:r>
              <w:rPr>
                <w:rFonts w:ascii="Arial" w:hAnsi="Arial"/>
                <w:color w:val="5B595A"/>
                <w:sz w:val="18"/>
              </w:rPr>
              <w:t xml:space="preserve">Identify critical processes; ensure team awareness and readiness.</w:t>
            </w:r>
          </w:p>
        </w:tc>
      </w:tr>
      <w:tr>
        <w:tc>
          <w:tcPr>
            <w:tcW w:type="dxa" w:w="3500"/>
            <w:tcBorders>
              <w:top w:val="single" w:sz="4" w:space="0" w:color="CCCCCC"/>
              <w:left w:val="single" w:sz="4" w:space="0" w:color="CCCCCC"/>
              <w:bottom w:val="single" w:sz="4" w:space="0" w:color="CCCCCC"/>
              <w:right w:val="single" w:sz="4" w:space="0" w:color="CCCCCC"/>
            </w:tcBorders>
            <w:shd w:val="clear" w:color="auto" w:fill="F2F2F2"/>
          </w:tcPr>
          <w:p>
            <w:pPr>
              <w:spacing w:before="40" w:after="40"/>
            </w:pPr>
            <w:r>
              <w:rPr>
                <w:rFonts w:ascii="Arial" w:hAnsi="Arial"/>
                <w:color w:val="5B595A"/>
                <w:sz w:val="18"/>
              </w:rPr>
              <w:t xml:space="preserve">All Employees</w:t>
            </w:r>
          </w:p>
        </w:tc>
        <w:tc>
          <w:tcPr>
            <w:tcW w:type="dxa" w:w="6254"/>
            <w:tcBorders>
              <w:top w:val="single" w:sz="4" w:space="0" w:color="CCCCCC"/>
              <w:left w:val="single" w:sz="4" w:space="0" w:color="CCCCCC"/>
              <w:bottom w:val="single" w:sz="4" w:space="0" w:color="CCCCCC"/>
              <w:right w:val="single" w:sz="4" w:space="0" w:color="CCCCCC"/>
            </w:tcBorders>
            <w:shd w:val="clear" w:color="auto" w:fill="F2F2F2"/>
          </w:tcPr>
          <w:p>
            <w:pPr>
              <w:spacing w:before="40" w:after="40"/>
            </w:pPr>
            <w:r>
              <w:rPr>
                <w:rFonts w:ascii="Arial" w:hAnsi="Arial"/>
                <w:color w:val="5B595A"/>
                <w:sz w:val="18"/>
              </w:rPr>
              <w:t xml:space="preserve">Understand their role in the BCP; report incidents promptly.</w:t>
            </w:r>
          </w:p>
        </w:tc>
      </w:tr>
    </w:tbl>
    <w:p>
      <w:pPr>
        <w:spacing w:before="0" w:after="0"/>
      </w:pPr>
    </w:p>
    <w:p>
      <w:pPr>
        <w:shd w:val="clear" w:color="auto" w:fill="009FE3"/>
        <w:spacing w:before="240" w:after="100"/>
      </w:pPr>
      <w:r>
        <w:rPr>
          <w:rFonts w:ascii="Arial" w:hAnsi="Arial"/>
          <w:b/>
          <w:color w:val="FFFFFF"/>
          <w:sz w:val="26"/>
        </w:rPr>
        <w:t xml:space="preserve">5.  Testing and Review</w:t>
      </w:r>
    </w:p>
    <w:p>
      <w:pPr>
        <w:spacing w:before="0" w:after="80"/>
      </w:pPr>
      <w:r>
        <w:rPr>
          <w:rFonts w:ascii="Arial" w:hAnsi="Arial"/>
          <w:color w:val="5B595A"/>
          <w:sz w:val="20"/>
        </w:rPr>
        <w:t xml:space="preserve">The BCP will be tested at least annually through tabletop exercises (QHSE-BC-04) or live drills. Lessons identified will be captured in the Business Continuity Register and Test Log (QHSE-BC-05). This policy will be reviewed annually or following a material change to the business.</w:t>
      </w:r>
    </w:p>
    <w:p>
      <w:pPr>
        <w:spacing w:before="0" w:after="0"/>
      </w:pPr>
    </w:p>
    <w:p>
      <w:pPr>
        <w:shd w:val="clear" w:color="auto" w:fill="009FE3"/>
        <w:spacing w:before="240" w:after="100"/>
      </w:pPr>
      <w:r>
        <w:rPr>
          <w:rFonts w:ascii="Arial" w:hAnsi="Arial"/>
          <w:b/>
          <w:color w:val="FFFFFF"/>
          <w:sz w:val="26"/>
        </w:rPr>
        <w:t xml:space="preserve">6.  Related Documents</w:t>
      </w:r>
    </w:p>
    <w:p>
      <w:pPr>
        <w:spacing w:before="0" w:after="40"/>
      </w:pPr>
      <w:r>
        <w:rPr>
          <w:rFonts w:ascii="Arial" w:hAnsi="Arial"/>
          <w:color w:val="5B595A"/>
          <w:sz w:val="20"/>
        </w:rPr>
        <w:t xml:space="preserve">•  QHSE-BC-02  Business Impact Analysis Workbook</w:t>
      </w:r>
    </w:p>
    <w:p>
      <w:pPr>
        <w:spacing w:before="0" w:after="40"/>
      </w:pPr>
      <w:r>
        <w:rPr>
          <w:rFonts w:ascii="Arial" w:hAnsi="Arial"/>
          <w:color w:val="5B595A"/>
          <w:sz w:val="20"/>
        </w:rPr>
        <w:t xml:space="preserve">•  QHSE-BC-03  Major Incident Response Plan</w:t>
      </w:r>
    </w:p>
    <w:p>
      <w:pPr>
        <w:spacing w:before="0" w:after="40"/>
      </w:pPr>
      <w:r>
        <w:rPr>
          <w:rFonts w:ascii="Arial" w:hAnsi="Arial"/>
          <w:color w:val="5B595A"/>
          <w:sz w:val="20"/>
        </w:rPr>
        <w:t xml:space="preserve">•  QHSE-BC-04  Tabletop Exercise Pack</w:t>
      </w:r>
    </w:p>
    <w:p>
      <w:pPr>
        <w:spacing w:before="0" w:after="40"/>
      </w:pPr>
      <w:r>
        <w:rPr>
          <w:rFonts w:ascii="Arial" w:hAnsi="Arial"/>
          <w:color w:val="5B595A"/>
          <w:sz w:val="20"/>
        </w:rPr>
        <w:t xml:space="preserve">•  QHSE-BC-05  Business Continuity Register and Test Log</w:t>
      </w:r>
    </w:p>
    <w:p>
      <w:pPr>
        <w:spacing w:before="0" w:after="0"/>
      </w:pPr>
    </w:p>
    <w:p>
      <w:pPr>
        <w:shd w:val="clear" w:color="auto" w:fill="009FE3"/>
        <w:spacing w:before="240" w:after="100"/>
      </w:pPr>
      <w:r>
        <w:rPr>
          <w:rFonts w:ascii="Arial" w:hAnsi="Arial"/>
          <w:b/>
          <w:color w:val="FFFFFF"/>
          <w:sz w:val="26"/>
        </w:rPr>
        <w:t xml:space="preserve">7.  Sign-off</w:t>
      </w:r>
    </w:p>
    <w:tbl>
      <w:tblPr>
        <w:tblW w:type="auto" w:w="0"/>
      </w:tblPr>
      <w:tblGrid>
        <w:gridCol w:w="3118"/>
        <w:gridCol w:w="6236"/>
      </w:tblGrid>
      <w:tr>
        <w:tc>
          <w:tcPr>
            <w:tcW w:type="dxa" w:w="3118"/>
            <w:tcBorders>
              <w:top w:val="single" w:sz="4" w:space="0" w:color="CCCCCC"/>
              <w:left w:val="single" w:sz="4" w:space="0" w:color="CCCCCC"/>
              <w:bottom w:val="single" w:sz="4" w:space="0" w:color="CCCCCC"/>
              <w:right w:val="single" w:sz="4" w:space="0" w:color="CCCCCC"/>
            </w:tcBorders>
            <w:shd w:val="clear" w:color="auto" w:fill="F2F2F2"/>
          </w:tcPr>
          <w:p>
            <w:pPr>
              <w:spacing w:before="40" w:after="40"/>
            </w:pPr>
            <w:r>
              <w:rPr>
                <w:rFonts w:ascii="Arial" w:hAnsi="Arial"/>
                <w:b/>
                <w:color w:val="5B595A"/>
                <w:sz w:val="18"/>
              </w:rPr>
              <w:t xml:space="preserve">Authorised by</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pPr>
            <w:r>
              <w:rPr>
                <w:rFonts w:ascii="Arial" w:hAnsi="Arial"/>
                <w:color w:val="5B595A"/>
                <w:sz w:val="18"/>
              </w:rPr>
              <w:t xml:space="preserve"/>
            </w:r>
          </w:p>
        </w:tc>
      </w:tr>
      <w:tr>
        <w:tc>
          <w:tcPr>
            <w:tcW w:type="dxa" w:w="3118"/>
            <w:tcBorders>
              <w:top w:val="single" w:sz="4" w:space="0" w:color="CCCCCC"/>
              <w:left w:val="single" w:sz="4" w:space="0" w:color="CCCCCC"/>
              <w:bottom w:val="single" w:sz="4" w:space="0" w:color="CCCCCC"/>
              <w:right w:val="single" w:sz="4" w:space="0" w:color="CCCCCC"/>
            </w:tcBorders>
            <w:shd w:val="clear" w:color="auto" w:fill="F2F2F2"/>
          </w:tcPr>
          <w:p>
            <w:pPr>
              <w:spacing w:before="40" w:after="40"/>
            </w:pPr>
            <w:r>
              <w:rPr>
                <w:rFonts w:ascii="Arial" w:hAnsi="Arial"/>
                <w:b/>
                <w:color w:val="5B595A"/>
                <w:sz w:val="18"/>
              </w:rPr>
              <w:t xml:space="preserve">Title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pPr>
            <w:r>
              <w:rPr>
                <w:rFonts w:ascii="Arial" w:hAnsi="Arial"/>
                <w:color w:val="5B595A"/>
                <w:sz w:val="18"/>
              </w:rPr>
              <w:t xml:space="preserve"/>
            </w:r>
          </w:p>
        </w:tc>
      </w:tr>
      <w:tr>
        <w:tc>
          <w:tcPr>
            <w:tcW w:type="dxa" w:w="3118"/>
            <w:tcBorders>
              <w:top w:val="single" w:sz="4" w:space="0" w:color="CCCCCC"/>
              <w:left w:val="single" w:sz="4" w:space="0" w:color="CCCCCC"/>
              <w:bottom w:val="single" w:sz="4" w:space="0" w:color="CCCCCC"/>
              <w:right w:val="single" w:sz="4" w:space="0" w:color="CCCCCC"/>
            </w:tcBorders>
            <w:shd w:val="clear" w:color="auto" w:fill="F2F2F2"/>
          </w:tcPr>
          <w:p>
            <w:pPr>
              <w:spacing w:before="40" w:after="40"/>
            </w:pPr>
            <w:r>
              <w:rPr>
                <w:rFonts w:ascii="Arial" w:hAnsi="Arial"/>
                <w:b/>
                <w:color w:val="5B595A"/>
                <w:sz w:val="18"/>
              </w:rPr>
              <w:t xml:space="preserve">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pPr>
            <w:r>
              <w:rPr>
                <w:rFonts w:ascii="Arial" w:hAnsi="Arial"/>
                <w:color w:val="5B595A"/>
                <w:sz w:val="18"/>
              </w:rPr>
              <w:t xml:space="preserve"/>
            </w:r>
          </w:p>
        </w:tc>
      </w:tr>
      <w:tr>
        <w:tc>
          <w:tcPr>
            <w:tcW w:type="dxa" w:w="3118"/>
            <w:tcBorders>
              <w:top w:val="single" w:sz="4" w:space="0" w:color="CCCCCC"/>
              <w:left w:val="single" w:sz="4" w:space="0" w:color="CCCCCC"/>
              <w:bottom w:val="single" w:sz="4" w:space="0" w:color="CCCCCC"/>
              <w:right w:val="single" w:sz="4" w:space="0" w:color="CCCCCC"/>
            </w:tcBorders>
            <w:shd w:val="clear" w:color="auto" w:fill="F2F2F2"/>
          </w:tcPr>
          <w:p>
            <w:pPr>
              <w:spacing w:before="40" w:after="40"/>
            </w:pPr>
            <w:r>
              <w:rPr>
                <w:rFonts w:ascii="Arial" w:hAnsi="Arial"/>
                <w:b/>
                <w:color w:val="5B595A"/>
                <w:sz w:val="18"/>
              </w:rPr>
              <w:t xml:space="preserve">Review Date</w:t>
            </w:r>
          </w:p>
        </w:tc>
        <w:tc>
          <w:tcPr>
            <w:tcW w:type="dxa" w:w="6236"/>
            <w:tcBorders>
              <w:top w:val="single" w:sz="4" w:space="0" w:color="CCCCCC"/>
              <w:left w:val="single" w:sz="4" w:space="0" w:color="CCCCCC"/>
              <w:bottom w:val="single" w:sz="4" w:space="0" w:color="CCCCCC"/>
              <w:right w:val="single" w:sz="4" w:space="0" w:color="CCCCCC"/>
            </w:tcBorders>
          </w:tcPr>
          <w:p>
            <w:pPr>
              <w:spacing w:before="40" w:after="40"/>
            </w:pPr>
            <w:r>
              <w:rPr>
                <w:rFonts w:ascii="Arial" w:hAnsi="Arial"/>
                <w:color w:val="5B595A"/>
                <w:sz w:val="18"/>
              </w:rPr>
              <w:t xml:space="preserve"/>
            </w:r>
          </w:p>
        </w:tc>
      </w:tr>
    </w:tbl>
    <w:sectPr w:rsidR="00FC693F" w:rsidRPr="0006063C" w:rsidSect="00034616">
      <w:headerReference w:type="default" r:id="rId9"/>
      <w:footerReference w:type="default" r:id="rId10"/>
      <w:pgSz w:w="11906" w:h="16838"/>
      <w:pgMar w:top="1134" w:right="1134" w:bottom="1134" w:left="113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QHSE-BC-01  |  Page </w:t>
    </w:r>
    <w:r>
      <w:rPr>
        <w:rFonts w:ascii="Calibri" w:hAnsi="Calibri"/>
        <w:sz w:val="14"/>
        <w:color w:val="58595B"/>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9ABE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2D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9ABE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4DF7AEA-6DCD-4ECE-B3A2-38F2DBD39219}"/>
</file>

<file path=customXml/itemProps3.xml><?xml version="1.0" encoding="utf-8"?>
<ds:datastoreItem xmlns:ds="http://schemas.openxmlformats.org/officeDocument/2006/customXml" ds:itemID="{E0D738F5-1012-4835-883F-925B1C900331}"/>
</file>

<file path=customXml/itemProps4.xml><?xml version="1.0" encoding="utf-8"?>
<ds:datastoreItem xmlns:ds="http://schemas.openxmlformats.org/officeDocument/2006/customXml" ds:itemID="{39A8808A-15D1-4D7B-B2FE-A61B78EA8CB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QHSE-BC-01 Business Continuity Policy</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