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drawing>
          <wp:inline distT="0" distB="0" distL="0" distR="0">
            <wp:extent cx="247650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895350"/>
                    </a:xfrm>
                    <a:prstGeom prst="rect">
                      <a:avLst/>
                    </a:prstGeom>
                  </pic:spPr>
                </pic:pic>
              </a:graphicData>
            </a:graphic>
          </wp:inline>
        </w:drawing>
      </w:r>
    </w:p>
    <w:p>
      <w:pPr>
        <w:spacing w:after="200" w:before="600"/>
        <w:jc w:val="center"/>
      </w:pPr>
      <w:r>
        <w:rPr>
          <w:rFonts w:ascii="Arial" w:cs="Arial" w:eastAsia="Arial" w:hAnsi="Arial"/>
          <w:b/>
          <w:bCs/>
          <w:color w:val="009FE3"/>
          <w:sz w:val="48"/>
          <w:szCs w:val="48"/>
        </w:rPr>
        <w:t xml:space="preserve">Nuclear QHSE Competence Framework</w:t>
      </w:r>
    </w:p>
    <w:p>
      <w:pPr>
        <w:spacing w:after="300" w:before="0"/>
        <w:jc w:val="center"/>
      </w:pPr>
      <w:r>
        <w:rPr>
          <w:rFonts w:ascii="Arial" w:cs="Arial" w:eastAsia="Arial" w:hAnsi="Arial"/>
          <w:i/>
          <w:iCs/>
          <w:color w:val="83348F"/>
          <w:sz w:val="28"/>
          <w:szCs w:val="28"/>
        </w:rPr>
        <w:t xml:space="preserve">A working framework for managing competence in nuclear safety classified work</w:t>
      </w:r>
    </w:p>
    <w:p>
      <w:pPr>
        <w:spacing w:after="800" w:before="0"/>
        <w:jc w:val="center"/>
      </w:pPr>
      <w:r>
        <w:rPr>
          <w:rFonts w:ascii="Arial" w:cs="Arial" w:eastAsia="Arial" w:hAnsi="Arial"/>
          <w:i/>
          <w:iCs/>
          <w:color w:val="5B595A"/>
          <w:sz w:val="22"/>
          <w:szCs w:val="22"/>
        </w:rPr>
        <w:t xml:space="preserve">Use this framework to define, assess, develop and maintain the competence of people working on nuclear supply chain activities. It is intended for direct use, not as a one-off compliance exercise.</w:t>
      </w:r>
    </w:p>
    <w:p>
      <w:pPr>
        <w:spacing w:after="0" w:before="1600"/>
        <w:jc w:val="center"/>
      </w:pPr>
      <w:r>
        <w:rPr>
          <w:rFonts w:ascii="Arial" w:cs="Arial" w:eastAsia="Arial" w:hAnsi="Arial"/>
          <w:color w:val="5B595A"/>
          <w:sz w:val="20"/>
          <w:szCs w:val="20"/>
        </w:rPr>
        <w:t>Reference: QHSE-CO-02   |   Version: v1.0</w:t>
      </w:r>
    </w:p>
    <w:p>
      <w:r>
        <w:br w:type="page"/>
      </w:r>
    </w:p>
    <w:p>
      <w:pPr>
        <w:pStyle w:val="Heading1"/>
        <w:spacing w:after="200" w:before="360"/>
      </w:pPr>
      <w:r>
        <w:rPr>
          <w:rFonts w:ascii="Arial" w:cs="Arial" w:eastAsia="Arial" w:hAnsi="Arial"/>
          <w:b/>
          <w:bCs/>
          <w:color w:val="83348F"/>
          <w:sz w:val="32"/>
          <w:szCs w:val="32"/>
        </w:rPr>
        <w:t xml:space="preserve">1. Purpose of This Framework</w:t>
      </w:r>
    </w:p>
    <w:p>
      <w:pPr>
        <w:spacing w:after="160" w:before="80"/>
        <w:jc w:val="left"/>
      </w:pPr>
      <w:r>
        <w:rPr>
          <w:rFonts w:ascii="Arial" w:cs="Arial" w:eastAsia="Arial" w:hAnsi="Arial"/>
          <w:b w:val="false"/>
          <w:bCs w:val="false"/>
          <w:i w:val="false"/>
          <w:iCs w:val="false"/>
          <w:color w:val="000000"/>
          <w:sz w:val="22"/>
          <w:szCs w:val="22"/>
        </w:rPr>
        <w:t xml:space="preserve">Competence is the foundation of safe, compliant performance in the nuclear supply chain. A worker who does not have the right knowledge, skills, training and experience for their role is a risk to product quality, to nuclear safety, and to the organisation's standing with its customers and regulators.</w:t>
      </w:r>
    </w:p>
    <w:p>
      <w:pPr>
        <w:spacing w:after="160" w:before="80"/>
        <w:jc w:val="left"/>
      </w:pPr>
      <w:r>
        <w:rPr>
          <w:rFonts w:ascii="Arial" w:cs="Arial" w:eastAsia="Arial" w:hAnsi="Arial"/>
          <w:b w:val="false"/>
          <w:bCs w:val="false"/>
          <w:i w:val="false"/>
          <w:iCs w:val="false"/>
          <w:color w:val="000000"/>
          <w:sz w:val="22"/>
          <w:szCs w:val="22"/>
        </w:rPr>
        <w:t xml:space="preserve">This framework gives your organisation a practical, working method for identifying what competence is needed for each role involved in nuclear work, assessing where people currently stand against that requirement, closing the gaps that are found, and maintaining competence over time as people, technology and standards change.</w:t>
      </w:r>
    </w:p>
    <w:p>
      <w:pPr>
        <w:spacing w:after="200" w:before="160"/>
      </w:pPr>
      <w:r>
        <w:rPr>
          <w:rFonts w:ascii="Arial" w:cs="Arial" w:eastAsia="Arial" w:hAnsi="Arial"/>
          <w:i/>
          <w:iCs/>
          <w:color w:val="83348F"/>
          <w:sz w:val="22"/>
          <w:szCs w:val="22"/>
        </w:rPr>
        <w:t xml:space="preserve">Competence management in the nuclear sector is not a training record. It is a live management system that protects safety, quality and reputation.</w:t>
      </w:r>
    </w:p>
    <w:p>
      <w:pPr>
        <w:spacing w:after="160" w:before="80"/>
        <w:jc w:val="left"/>
      </w:pPr>
      <w:r>
        <w:rPr>
          <w:rFonts w:ascii="Arial" w:cs="Arial" w:eastAsia="Arial" w:hAnsi="Arial"/>
          <w:b w:val="false"/>
          <w:bCs w:val="false"/>
          <w:i w:val="false"/>
          <w:iCs w:val="false"/>
          <w:color w:val="000000"/>
          <w:sz w:val="22"/>
          <w:szCs w:val="22"/>
        </w:rPr>
        <w:t xml:space="preserve">This framework should be read alongside the accompanying Competence Matrix and Training Register (Excel) and the Nuclear Training Plan Template (Word), which translate the principles set out here into working tools your organisation can use immediately.</w:t>
      </w:r>
    </w:p>
    <w:p>
      <w:pPr>
        <w:pStyle w:val="Heading1"/>
        <w:spacing w:after="200" w:before="360"/>
      </w:pPr>
      <w:r>
        <w:rPr>
          <w:rFonts w:ascii="Arial" w:cs="Arial" w:eastAsia="Arial" w:hAnsi="Arial"/>
          <w:b/>
          <w:bCs/>
          <w:color w:val="83348F"/>
          <w:sz w:val="32"/>
          <w:szCs w:val="32"/>
        </w:rPr>
        <w:t xml:space="preserve">2. Why Competence Matters in the Nuclear Sector</w:t>
      </w:r>
    </w:p>
    <w:p>
      <w:pPr>
        <w:spacing w:after="160" w:before="80"/>
        <w:jc w:val="left"/>
      </w:pPr>
      <w:r>
        <w:rPr>
          <w:rFonts w:ascii="Arial" w:cs="Arial" w:eastAsia="Arial" w:hAnsi="Arial"/>
          <w:b w:val="false"/>
          <w:bCs w:val="false"/>
          <w:i w:val="false"/>
          <w:iCs w:val="false"/>
          <w:color w:val="000000"/>
          <w:sz w:val="22"/>
          <w:szCs w:val="22"/>
        </w:rPr>
        <w:t xml:space="preserve">Nuclear work differs from general manufacturing and engineering in one critical respect: the consequences of error can be severe, irreversible and far reaching. A weld that fails on a safety classified component, a test record that is falsified or misread, an inspection that is signed off by someone without the right qualification, any of these can compromise nuclear safety, not just product quality.</w:t>
      </w:r>
    </w:p>
    <w:p>
      <w:pPr>
        <w:spacing w:after="160" w:before="80"/>
        <w:jc w:val="left"/>
      </w:pPr>
      <w:r>
        <w:rPr>
          <w:rFonts w:ascii="Arial" w:cs="Arial" w:eastAsia="Arial" w:hAnsi="Arial"/>
          <w:b w:val="false"/>
          <w:bCs w:val="false"/>
          <w:i w:val="false"/>
          <w:iCs w:val="false"/>
          <w:color w:val="000000"/>
          <w:sz w:val="22"/>
          <w:szCs w:val="22"/>
        </w:rPr>
        <w:t xml:space="preserve">Licensees and Tier 1 contractors expect their supply chain to demonstrate Suitably Qualified and Experienced Personnel, commonly referred to as SQEP, for any role that influences nuclear safety or quality. SQEP is not a qualification in itself. It is a state that is achieved and maintained through a combination of:</w:t>
      </w:r>
    </w:p>
    <w:p>
      <w:pPr>
        <w:pStyle w:val="ListParagraph"/>
        <w:numPr>
          <w:ilvl w:val="0"/>
          <w:numId w:val="2"/>
        </w:numPr>
        <w:spacing w:after="80" w:before="40"/>
      </w:pPr>
      <w:r>
        <w:rPr>
          <w:rFonts w:ascii="Arial" w:cs="Arial" w:eastAsia="Arial" w:hAnsi="Arial"/>
          <w:b w:val="false"/>
          <w:bCs w:val="false"/>
          <w:sz w:val="22"/>
          <w:szCs w:val="22"/>
        </w:rPr>
        <w:t xml:space="preserve">Formal qualifications relevant to the role, such as trade certifications, NDE Level 1/2/3 qualification, or professional engineering registration</w:t>
      </w:r>
    </w:p>
    <w:p>
      <w:pPr>
        <w:pStyle w:val="ListParagraph"/>
        <w:numPr>
          <w:ilvl w:val="0"/>
          <w:numId w:val="2"/>
        </w:numPr>
        <w:spacing w:after="80" w:before="40"/>
      </w:pPr>
      <w:r>
        <w:rPr>
          <w:rFonts w:ascii="Arial" w:cs="Arial" w:eastAsia="Arial" w:hAnsi="Arial"/>
          <w:b w:val="false"/>
          <w:bCs w:val="false"/>
          <w:sz w:val="22"/>
          <w:szCs w:val="22"/>
        </w:rPr>
        <w:t xml:space="preserve">Documented training specific to the task, equipment, procedure or standard being applied</w:t>
      </w:r>
    </w:p>
    <w:p>
      <w:pPr>
        <w:pStyle w:val="ListParagraph"/>
        <w:numPr>
          <w:ilvl w:val="0"/>
          <w:numId w:val="2"/>
        </w:numPr>
        <w:spacing w:after="80" w:before="40"/>
      </w:pPr>
      <w:r>
        <w:rPr>
          <w:rFonts w:ascii="Arial" w:cs="Arial" w:eastAsia="Arial" w:hAnsi="Arial"/>
          <w:b w:val="false"/>
          <w:bCs w:val="false"/>
          <w:sz w:val="22"/>
          <w:szCs w:val="22"/>
        </w:rPr>
        <w:t xml:space="preserve">Demonstrated experience, including supervised practice before independent sign off</w:t>
      </w:r>
    </w:p>
    <w:p>
      <w:pPr>
        <w:pStyle w:val="ListParagraph"/>
        <w:numPr>
          <w:ilvl w:val="0"/>
          <w:numId w:val="2"/>
        </w:numPr>
        <w:spacing w:after="80" w:before="40"/>
      </w:pPr>
      <w:r>
        <w:rPr>
          <w:rFonts w:ascii="Arial" w:cs="Arial" w:eastAsia="Arial" w:hAnsi="Arial"/>
          <w:b w:val="false"/>
          <w:bCs w:val="false"/>
          <w:sz w:val="22"/>
          <w:szCs w:val="22"/>
        </w:rPr>
        <w:t xml:space="preserve">Ongoing assessment and re-assessment to confirm competence is maintained, particularly after a period away from a task or following a procedure change</w:t>
      </w:r>
    </w:p>
    <w:p>
      <w:pPr>
        <w:spacing w:after="160" w:before="80"/>
        <w:jc w:val="left"/>
      </w:pPr>
      <w:r>
        <w:rPr>
          <w:rFonts w:ascii="Arial" w:cs="Arial" w:eastAsia="Arial" w:hAnsi="Arial"/>
          <w:b w:val="false"/>
          <w:bCs w:val="false"/>
          <w:i w:val="false"/>
          <w:iCs w:val="false"/>
          <w:color w:val="000000"/>
          <w:sz w:val="22"/>
          <w:szCs w:val="22"/>
        </w:rPr>
        <w:t xml:space="preserve">ISO 19443 builds on ISO 9001 clause 7.2 (Competence) and requires organisations supplying the nuclear sector to determine the competence needed for roles affecting product and service conformity and nuclear safety, ensure people are competent on the basis of appropriate education, training or experience, and retain documented evidence of competence. ONR's Safety Assessment Principles likewise place strong emphasis on organisational capability and the competence of individuals undertaking safety related work.</w:t>
      </w:r>
    </w:p>
    <w:p>
      <w:pPr>
        <w:pStyle w:val="Heading1"/>
        <w:spacing w:after="200" w:before="360"/>
      </w:pPr>
      <w:r>
        <w:rPr>
          <w:rFonts w:ascii="Arial" w:cs="Arial" w:eastAsia="Arial" w:hAnsi="Arial"/>
          <w:b/>
          <w:bCs/>
          <w:color w:val="83348F"/>
          <w:sz w:val="32"/>
          <w:szCs w:val="32"/>
        </w:rPr>
        <w:t xml:space="preserve">3. Defining Competence Requirements by Role</w:t>
      </w:r>
    </w:p>
    <w:p>
      <w:pPr>
        <w:pStyle w:val="Heading2"/>
        <w:spacing w:after="160" w:before="260"/>
      </w:pPr>
      <w:r>
        <w:rPr>
          <w:rFonts w:ascii="Arial" w:cs="Arial" w:eastAsia="Arial" w:hAnsi="Arial"/>
          <w:b/>
          <w:bCs/>
          <w:color w:val="009FE3"/>
          <w:sz w:val="26"/>
          <w:szCs w:val="26"/>
        </w:rPr>
        <w:t xml:space="preserve">3.1 Starting Point: Role and Task Analysis</w:t>
      </w:r>
    </w:p>
    <w:p>
      <w:pPr>
        <w:spacing w:after="160" w:before="80"/>
        <w:jc w:val="left"/>
      </w:pPr>
      <w:r>
        <w:rPr>
          <w:rFonts w:ascii="Arial" w:cs="Arial" w:eastAsia="Arial" w:hAnsi="Arial"/>
          <w:b w:val="false"/>
          <w:bCs w:val="false"/>
          <w:i w:val="false"/>
          <w:iCs w:val="false"/>
          <w:color w:val="000000"/>
          <w:sz w:val="22"/>
          <w:szCs w:val="22"/>
        </w:rPr>
        <w:t xml:space="preserve">Before you can assess competence you must define what competence looks like for each role. This is done through role and task analysis: breaking down what a person in a given role is actually required to do, and identifying the knowledge, skills and experience each task demands.</w:t>
      </w:r>
    </w:p>
    <w:p>
      <w:pPr>
        <w:spacing w:after="160" w:before="80"/>
        <w:jc w:val="left"/>
      </w:pPr>
      <w:r>
        <w:rPr>
          <w:rFonts w:ascii="Arial" w:cs="Arial" w:eastAsia="Arial" w:hAnsi="Arial"/>
          <w:b w:val="false"/>
          <w:bCs w:val="false"/>
          <w:i w:val="false"/>
          <w:iCs w:val="false"/>
          <w:color w:val="000000"/>
          <w:sz w:val="22"/>
          <w:szCs w:val="22"/>
        </w:rPr>
        <w:t xml:space="preserve">For each role that touches nuclear work, whether directly (welding, NDE, machining, assembly) or indirectly (quality, planning, procurement, despatch), identify:</w:t>
      </w:r>
    </w:p>
    <w:p>
      <w:pPr>
        <w:pStyle w:val="ListParagraph"/>
        <w:numPr>
          <w:ilvl w:val="0"/>
          <w:numId w:val="2"/>
        </w:numPr>
        <w:spacing w:after="80" w:before="40"/>
      </w:pPr>
      <w:r>
        <w:rPr>
          <w:rFonts w:ascii="Arial" w:cs="Arial" w:eastAsia="Arial" w:hAnsi="Arial"/>
          <w:b w:val="false"/>
          <w:bCs w:val="false"/>
          <w:sz w:val="22"/>
          <w:szCs w:val="22"/>
        </w:rPr>
        <w:t xml:space="preserve">The specific tasks performed and their criticality to product quality and nuclear safety</w:t>
      </w:r>
    </w:p>
    <w:p>
      <w:pPr>
        <w:pStyle w:val="ListParagraph"/>
        <w:numPr>
          <w:ilvl w:val="0"/>
          <w:numId w:val="2"/>
        </w:numPr>
        <w:spacing w:after="80" w:before="40"/>
      </w:pPr>
      <w:r>
        <w:rPr>
          <w:rFonts w:ascii="Arial" w:cs="Arial" w:eastAsia="Arial" w:hAnsi="Arial"/>
          <w:b w:val="false"/>
          <w:bCs w:val="false"/>
          <w:sz w:val="22"/>
          <w:szCs w:val="22"/>
        </w:rPr>
        <w:t xml:space="preserve">Any standard, code or procedure that governs how the task must be carried out</w:t>
      </w:r>
    </w:p>
    <w:p>
      <w:pPr>
        <w:pStyle w:val="ListParagraph"/>
        <w:numPr>
          <w:ilvl w:val="0"/>
          <w:numId w:val="2"/>
        </w:numPr>
        <w:spacing w:after="80" w:before="40"/>
      </w:pPr>
      <w:r>
        <w:rPr>
          <w:rFonts w:ascii="Arial" w:cs="Arial" w:eastAsia="Arial" w:hAnsi="Arial"/>
          <w:b w:val="false"/>
          <w:bCs w:val="false"/>
          <w:sz w:val="22"/>
          <w:szCs w:val="22"/>
        </w:rPr>
        <w:t xml:space="preserve">The qualifications or certifications required, where these are mandated by code or customer specification</w:t>
      </w:r>
    </w:p>
    <w:p>
      <w:pPr>
        <w:pStyle w:val="ListParagraph"/>
        <w:numPr>
          <w:ilvl w:val="0"/>
          <w:numId w:val="2"/>
        </w:numPr>
        <w:spacing w:after="80" w:before="40"/>
      </w:pPr>
      <w:r>
        <w:rPr>
          <w:rFonts w:ascii="Arial" w:cs="Arial" w:eastAsia="Arial" w:hAnsi="Arial"/>
          <w:b w:val="false"/>
          <w:bCs w:val="false"/>
          <w:sz w:val="22"/>
          <w:szCs w:val="22"/>
        </w:rPr>
        <w:t xml:space="preserve">The training that must be completed before the task can be performed unsupervised</w:t>
      </w:r>
    </w:p>
    <w:p>
      <w:pPr>
        <w:pStyle w:val="ListParagraph"/>
        <w:numPr>
          <w:ilvl w:val="0"/>
          <w:numId w:val="2"/>
        </w:numPr>
        <w:spacing w:after="80" w:before="40"/>
      </w:pPr>
      <w:r>
        <w:rPr>
          <w:rFonts w:ascii="Arial" w:cs="Arial" w:eastAsia="Arial" w:hAnsi="Arial"/>
          <w:b w:val="false"/>
          <w:bCs w:val="false"/>
          <w:sz w:val="22"/>
          <w:szCs w:val="22"/>
        </w:rPr>
        <w:t xml:space="preserve">The minimum experience or supervised practice period before independent sign off is permitted</w:t>
      </w:r>
    </w:p>
    <w:p>
      <w:pPr>
        <w:pStyle w:val="ListParagraph"/>
        <w:numPr>
          <w:ilvl w:val="0"/>
          <w:numId w:val="2"/>
        </w:numPr>
        <w:spacing w:after="80" w:before="40"/>
      </w:pPr>
      <w:r>
        <w:rPr>
          <w:rFonts w:ascii="Arial" w:cs="Arial" w:eastAsia="Arial" w:hAnsi="Arial"/>
          <w:b w:val="false"/>
          <w:bCs w:val="false"/>
          <w:sz w:val="22"/>
          <w:szCs w:val="22"/>
        </w:rPr>
        <w:t xml:space="preserve">Any periodic refresher, re-qualification or re-assessment requirement, and its frequency</w:t>
      </w:r>
    </w:p>
    <w:p>
      <w:pPr>
        <w:pStyle w:val="Heading2"/>
        <w:spacing w:after="160" w:before="260"/>
      </w:pPr>
      <w:r>
        <w:rPr>
          <w:rFonts w:ascii="Arial" w:cs="Arial" w:eastAsia="Arial" w:hAnsi="Arial"/>
          <w:b/>
          <w:bCs/>
          <w:color w:val="009FE3"/>
          <w:sz w:val="26"/>
          <w:szCs w:val="26"/>
        </w:rPr>
        <w:t xml:space="preserve">3.2 Competence Levels</w:t>
      </w:r>
    </w:p>
    <w:p>
      <w:pPr>
        <w:spacing w:after="160" w:before="80"/>
        <w:jc w:val="left"/>
      </w:pPr>
      <w:r>
        <w:rPr>
          <w:rFonts w:ascii="Arial" w:cs="Arial" w:eastAsia="Arial" w:hAnsi="Arial"/>
          <w:b w:val="false"/>
          <w:bCs w:val="false"/>
          <w:i w:val="false"/>
          <w:iCs w:val="false"/>
          <w:color w:val="000000"/>
          <w:sz w:val="22"/>
          <w:szCs w:val="22"/>
        </w:rPr>
        <w:t xml:space="preserve">Use a consistent competence scale across the organisation so that gaps and strengths can be compared meaningfully between roles, teams and sites. A simple four level scale works well in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26"/>
        <w:gridCol w:w="3000"/>
      </w:tblGrid>
      <w:tr>
        <w:trPr>
          <w:tblHeader/>
        </w:trPr>
        <w:tc>
          <w:tcPr>
            <w:tcW w:type="dxa" w:w="1800"/>
            <w:tcBorders>
              <w:top w:val="single" w:color="CCCCCC" w:sz="1"/>
              <w:left w:val="single" w:color="CCCCCC" w:sz="1"/>
              <w:bottom w:val="single" w:color="CCCCCC" w:sz="1"/>
              <w:right w:val="single" w:color="CCCCCC" w:sz="1"/>
            </w:tcBorders>
            <w:shd w:fill="83348F"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Level</w:t>
            </w:r>
          </w:p>
        </w:tc>
        <w:tc>
          <w:tcPr>
            <w:tcW w:type="dxa" w:w="4226"/>
            <w:tcBorders>
              <w:top w:val="single" w:color="CCCCCC" w:sz="1"/>
              <w:left w:val="single" w:color="CCCCCC" w:sz="1"/>
              <w:bottom w:val="single" w:color="CCCCCC" w:sz="1"/>
              <w:right w:val="single" w:color="CCCCCC" w:sz="1"/>
            </w:tcBorders>
            <w:shd w:fill="83348F"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83348F"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Typical Evidence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Awareness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Understands the basic principles and purpose of the activity but is not yet able to perform it unsupervised.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Induction training, toolbox talk attendance, awareness module completion.</w:t>
            </w:r>
          </w:p>
        </w:tc>
      </w:tr>
      <w:tr>
        <w:tc>
          <w:tcPr>
            <w:tcW w:type="dxa" w:w="18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Developing</w:t>
            </w:r>
          </w:p>
        </w:tc>
        <w:tc>
          <w:tcPr>
            <w:tcW w:type="dxa" w:w="4226"/>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Can perform the task under supervision and is building towards independent competence.</w:t>
            </w:r>
          </w:p>
        </w:tc>
        <w:tc>
          <w:tcPr>
            <w:tcW w:type="dxa" w:w="30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Supervised practice records, partial qualification, training in progress.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Competent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Can perform the task independently to the required standard, consistently and without supervision.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Qualification certificate, sign off by an assessor, completed competence assessment.</w:t>
            </w:r>
          </w:p>
        </w:tc>
      </w:tr>
      <w:tr>
        <w:tc>
          <w:tcPr>
            <w:tcW w:type="dxa" w:w="18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bCs/>
                <w:color w:val="001E3C"/>
                <w:sz w:val="20"/>
                <w:szCs w:val="20"/>
              </w:rPr>
              <w:t xml:space="preserve">Expert / Assessor</w:t>
            </w:r>
          </w:p>
        </w:tc>
        <w:tc>
          <w:tcPr>
            <w:tcW w:type="dxa" w:w="4226"/>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Performs the task to a high standard and is capable of training, assessing or mentoring others.</w:t>
            </w:r>
          </w:p>
        </w:tc>
        <w:tc>
          <w:tcPr>
            <w:tcW w:type="dxa" w:w="3000"/>
            <w:tcBorders>
              <w:top w:val="single" w:color="CCCCCC" w:sz="1"/>
              <w:left w:val="single" w:color="CCCCCC" w:sz="1"/>
              <w:bottom w:val="single" w:color="CCCCCC" w:sz="1"/>
              <w:right w:val="single" w:color="CCCCCC" w:sz="1"/>
            </w:tcBorders>
            <w:shd w:fill="E5F5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Train the trainer certification, assessor qualification, record of mentoring activity.</w:t>
            </w:r>
          </w:p>
        </w:tc>
      </w:tr>
    </w:tbl>
    <w:p>
      <w:pPr>
        <w:pStyle w:val="Heading2"/>
        <w:spacing w:after="160" w:before="260"/>
      </w:pPr>
      <w:r>
        <w:rPr>
          <w:rFonts w:ascii="Arial" w:cs="Arial" w:eastAsia="Arial" w:hAnsi="Arial"/>
          <w:b/>
          <w:bCs/>
          <w:color w:val="009FE3"/>
          <w:sz w:val="26"/>
          <w:szCs w:val="26"/>
        </w:rPr>
        <w:t xml:space="preserve">3.3 Role Specific Competence Criteria: Worked Examples</w:t>
      </w:r>
    </w:p>
    <w:p>
      <w:pPr>
        <w:spacing w:after="160" w:before="80"/>
        <w:jc w:val="left"/>
      </w:pPr>
      <w:r>
        <w:rPr>
          <w:rFonts w:ascii="Arial" w:cs="Arial" w:eastAsia="Arial" w:hAnsi="Arial"/>
          <w:b w:val="false"/>
          <w:bCs w:val="false"/>
          <w:i w:val="false"/>
          <w:iCs w:val="false"/>
          <w:color w:val="000000"/>
          <w:sz w:val="22"/>
          <w:szCs w:val="22"/>
        </w:rPr>
        <w:t xml:space="preserve">The following examples show how competence requirements translate into practical criteria for common nuclear supply chain roles. Adapt these to your own processes, codes and customer requirements rather than adopting them unchanged.</w:t>
      </w:r>
    </w:p>
    <w:p>
      <w:pPr>
        <w:spacing w:after="120" w:before="200"/>
      </w:pPr>
      <w:r>
        <w:rPr>
          <w:rFonts w:ascii="Arial" w:cs="Arial" w:eastAsia="Arial" w:hAnsi="Arial"/>
          <w:b/>
          <w:bCs/>
          <w:color w:val="001E3C"/>
          <w:sz w:val="23"/>
          <w:szCs w:val="23"/>
        </w:rPr>
        <w:t xml:space="preserve">Welding Personnel</w:t>
      </w:r>
    </w:p>
    <w:p>
      <w:pPr>
        <w:pStyle w:val="ListParagraph"/>
        <w:numPr>
          <w:ilvl w:val="0"/>
          <w:numId w:val="2"/>
        </w:numPr>
        <w:spacing w:after="80" w:before="40"/>
      </w:pPr>
      <w:r>
        <w:rPr>
          <w:rFonts w:ascii="Arial" w:cs="Arial" w:eastAsia="Arial" w:hAnsi="Arial"/>
          <w:b w:val="false"/>
          <w:bCs w:val="false"/>
          <w:sz w:val="22"/>
          <w:szCs w:val="22"/>
        </w:rPr>
        <w:t xml:space="preserve">Valid welder qualification to the relevant standard (for example ISO 9606 or ASME IX) for the process, material and position being welded</w:t>
      </w:r>
    </w:p>
    <w:p>
      <w:pPr>
        <w:pStyle w:val="ListParagraph"/>
        <w:numPr>
          <w:ilvl w:val="0"/>
          <w:numId w:val="2"/>
        </w:numPr>
        <w:spacing w:after="80" w:before="40"/>
      </w:pPr>
      <w:r>
        <w:rPr>
          <w:rFonts w:ascii="Arial" w:cs="Arial" w:eastAsia="Arial" w:hAnsi="Arial"/>
          <w:b w:val="false"/>
          <w:bCs w:val="false"/>
          <w:sz w:val="22"/>
          <w:szCs w:val="22"/>
        </w:rPr>
        <w:t xml:space="preserve">Evidence of continuity of welding within the qualification's validity period, typically demonstrated every six months</w:t>
      </w:r>
    </w:p>
    <w:p>
      <w:pPr>
        <w:pStyle w:val="ListParagraph"/>
        <w:numPr>
          <w:ilvl w:val="0"/>
          <w:numId w:val="2"/>
        </w:numPr>
        <w:spacing w:after="80" w:before="40"/>
      </w:pPr>
      <w:r>
        <w:rPr>
          <w:rFonts w:ascii="Arial" w:cs="Arial" w:eastAsia="Arial" w:hAnsi="Arial"/>
          <w:b w:val="false"/>
          <w:bCs w:val="false"/>
          <w:sz w:val="22"/>
          <w:szCs w:val="22"/>
        </w:rPr>
        <w:t xml:space="preserve">Familiarity with the specific Welding Procedure Specification (WPS) being applied</w:t>
      </w:r>
    </w:p>
    <w:p>
      <w:pPr>
        <w:pStyle w:val="ListParagraph"/>
        <w:numPr>
          <w:ilvl w:val="0"/>
          <w:numId w:val="2"/>
        </w:numPr>
        <w:spacing w:after="80" w:before="40"/>
      </w:pPr>
      <w:r>
        <w:rPr>
          <w:rFonts w:ascii="Arial" w:cs="Arial" w:eastAsia="Arial" w:hAnsi="Arial"/>
          <w:b w:val="false"/>
          <w:bCs w:val="false"/>
          <w:sz w:val="22"/>
          <w:szCs w:val="22"/>
        </w:rPr>
        <w:t xml:space="preserve">Awareness of CFSI risks associated with consumables and filler materials</w:t>
      </w:r>
    </w:p>
    <w:p>
      <w:pPr>
        <w:spacing w:after="120" w:before="200"/>
      </w:pPr>
      <w:r>
        <w:rPr>
          <w:rFonts w:ascii="Arial" w:cs="Arial" w:eastAsia="Arial" w:hAnsi="Arial"/>
          <w:b/>
          <w:bCs/>
          <w:color w:val="001E3C"/>
          <w:sz w:val="23"/>
          <w:szCs w:val="23"/>
        </w:rPr>
        <w:t xml:space="preserve">NDE / NDT Inspectors</w:t>
      </w:r>
    </w:p>
    <w:p>
      <w:pPr>
        <w:pStyle w:val="ListParagraph"/>
        <w:numPr>
          <w:ilvl w:val="0"/>
          <w:numId w:val="2"/>
        </w:numPr>
        <w:spacing w:after="80" w:before="40"/>
      </w:pPr>
      <w:r>
        <w:rPr>
          <w:rFonts w:ascii="Arial" w:cs="Arial" w:eastAsia="Arial" w:hAnsi="Arial"/>
          <w:b w:val="false"/>
          <w:bCs w:val="false"/>
          <w:sz w:val="22"/>
          <w:szCs w:val="22"/>
        </w:rPr>
        <w:t xml:space="preserve">Certification to the appropriate level (for example PCN or ISO 9712 Level 1, 2 or 3) for the method and technique being applied</w:t>
      </w:r>
    </w:p>
    <w:p>
      <w:pPr>
        <w:pStyle w:val="ListParagraph"/>
        <w:numPr>
          <w:ilvl w:val="0"/>
          <w:numId w:val="2"/>
        </w:numPr>
        <w:spacing w:after="80" w:before="40"/>
      </w:pPr>
      <w:r>
        <w:rPr>
          <w:rFonts w:ascii="Arial" w:cs="Arial" w:eastAsia="Arial" w:hAnsi="Arial"/>
          <w:b w:val="false"/>
          <w:bCs w:val="false"/>
          <w:sz w:val="22"/>
          <w:szCs w:val="22"/>
        </w:rPr>
        <w:t xml:space="preserve">Evidence of vision testing carried out within the required period</w:t>
      </w:r>
    </w:p>
    <w:p>
      <w:pPr>
        <w:pStyle w:val="ListParagraph"/>
        <w:numPr>
          <w:ilvl w:val="0"/>
          <w:numId w:val="2"/>
        </w:numPr>
        <w:spacing w:after="80" w:before="40"/>
      </w:pPr>
      <w:r>
        <w:rPr>
          <w:rFonts w:ascii="Arial" w:cs="Arial" w:eastAsia="Arial" w:hAnsi="Arial"/>
          <w:b w:val="false"/>
          <w:bCs w:val="false"/>
          <w:sz w:val="22"/>
          <w:szCs w:val="22"/>
        </w:rPr>
        <w:t xml:space="preserve">Demonstrated independence from the personnel who performed the work being inspected</w:t>
      </w:r>
    </w:p>
    <w:p>
      <w:pPr>
        <w:pStyle w:val="ListParagraph"/>
        <w:numPr>
          <w:ilvl w:val="0"/>
          <w:numId w:val="2"/>
        </w:numPr>
        <w:spacing w:after="80" w:before="40"/>
      </w:pPr>
      <w:r>
        <w:rPr>
          <w:rFonts w:ascii="Arial" w:cs="Arial" w:eastAsia="Arial" w:hAnsi="Arial"/>
          <w:b w:val="false"/>
          <w:bCs w:val="false"/>
          <w:sz w:val="22"/>
          <w:szCs w:val="22"/>
        </w:rPr>
        <w:t xml:space="preserve">Up to date knowledge of the relevant acceptance criteria and reporting requirements</w:t>
      </w:r>
    </w:p>
    <w:p>
      <w:pPr>
        <w:spacing w:after="120" w:before="200"/>
      </w:pPr>
      <w:r>
        <w:rPr>
          <w:rFonts w:ascii="Arial" w:cs="Arial" w:eastAsia="Arial" w:hAnsi="Arial"/>
          <w:b/>
          <w:bCs/>
          <w:color w:val="001E3C"/>
          <w:sz w:val="23"/>
          <w:szCs w:val="23"/>
        </w:rPr>
        <w:t xml:space="preserve">Quality and Inspection Personnel</w:t>
      </w:r>
    </w:p>
    <w:p>
      <w:pPr>
        <w:pStyle w:val="ListParagraph"/>
        <w:numPr>
          <w:ilvl w:val="0"/>
          <w:numId w:val="2"/>
        </w:numPr>
        <w:spacing w:after="80" w:before="40"/>
      </w:pPr>
      <w:r>
        <w:rPr>
          <w:rFonts w:ascii="Arial" w:cs="Arial" w:eastAsia="Arial" w:hAnsi="Arial"/>
          <w:b w:val="false"/>
          <w:bCs w:val="false"/>
          <w:sz w:val="22"/>
          <w:szCs w:val="22"/>
        </w:rPr>
        <w:t xml:space="preserve">Working knowledge of the applicable quality management standard (ISO 9001, ISO 19443) and how it applies to their role</w:t>
      </w:r>
    </w:p>
    <w:p>
      <w:pPr>
        <w:pStyle w:val="ListParagraph"/>
        <w:numPr>
          <w:ilvl w:val="0"/>
          <w:numId w:val="2"/>
        </w:numPr>
        <w:spacing w:after="80" w:before="40"/>
      </w:pPr>
      <w:r>
        <w:rPr>
          <w:rFonts w:ascii="Arial" w:cs="Arial" w:eastAsia="Arial" w:hAnsi="Arial"/>
          <w:b w:val="false"/>
          <w:bCs w:val="false"/>
          <w:sz w:val="22"/>
          <w:szCs w:val="22"/>
        </w:rPr>
        <w:t xml:space="preserve">Training in non-conformance identification, recording and escalation</w:t>
      </w:r>
    </w:p>
    <w:p>
      <w:pPr>
        <w:pStyle w:val="ListParagraph"/>
        <w:numPr>
          <w:ilvl w:val="0"/>
          <w:numId w:val="2"/>
        </w:numPr>
        <w:spacing w:after="80" w:before="40"/>
      </w:pPr>
      <w:r>
        <w:rPr>
          <w:rFonts w:ascii="Arial" w:cs="Arial" w:eastAsia="Arial" w:hAnsi="Arial"/>
          <w:b w:val="false"/>
          <w:bCs w:val="false"/>
          <w:sz w:val="22"/>
          <w:szCs w:val="22"/>
        </w:rPr>
        <w:t xml:space="preserve">Understanding of traceability requirements and CFSI warning signs</w:t>
      </w:r>
    </w:p>
    <w:p>
      <w:pPr>
        <w:pStyle w:val="ListParagraph"/>
        <w:numPr>
          <w:ilvl w:val="0"/>
          <w:numId w:val="2"/>
        </w:numPr>
        <w:spacing w:after="80" w:before="40"/>
      </w:pPr>
      <w:r>
        <w:rPr>
          <w:rFonts w:ascii="Arial" w:cs="Arial" w:eastAsia="Arial" w:hAnsi="Arial"/>
          <w:b w:val="false"/>
          <w:bCs w:val="false"/>
          <w:sz w:val="22"/>
          <w:szCs w:val="22"/>
        </w:rPr>
        <w:t xml:space="preserve">Familiarity with customer specific Inspection and Test Plans (ITPs) where applicable</w:t>
      </w:r>
    </w:p>
    <w:p>
      <w:pPr>
        <w:spacing w:after="120" w:before="200"/>
      </w:pPr>
      <w:r>
        <w:rPr>
          <w:rFonts w:ascii="Arial" w:cs="Arial" w:eastAsia="Arial" w:hAnsi="Arial"/>
          <w:b/>
          <w:bCs/>
          <w:color w:val="001E3C"/>
          <w:sz w:val="23"/>
          <w:szCs w:val="23"/>
        </w:rPr>
        <w:t xml:space="preserve">Procurement and Goods Receipt Personnel</w:t>
      </w:r>
    </w:p>
    <w:p>
      <w:pPr>
        <w:pStyle w:val="ListParagraph"/>
        <w:numPr>
          <w:ilvl w:val="0"/>
          <w:numId w:val="2"/>
        </w:numPr>
        <w:spacing w:after="80" w:before="40"/>
      </w:pPr>
      <w:r>
        <w:rPr>
          <w:rFonts w:ascii="Arial" w:cs="Arial" w:eastAsia="Arial" w:hAnsi="Arial"/>
          <w:b w:val="false"/>
          <w:bCs w:val="false"/>
          <w:sz w:val="22"/>
          <w:szCs w:val="22"/>
        </w:rPr>
        <w:t xml:space="preserve">Understanding of supplier approval and surveillance requirements for nuclear work</w:t>
      </w:r>
    </w:p>
    <w:p>
      <w:pPr>
        <w:pStyle w:val="ListParagraph"/>
        <w:numPr>
          <w:ilvl w:val="0"/>
          <w:numId w:val="2"/>
        </w:numPr>
        <w:spacing w:after="80" w:before="40"/>
      </w:pPr>
      <w:r>
        <w:rPr>
          <w:rFonts w:ascii="Arial" w:cs="Arial" w:eastAsia="Arial" w:hAnsi="Arial"/>
          <w:b w:val="false"/>
          <w:bCs w:val="false"/>
          <w:sz w:val="22"/>
          <w:szCs w:val="22"/>
        </w:rPr>
        <w:t xml:space="preserve">Training in CFSI warning signs at the point of purchasing and goods receipt</w:t>
      </w:r>
    </w:p>
    <w:p>
      <w:pPr>
        <w:pStyle w:val="ListParagraph"/>
        <w:numPr>
          <w:ilvl w:val="0"/>
          <w:numId w:val="2"/>
        </w:numPr>
        <w:spacing w:after="80" w:before="40"/>
      </w:pPr>
      <w:r>
        <w:rPr>
          <w:rFonts w:ascii="Arial" w:cs="Arial" w:eastAsia="Arial" w:hAnsi="Arial"/>
          <w:b w:val="false"/>
          <w:bCs w:val="false"/>
          <w:sz w:val="22"/>
          <w:szCs w:val="22"/>
        </w:rPr>
        <w:t xml:space="preserve">Awareness of documentation and certification requirements that must accompany incoming materials</w:t>
      </w:r>
    </w:p>
    <w:p>
      <w:pPr>
        <w:spacing w:after="120" w:before="200"/>
      </w:pPr>
      <w:r>
        <w:rPr>
          <w:rFonts w:ascii="Arial" w:cs="Arial" w:eastAsia="Arial" w:hAnsi="Arial"/>
          <w:b/>
          <w:bCs/>
          <w:color w:val="001E3C"/>
          <w:sz w:val="23"/>
          <w:szCs w:val="23"/>
        </w:rPr>
        <w:t xml:space="preserve">Supervisors and Team Leaders</w:t>
      </w:r>
    </w:p>
    <w:p>
      <w:pPr>
        <w:pStyle w:val="ListParagraph"/>
        <w:numPr>
          <w:ilvl w:val="0"/>
          <w:numId w:val="2"/>
        </w:numPr>
        <w:spacing w:after="80" w:before="40"/>
      </w:pPr>
      <w:r>
        <w:rPr>
          <w:rFonts w:ascii="Arial" w:cs="Arial" w:eastAsia="Arial" w:hAnsi="Arial"/>
          <w:b w:val="false"/>
          <w:bCs w:val="false"/>
          <w:sz w:val="22"/>
          <w:szCs w:val="22"/>
        </w:rPr>
        <w:t xml:space="preserve">Understanding of the competence requirements of the team they supervise, sufficient to judge whether work can be signed off</w:t>
      </w:r>
    </w:p>
    <w:p>
      <w:pPr>
        <w:pStyle w:val="ListParagraph"/>
        <w:numPr>
          <w:ilvl w:val="0"/>
          <w:numId w:val="2"/>
        </w:numPr>
        <w:spacing w:after="80" w:before="40"/>
      </w:pPr>
      <w:r>
        <w:rPr>
          <w:rFonts w:ascii="Arial" w:cs="Arial" w:eastAsia="Arial" w:hAnsi="Arial"/>
          <w:b w:val="false"/>
          <w:bCs w:val="false"/>
          <w:sz w:val="22"/>
          <w:szCs w:val="22"/>
        </w:rPr>
        <w:t xml:space="preserve">Training in safety culture leadership behaviours, including encouraging a questioning attitude and challenge</w:t>
      </w:r>
    </w:p>
    <w:p>
      <w:pPr>
        <w:pStyle w:val="ListParagraph"/>
        <w:numPr>
          <w:ilvl w:val="0"/>
          <w:numId w:val="2"/>
        </w:numPr>
        <w:spacing w:after="80" w:before="40"/>
      </w:pPr>
      <w:r>
        <w:rPr>
          <w:rFonts w:ascii="Arial" w:cs="Arial" w:eastAsia="Arial" w:hAnsi="Arial"/>
          <w:b w:val="false"/>
          <w:bCs w:val="false"/>
          <w:sz w:val="22"/>
          <w:szCs w:val="22"/>
        </w:rPr>
        <w:t xml:space="preserve">Awareness of escalation routes for competence concerns or near misses</w:t>
      </w:r>
    </w:p>
    <w:p>
      <w:pPr>
        <w:pStyle w:val="Heading1"/>
        <w:spacing w:after="200" w:before="360"/>
      </w:pPr>
      <w:r>
        <w:rPr>
          <w:rFonts w:ascii="Arial" w:cs="Arial" w:eastAsia="Arial" w:hAnsi="Arial"/>
          <w:b/>
          <w:bCs/>
          <w:color w:val="83348F"/>
          <w:sz w:val="32"/>
          <w:szCs w:val="32"/>
        </w:rPr>
        <w:t xml:space="preserve">4. Assessing Competence</w:t>
      </w:r>
    </w:p>
    <w:p>
      <w:pPr>
        <w:spacing w:after="160" w:before="80"/>
        <w:jc w:val="left"/>
      </w:pPr>
      <w:r>
        <w:rPr>
          <w:rFonts w:ascii="Arial" w:cs="Arial" w:eastAsia="Arial" w:hAnsi="Arial"/>
          <w:b w:val="false"/>
          <w:bCs w:val="false"/>
          <w:i w:val="false"/>
          <w:iCs w:val="false"/>
          <w:color w:val="000000"/>
          <w:sz w:val="22"/>
          <w:szCs w:val="22"/>
        </w:rPr>
        <w:t xml:space="preserve">Assessment is the process of confirming, with evidence, that an individual has reached the required competence level for their role. It should never rely on self declaration alone.</w:t>
      </w:r>
    </w:p>
    <w:p>
      <w:pPr>
        <w:pStyle w:val="Heading2"/>
        <w:spacing w:after="160" w:before="260"/>
      </w:pPr>
      <w:r>
        <w:rPr>
          <w:rFonts w:ascii="Arial" w:cs="Arial" w:eastAsia="Arial" w:hAnsi="Arial"/>
          <w:b/>
          <w:bCs/>
          <w:color w:val="009FE3"/>
          <w:sz w:val="26"/>
          <w:szCs w:val="26"/>
        </w:rPr>
        <w:t xml:space="preserve">4.1 Assessment Methods</w:t>
      </w:r>
    </w:p>
    <w:p>
      <w:pPr>
        <w:pStyle w:val="ListParagraph"/>
        <w:numPr>
          <w:ilvl w:val="0"/>
          <w:numId w:val="2"/>
        </w:numPr>
        <w:spacing w:after="80" w:before="40"/>
      </w:pPr>
      <w:r>
        <w:rPr>
          <w:rFonts w:ascii="Arial" w:cs="Arial" w:eastAsia="Arial" w:hAnsi="Arial"/>
          <w:b w:val="false"/>
          <w:bCs w:val="false"/>
          <w:sz w:val="22"/>
          <w:szCs w:val="22"/>
        </w:rPr>
        <w:t xml:space="preserve">Direct observation of the task being performed against a checklist of required behaviours and outcomes</w:t>
      </w:r>
    </w:p>
    <w:p>
      <w:pPr>
        <w:pStyle w:val="ListParagraph"/>
        <w:numPr>
          <w:ilvl w:val="0"/>
          <w:numId w:val="2"/>
        </w:numPr>
        <w:spacing w:after="80" w:before="40"/>
      </w:pPr>
      <w:r>
        <w:rPr>
          <w:rFonts w:ascii="Arial" w:cs="Arial" w:eastAsia="Arial" w:hAnsi="Arial"/>
          <w:b w:val="false"/>
          <w:bCs w:val="false"/>
          <w:sz w:val="22"/>
          <w:szCs w:val="22"/>
        </w:rPr>
        <w:t xml:space="preserve">Review of qualification certificates and confirmation they remain in date</w:t>
      </w:r>
    </w:p>
    <w:p>
      <w:pPr>
        <w:pStyle w:val="ListParagraph"/>
        <w:numPr>
          <w:ilvl w:val="0"/>
          <w:numId w:val="2"/>
        </w:numPr>
        <w:spacing w:after="80" w:before="40"/>
      </w:pPr>
      <w:r>
        <w:rPr>
          <w:rFonts w:ascii="Arial" w:cs="Arial" w:eastAsia="Arial" w:hAnsi="Arial"/>
          <w:b w:val="false"/>
          <w:bCs w:val="false"/>
          <w:sz w:val="22"/>
          <w:szCs w:val="22"/>
        </w:rPr>
        <w:t xml:space="preserve">Practical test or examination, where relevant to the task</w:t>
      </w:r>
    </w:p>
    <w:p>
      <w:pPr>
        <w:pStyle w:val="ListParagraph"/>
        <w:numPr>
          <w:ilvl w:val="0"/>
          <w:numId w:val="2"/>
        </w:numPr>
        <w:spacing w:after="80" w:before="40"/>
      </w:pPr>
      <w:r>
        <w:rPr>
          <w:rFonts w:ascii="Arial" w:cs="Arial" w:eastAsia="Arial" w:hAnsi="Arial"/>
          <w:b w:val="false"/>
          <w:bCs w:val="false"/>
          <w:sz w:val="22"/>
          <w:szCs w:val="22"/>
        </w:rPr>
        <w:t xml:space="preserve">Review of work outputs over a defined period, such as inspection records, weld logs, or non-conformance rates</w:t>
      </w:r>
    </w:p>
    <w:p>
      <w:pPr>
        <w:pStyle w:val="ListParagraph"/>
        <w:numPr>
          <w:ilvl w:val="0"/>
          <w:numId w:val="2"/>
        </w:numPr>
        <w:spacing w:after="80" w:before="40"/>
      </w:pPr>
      <w:r>
        <w:rPr>
          <w:rFonts w:ascii="Arial" w:cs="Arial" w:eastAsia="Arial" w:hAnsi="Arial"/>
          <w:b w:val="false"/>
          <w:bCs w:val="false"/>
          <w:sz w:val="22"/>
          <w:szCs w:val="22"/>
        </w:rPr>
        <w:t xml:space="preserve">Structured discussion or interview to confirm understanding of procedures, standards and escalation routes</w:t>
      </w:r>
    </w:p>
    <w:p>
      <w:pPr>
        <w:pStyle w:val="Heading2"/>
        <w:spacing w:after="160" w:before="260"/>
      </w:pPr>
      <w:r>
        <w:rPr>
          <w:rFonts w:ascii="Arial" w:cs="Arial" w:eastAsia="Arial" w:hAnsi="Arial"/>
          <w:b/>
          <w:bCs/>
          <w:color w:val="009FE3"/>
          <w:sz w:val="26"/>
          <w:szCs w:val="26"/>
        </w:rPr>
        <w:t xml:space="preserve">4.2 Assessing Training Effectiveness</w:t>
      </w:r>
    </w:p>
    <w:p>
      <w:pPr>
        <w:spacing w:after="160" w:before="80"/>
        <w:jc w:val="left"/>
      </w:pPr>
      <w:r>
        <w:rPr>
          <w:rFonts w:ascii="Arial" w:cs="Arial" w:eastAsia="Arial" w:hAnsi="Arial"/>
          <w:b w:val="false"/>
          <w:bCs w:val="false"/>
          <w:i w:val="false"/>
          <w:iCs w:val="false"/>
          <w:color w:val="000000"/>
          <w:sz w:val="22"/>
          <w:szCs w:val="22"/>
        </w:rPr>
        <w:t xml:space="preserve">Completing a training course is not the same as becoming competent. Effective competence management checks that training has actually changed what people know and do. Useful methods include:</w:t>
      </w:r>
    </w:p>
    <w:p>
      <w:pPr>
        <w:pStyle w:val="ListParagraph"/>
        <w:numPr>
          <w:ilvl w:val="0"/>
          <w:numId w:val="2"/>
        </w:numPr>
        <w:spacing w:after="80" w:before="40"/>
      </w:pPr>
      <w:r>
        <w:rPr>
          <w:rFonts w:ascii="Arial" w:cs="Arial" w:eastAsia="Arial" w:hAnsi="Arial"/>
          <w:b w:val="false"/>
          <w:bCs w:val="false"/>
          <w:sz w:val="22"/>
          <w:szCs w:val="22"/>
        </w:rPr>
        <w:t xml:space="preserve">Short knowledge checks immediately after training, to confirm key points have been retained</w:t>
      </w:r>
    </w:p>
    <w:p>
      <w:pPr>
        <w:pStyle w:val="ListParagraph"/>
        <w:numPr>
          <w:ilvl w:val="0"/>
          <w:numId w:val="2"/>
        </w:numPr>
        <w:spacing w:after="80" w:before="40"/>
      </w:pPr>
      <w:r>
        <w:rPr>
          <w:rFonts w:ascii="Arial" w:cs="Arial" w:eastAsia="Arial" w:hAnsi="Arial"/>
          <w:b w:val="false"/>
          <w:bCs w:val="false"/>
          <w:sz w:val="22"/>
          <w:szCs w:val="22"/>
        </w:rPr>
        <w:t xml:space="preserve">Follow up observation in the workplace, typically four to twelve weeks after training, to confirm the behaviour is being applied</w:t>
      </w:r>
    </w:p>
    <w:p>
      <w:pPr>
        <w:pStyle w:val="ListParagraph"/>
        <w:numPr>
          <w:ilvl w:val="0"/>
          <w:numId w:val="2"/>
        </w:numPr>
        <w:spacing w:after="80" w:before="40"/>
      </w:pPr>
      <w:r>
        <w:rPr>
          <w:rFonts w:ascii="Arial" w:cs="Arial" w:eastAsia="Arial" w:hAnsi="Arial"/>
          <w:b w:val="false"/>
          <w:bCs w:val="false"/>
          <w:sz w:val="22"/>
          <w:szCs w:val="22"/>
        </w:rPr>
        <w:t xml:space="preserve">Tracking of relevant performance indicators before and after training, such as non-conformance rates, near miss reporting, or rework levels</w:t>
      </w:r>
    </w:p>
    <w:p>
      <w:pPr>
        <w:pStyle w:val="ListParagraph"/>
        <w:numPr>
          <w:ilvl w:val="0"/>
          <w:numId w:val="2"/>
        </w:numPr>
        <w:spacing w:after="80" w:before="40"/>
      </w:pPr>
      <w:r>
        <w:rPr>
          <w:rFonts w:ascii="Arial" w:cs="Arial" w:eastAsia="Arial" w:hAnsi="Arial"/>
          <w:b w:val="false"/>
          <w:bCs w:val="false"/>
          <w:sz w:val="22"/>
          <w:szCs w:val="22"/>
        </w:rPr>
        <w:t xml:space="preserve">Feedback from supervisors and peers on observed changes in practice</w:t>
      </w:r>
    </w:p>
    <w:p>
      <w:pPr>
        <w:pStyle w:val="Heading1"/>
        <w:spacing w:after="200" w:before="360"/>
      </w:pPr>
      <w:r>
        <w:rPr>
          <w:rFonts w:ascii="Arial" w:cs="Arial" w:eastAsia="Arial" w:hAnsi="Arial"/>
          <w:b/>
          <w:bCs/>
          <w:color w:val="83348F"/>
          <w:sz w:val="32"/>
          <w:szCs w:val="32"/>
        </w:rPr>
        <w:t xml:space="preserve">5. Closing Competence Gaps</w:t>
      </w:r>
    </w:p>
    <w:p>
      <w:pPr>
        <w:spacing w:after="160" w:before="80"/>
        <w:jc w:val="left"/>
      </w:pPr>
      <w:r>
        <w:rPr>
          <w:rFonts w:ascii="Arial" w:cs="Arial" w:eastAsia="Arial" w:hAnsi="Arial"/>
          <w:b w:val="false"/>
          <w:bCs w:val="false"/>
          <w:i w:val="false"/>
          <w:iCs w:val="false"/>
          <w:color w:val="000000"/>
          <w:sz w:val="22"/>
          <w:szCs w:val="22"/>
        </w:rPr>
        <w:t xml:space="preserve">Once a gap between required and actual competence is identified, it should be addressed through a documented plan rather than left informally. The accompanying Nuclear Training Plan Template provides the structure for this: the specific gap, the training or development action chosen to close it, who will deliver it, the target completion date, and how its effectiveness will be reviewed once complete.</w:t>
      </w:r>
    </w:p>
    <w:p>
      <w:pPr>
        <w:spacing w:after="160" w:before="80"/>
        <w:jc w:val="left"/>
      </w:pPr>
      <w:r>
        <w:rPr>
          <w:rFonts w:ascii="Arial" w:cs="Arial" w:eastAsia="Arial" w:hAnsi="Arial"/>
          <w:b w:val="false"/>
          <w:bCs w:val="false"/>
          <w:i w:val="false"/>
          <w:iCs w:val="false"/>
          <w:color w:val="000000"/>
          <w:sz w:val="22"/>
          <w:szCs w:val="22"/>
        </w:rPr>
        <w:t xml:space="preserve">Where a competence gap relates to a task that is safety significant, work should not be signed off as independently competent until the gap is closed and verified. Interim controls, such as enhanced supervision or independent verification of outputs, should be applied and recorded while the gap remains open.</w:t>
      </w:r>
    </w:p>
    <w:p>
      <w:pPr>
        <w:pStyle w:val="Heading1"/>
        <w:spacing w:after="200" w:before="360"/>
      </w:pPr>
      <w:r>
        <w:rPr>
          <w:rFonts w:ascii="Arial" w:cs="Arial" w:eastAsia="Arial" w:hAnsi="Arial"/>
          <w:b/>
          <w:bCs/>
          <w:color w:val="83348F"/>
          <w:sz w:val="32"/>
          <w:szCs w:val="32"/>
        </w:rPr>
        <w:t xml:space="preserve">6. Maintaining Competence Over Time</w:t>
      </w:r>
    </w:p>
    <w:p>
      <w:pPr>
        <w:pStyle w:val="Heading2"/>
        <w:spacing w:after="160" w:before="260"/>
      </w:pPr>
      <w:r>
        <w:rPr>
          <w:rFonts w:ascii="Arial" w:cs="Arial" w:eastAsia="Arial" w:hAnsi="Arial"/>
          <w:b/>
          <w:bCs/>
          <w:color w:val="009FE3"/>
          <w:sz w:val="26"/>
          <w:szCs w:val="26"/>
        </w:rPr>
        <w:t xml:space="preserve">6.1 Triggers for Re-Assessment</w:t>
      </w:r>
    </w:p>
    <w:p>
      <w:pPr>
        <w:spacing w:after="160" w:before="80"/>
        <w:jc w:val="left"/>
      </w:pPr>
      <w:r>
        <w:rPr>
          <w:rFonts w:ascii="Arial" w:cs="Arial" w:eastAsia="Arial" w:hAnsi="Arial"/>
          <w:b w:val="false"/>
          <w:bCs w:val="false"/>
          <w:i w:val="false"/>
          <w:iCs w:val="false"/>
          <w:color w:val="000000"/>
          <w:sz w:val="22"/>
          <w:szCs w:val="22"/>
        </w:rPr>
        <w:t xml:space="preserve">Competence is not a one-time achievement. It should be reviewed whenever any of the following occur:</w:t>
      </w:r>
    </w:p>
    <w:p>
      <w:pPr>
        <w:pStyle w:val="ListParagraph"/>
        <w:numPr>
          <w:ilvl w:val="0"/>
          <w:numId w:val="2"/>
        </w:numPr>
        <w:spacing w:after="80" w:before="40"/>
      </w:pPr>
      <w:r>
        <w:rPr>
          <w:rFonts w:ascii="Arial" w:cs="Arial" w:eastAsia="Arial" w:hAnsi="Arial"/>
          <w:b w:val="false"/>
          <w:bCs w:val="false"/>
          <w:sz w:val="22"/>
          <w:szCs w:val="22"/>
        </w:rPr>
        <w:t xml:space="preserve">A qualification or certification approaches its expiry date</w:t>
      </w:r>
    </w:p>
    <w:p>
      <w:pPr>
        <w:pStyle w:val="ListParagraph"/>
        <w:numPr>
          <w:ilvl w:val="0"/>
          <w:numId w:val="2"/>
        </w:numPr>
        <w:spacing w:after="80" w:before="40"/>
      </w:pPr>
      <w:r>
        <w:rPr>
          <w:rFonts w:ascii="Arial" w:cs="Arial" w:eastAsia="Arial" w:hAnsi="Arial"/>
          <w:b w:val="false"/>
          <w:bCs w:val="false"/>
          <w:sz w:val="22"/>
          <w:szCs w:val="22"/>
        </w:rPr>
        <w:t xml:space="preserve">A procedure, standard or customer specification changes in a way that affects how the task is performed</w:t>
      </w:r>
    </w:p>
    <w:p>
      <w:pPr>
        <w:pStyle w:val="ListParagraph"/>
        <w:numPr>
          <w:ilvl w:val="0"/>
          <w:numId w:val="2"/>
        </w:numPr>
        <w:spacing w:after="80" w:before="40"/>
      </w:pPr>
      <w:r>
        <w:rPr>
          <w:rFonts w:ascii="Arial" w:cs="Arial" w:eastAsia="Arial" w:hAnsi="Arial"/>
          <w:b w:val="false"/>
          <w:bCs w:val="false"/>
          <w:sz w:val="22"/>
          <w:szCs w:val="22"/>
        </w:rPr>
        <w:t xml:space="preserve">An individual returns to a task after an extended absence</w:t>
      </w:r>
    </w:p>
    <w:p>
      <w:pPr>
        <w:pStyle w:val="ListParagraph"/>
        <w:numPr>
          <w:ilvl w:val="0"/>
          <w:numId w:val="2"/>
        </w:numPr>
        <w:spacing w:after="80" w:before="40"/>
      </w:pPr>
      <w:r>
        <w:rPr>
          <w:rFonts w:ascii="Arial" w:cs="Arial" w:eastAsia="Arial" w:hAnsi="Arial"/>
          <w:b w:val="false"/>
          <w:bCs w:val="false"/>
          <w:sz w:val="22"/>
          <w:szCs w:val="22"/>
        </w:rPr>
        <w:t xml:space="preserve">A non-conformance, near miss or audit finding raises a question about competence in a specific area</w:t>
      </w:r>
    </w:p>
    <w:p>
      <w:pPr>
        <w:pStyle w:val="ListParagraph"/>
        <w:numPr>
          <w:ilvl w:val="0"/>
          <w:numId w:val="2"/>
        </w:numPr>
        <w:spacing w:after="80" w:before="40"/>
      </w:pPr>
      <w:r>
        <w:rPr>
          <w:rFonts w:ascii="Arial" w:cs="Arial" w:eastAsia="Arial" w:hAnsi="Arial"/>
          <w:b w:val="false"/>
          <w:bCs w:val="false"/>
          <w:sz w:val="22"/>
          <w:szCs w:val="22"/>
        </w:rPr>
        <w:t xml:space="preserve">New equipment, technology or methods are introduced</w:t>
      </w:r>
    </w:p>
    <w:p>
      <w:pPr>
        <w:pStyle w:val="Heading2"/>
        <w:spacing w:after="160" w:before="260"/>
      </w:pPr>
      <w:r>
        <w:rPr>
          <w:rFonts w:ascii="Arial" w:cs="Arial" w:eastAsia="Arial" w:hAnsi="Arial"/>
          <w:b/>
          <w:bCs/>
          <w:color w:val="009FE3"/>
          <w:sz w:val="26"/>
          <w:szCs w:val="26"/>
        </w:rPr>
        <w:t xml:space="preserve">6.2 Succession and Resilience Planning</w:t>
      </w:r>
    </w:p>
    <w:p>
      <w:pPr>
        <w:spacing w:after="160" w:before="80"/>
        <w:jc w:val="left"/>
      </w:pPr>
      <w:r>
        <w:rPr>
          <w:rFonts w:ascii="Arial" w:cs="Arial" w:eastAsia="Arial" w:hAnsi="Arial"/>
          <w:b w:val="false"/>
          <w:bCs w:val="false"/>
          <w:i w:val="false"/>
          <w:iCs w:val="false"/>
          <w:color w:val="000000"/>
          <w:sz w:val="22"/>
          <w:szCs w:val="22"/>
        </w:rPr>
        <w:t xml:space="preserve">A competence framework should also protect the organisation against the loss of key skills. Identify roles where competence is concentrated in a small number of individuals and build development plans to widen that base, so a single departure, illness or retirement does not create a capability gap on safety significant work.</w:t>
      </w:r>
    </w:p>
    <w:p>
      <w:pPr>
        <w:pStyle w:val="Heading1"/>
        <w:spacing w:after="200" w:before="360"/>
      </w:pPr>
      <w:r>
        <w:rPr>
          <w:rFonts w:ascii="Arial" w:cs="Arial" w:eastAsia="Arial" w:hAnsi="Arial"/>
          <w:b/>
          <w:bCs/>
          <w:color w:val="83348F"/>
          <w:sz w:val="32"/>
          <w:szCs w:val="32"/>
        </w:rPr>
        <w:t xml:space="preserve">7. Governance and Records</w:t>
      </w:r>
    </w:p>
    <w:p>
      <w:pPr>
        <w:spacing w:after="160" w:before="80"/>
        <w:jc w:val="left"/>
      </w:pPr>
      <w:r>
        <w:rPr>
          <w:rFonts w:ascii="Arial" w:cs="Arial" w:eastAsia="Arial" w:hAnsi="Arial"/>
          <w:b w:val="false"/>
          <w:bCs w:val="false"/>
          <w:i w:val="false"/>
          <w:iCs w:val="false"/>
          <w:color w:val="000000"/>
          <w:sz w:val="22"/>
          <w:szCs w:val="22"/>
        </w:rPr>
        <w:t xml:space="preserve">Maintain a single, current source of competence records for the organisation, accessible to those who need to confirm a person is competent to carry out a task before work begins. This is normally the Competence Matrix and Training Register described in the accompanying Excel tool.</w:t>
      </w:r>
    </w:p>
    <w:p>
      <w:pPr>
        <w:pStyle w:val="ListParagraph"/>
        <w:numPr>
          <w:ilvl w:val="0"/>
          <w:numId w:val="2"/>
        </w:numPr>
        <w:spacing w:after="80" w:before="40"/>
      </w:pPr>
      <w:r>
        <w:rPr>
          <w:rFonts w:ascii="Arial" w:cs="Arial" w:eastAsia="Arial" w:hAnsi="Arial"/>
          <w:b w:val="false"/>
          <w:bCs w:val="false"/>
          <w:sz w:val="22"/>
          <w:szCs w:val="22"/>
        </w:rPr>
        <w:t xml:space="preserve">Review the competence matrix at a defined frequency, for example quarterly, as part of routine management review</w:t>
      </w:r>
    </w:p>
    <w:p>
      <w:pPr>
        <w:pStyle w:val="ListParagraph"/>
        <w:numPr>
          <w:ilvl w:val="0"/>
          <w:numId w:val="2"/>
        </w:numPr>
        <w:spacing w:after="80" w:before="40"/>
      </w:pPr>
      <w:r>
        <w:rPr>
          <w:rFonts w:ascii="Arial" w:cs="Arial" w:eastAsia="Arial" w:hAnsi="Arial"/>
          <w:b w:val="false"/>
          <w:bCs w:val="false"/>
          <w:sz w:val="22"/>
          <w:szCs w:val="22"/>
        </w:rPr>
        <w:t xml:space="preserve">Notify affected individuals and their supervisors in good time before a certification or qualification is due to expire</w:t>
      </w:r>
    </w:p>
    <w:p>
      <w:pPr>
        <w:pStyle w:val="ListParagraph"/>
        <w:numPr>
          <w:ilvl w:val="0"/>
          <w:numId w:val="2"/>
        </w:numPr>
        <w:spacing w:after="80" w:before="40"/>
      </w:pPr>
      <w:r>
        <w:rPr>
          <w:rFonts w:ascii="Arial" w:cs="Arial" w:eastAsia="Arial" w:hAnsi="Arial"/>
          <w:b w:val="false"/>
          <w:bCs w:val="false"/>
          <w:sz w:val="22"/>
          <w:szCs w:val="22"/>
        </w:rPr>
        <w:t xml:space="preserve">Retain training and assessment records for the period required by your quality management system and any applicable contractual or regulatory requirement</w:t>
      </w:r>
    </w:p>
    <w:p>
      <w:pPr>
        <w:pStyle w:val="ListParagraph"/>
        <w:numPr>
          <w:ilvl w:val="0"/>
          <w:numId w:val="2"/>
        </w:numPr>
        <w:spacing w:after="80" w:before="40"/>
      </w:pPr>
      <w:r>
        <w:rPr>
          <w:rFonts w:ascii="Arial" w:cs="Arial" w:eastAsia="Arial" w:hAnsi="Arial"/>
          <w:b w:val="false"/>
          <w:bCs w:val="false"/>
          <w:sz w:val="22"/>
          <w:szCs w:val="22"/>
        </w:rPr>
        <w:t xml:space="preserve">Report competence status as a standing item at SLT or QHSE governance meetings, particularly where gaps affect safety classified work</w:t>
      </w:r>
    </w:p>
    <w:p>
      <w:pPr>
        <w:pStyle w:val="Heading1"/>
        <w:spacing w:after="200" w:before="360"/>
      </w:pPr>
      <w:r>
        <w:rPr>
          <w:rFonts w:ascii="Arial" w:cs="Arial" w:eastAsia="Arial" w:hAnsi="Arial"/>
          <w:b/>
          <w:bCs/>
          <w:color w:val="83348F"/>
          <w:sz w:val="32"/>
          <w:szCs w:val="32"/>
        </w:rPr>
        <w:t xml:space="preserve">8. Summary</w:t>
      </w:r>
    </w:p>
    <w:p>
      <w:pPr>
        <w:spacing w:after="160" w:before="80"/>
        <w:jc w:val="left"/>
      </w:pPr>
      <w:r>
        <w:rPr>
          <w:rFonts w:ascii="Arial" w:cs="Arial" w:eastAsia="Arial" w:hAnsi="Arial"/>
          <w:b w:val="false"/>
          <w:bCs w:val="false"/>
          <w:i w:val="false"/>
          <w:iCs w:val="false"/>
          <w:color w:val="000000"/>
          <w:sz w:val="22"/>
          <w:szCs w:val="22"/>
        </w:rPr>
        <w:t xml:space="preserve">A nuclear competence framework only has value if it is used as a working tool. Define what competence looks like for each role, assess people against that definition with real evidence, close gaps through a recorded plan, and review competence regularly as people, procedures and technology change. Done well, this protects your people, your customers, and the safety case of the sites you supply.</w:t>
      </w:r>
    </w:p>
    <w:sectPr>
      <w:headerReference w:type="default" r:id="rId7"/>
      <w:headerReference w:type="first" r:id="rId8"/>
      <w:footerReference w:type="default" r:id="rId9"/>
      <w:footerReference w:type="first" r:id="rId10"/>
      <w:pgSz w:w="11906" w:h="16838" w:orient="portrait"/>
      <w:pgMar w:top="1440" w:right="1440" w:bottom="1440" w:left="1440" w:header="288" w:footer="28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8595B"/>
        <w:sz w:val="16"/>
      </w:rPr>
      <w:t xml:space="preserve">NucCol | Nuclear Collaboration Ltd  ·  Fit For Nuclear Programme  ·  Commercial in Confidence    |  QHSE-CO-02  |  Page </w:t>
    </w:r>
    <w:r>
      <w:fldChar w:fldCharType="begin"/>
    </w:r>
    <w:r>
      <w:instrText>PAGE</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xmlns:a="http://schemas.openxmlformats.org/drawingml/2006/main" xmlns:pic="http://schemas.openxmlformats.org/drawingml/2006/picture">
          <wp:extent cx="548640" cy="371564"/>
          <wp:docPr id="1" name="Picture 1"/>
          <wp:cNvGraphicFramePr>
            <a:graphicFrameLocks noChangeAspect="1"/>
          </wp:cNvGraphicFramePr>
          <a:graphic>
            <a:graphicData uri="http://schemas.openxmlformats.org/drawingml/2006/picture">
              <pic:pic>
                <pic:nvPicPr>
                  <pic:cNvPr id="0" name="f4n_logo.png"/>
                  <pic:cNvPicPr/>
                </pic:nvPicPr>
                <pic:blipFill>
                  <a:blip r:embed="rId1"/>
                  <a:stretch>
                    <a:fillRect/>
                  </a:stretch>
                </pic:blipFill>
                <pic:spPr>
                  <a:xfrm>
                    <a:off x="0" y="0"/>
                    <a:ext cx="548640" cy="371564"/>
                  </a:xfrm>
                  <a:prstGeom prst="rect"/>
                </pic:spPr>
              </pic:pic>
            </a:graphicData>
          </a:graphic>
        </wp:inline>
      </w:drawing>
    </w:r>
    <w:r>
      <w:t xml:space="preserve">  </w:t>
    </w:r>
    <w:r>
      <w:drawing>
        <wp:inline xmlns:a="http://schemas.openxmlformats.org/drawingml/2006/main" xmlns:pic="http://schemas.openxmlformats.org/drawingml/2006/picture">
          <wp:extent cx="685800" cy="685800"/>
          <wp:docPr id="2" name="Picture 2"/>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685800" cy="685800"/>
                  </a:xfrm>
                  <a:prstGeom prst="rect"/>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3348F"/>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009FE3"/>
      <w:sz w:val="26"/>
      <w:szCs w:val="26"/>
    </w:rPr>
  </w:style>
</w:style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21bc6a68ed6a46ab8e45c426301cd9c2334e9f56.jpg"/><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endnotes" Target="endnote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0" Type="http://schemas.openxmlformats.org/officeDocument/2006/relationships/image" Target="media/1242aebfaad8505de87039434673347ecc4b3b50.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D30C09B-9599-4E2D-89A0-C533975952DF}"/>
</file>

<file path=customXml/itemProps2.xml><?xml version="1.0" encoding="utf-8"?>
<ds:datastoreItem xmlns:ds="http://schemas.openxmlformats.org/officeDocument/2006/customXml" ds:itemID="{7F41324A-D8C8-4D85-915D-69BBB2B0A333}"/>
</file>

<file path=customXml/itemProps3.xml><?xml version="1.0" encoding="utf-8"?>
<ds:datastoreItem xmlns:ds="http://schemas.openxmlformats.org/officeDocument/2006/customXml" ds:itemID="{08310653-664C-4571-8DB5-13EEEC0016D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QHSE-CO-02 Nuclear QHSE Competence Framework</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