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jc w:val="center"/>
        <w:spacing w:before="600"/>
      </w:pPr>
      <w:r>
        <w:rPr>
          <w:rFonts w:ascii="Arial" w:hAnsi="Arial"/>
          <w:b/>
          <w:color w:val="009FE3"/>
          <w:sz w:val="44"/>
        </w:rPr>
        <w:t xml:space="preserve">CHANGE CONTROL PROCEDURE</w:t>
      </w:r>
    </w:p>
    <w:p>
      <w:pPr>
        <w:jc w:val="center"/>
      </w:pPr>
      <w:r>
        <w:rPr>
          <w:rFonts w:ascii="Arial" w:hAnsi="Arial"/>
          <w:color w:val="83348F"/>
          <w:sz w:val="24"/>
        </w:rPr>
        <w:t xml:space="preserve">Managing changes to processes, equipment, documents and products in a controlled and traceable way</w:t>
      </w:r>
    </w:p>
    <w:p>
      <w:pPr>
        <w:jc w:val="center"/>
      </w:pPr>
      <w:r>
        <w:rPr>
          <w:rFonts w:ascii="Arial" w:hAnsi="Arial"/>
          <w:color w:val="5B595A"/>
          <w:sz w:val="24"/>
        </w:rPr>
        <w:t xml:space="preserve">[Company Name]  |  QHSE-QP-06</w:t>
      </w:r>
    </w:p>
    <w:p>
      <w:pPr>
        <w:spacing w:before="0" w:after="0"/>
      </w:pPr>
    </w:p>
    <w:p>
      <w:pPr>
        <w:spacing w:before="0" w:after="0"/>
      </w:pPr>
    </w:p>
    <w:p>
      <w:pPr>
        <w:spacing w:before="0" w:after="0"/>
      </w:pPr>
    </w:p>
    <w:p>
      <w:pPr>
        <w:shd w:val="clear" w:color="auto" w:fill="009FE3"/>
        <w:spacing w:before="240" w:after="100"/>
      </w:pPr>
      <w:r>
        <w:rPr>
          <w:rFonts w:ascii="Arial" w:hAnsi="Arial"/>
          <w:b/>
          <w:color w:val="FFFFFF"/>
          <w:sz w:val="26"/>
        </w:rPr>
        <w:t xml:space="preserve">1.  Purpose</w:t>
      </w:r>
    </w:p>
    <w:p>
      <w:pPr>
        <w:spacing w:before="0" w:after="80"/>
      </w:pPr>
      <w:r>
        <w:rPr>
          <w:rFonts w:ascii="Arial" w:hAnsi="Arial"/>
          <w:color w:val="5B595A"/>
          <w:sz w:val="20"/>
        </w:rPr>
        <w:t xml:space="preserve">This procedure defines how the organisation manages and controls changes to processes, products, equipment, materials, suppliers, documentation and personnel in roles affecting product quality or nuclear safety. It ensures changes are assessed, approved and implemented in a controlled way, with traceability maintained throughout.</w:t>
      </w:r>
    </w:p>
    <w:p>
      <w:pPr>
        <w:spacing w:before="0" w:after="0"/>
      </w:pPr>
    </w:p>
    <w:p>
      <w:pPr>
        <w:shd w:val="clear" w:color="auto" w:fill="009FE3"/>
        <w:spacing w:before="240" w:after="100"/>
      </w:pPr>
      <w:r>
        <w:rPr>
          <w:rFonts w:ascii="Arial" w:hAnsi="Arial"/>
          <w:b/>
          <w:color w:val="FFFFFF"/>
          <w:sz w:val="26"/>
        </w:rPr>
        <w:t xml:space="preserve">2.  Scope</w:t>
      </w:r>
    </w:p>
    <w:p>
      <w:pPr>
        <w:spacing w:before="0" w:after="80"/>
      </w:pPr>
      <w:r>
        <w:rPr>
          <w:rFonts w:ascii="Arial" w:hAnsi="Arial"/>
          <w:color w:val="5B595A"/>
          <w:sz w:val="20"/>
        </w:rPr>
        <w:t xml:space="preserve">Applies to all planned changes that could affect: product conformance, process capability, nuclear safety, regulatory compliance, customer contractual requirements, or the integrity of the management system. Emergency actions are governed by the Major Incident Response Plan (QHSE-BC-03).</w:t>
      </w:r>
    </w:p>
    <w:p>
      <w:pPr>
        <w:spacing w:before="0" w:after="0"/>
      </w:pPr>
    </w:p>
    <w:p>
      <w:pPr>
        <w:shd w:val="clear" w:color="auto" w:fill="009FE3"/>
        <w:spacing w:before="240" w:after="100"/>
      </w:pPr>
      <w:r>
        <w:rPr>
          <w:rFonts w:ascii="Arial" w:hAnsi="Arial"/>
          <w:b/>
          <w:color w:val="FFFFFF"/>
          <w:sz w:val="26"/>
        </w:rPr>
        <w:t xml:space="preserve">3.  Change Categories</w:t>
      </w:r>
    </w:p>
    <w:tbl>
      <w:tblPr>
        <w:tblW w:type="auto" w:w="0"/>
      </w:tblPr>
      <w:tblGrid>
        <w:gridCol w:w="1800"/>
        <w:gridCol w:w="4500"/>
        <w:gridCol w:w="3454"/>
      </w:tblGrid>
      <w:tr>
        <w:tc>
          <w:tcPr>
            <w:tcW w:type="dxa" w:w="1800"/>
            <w:tcBorders>
              <w:top w:val="single" w:sz="4" w:space="0" w:color="CCCCCC"/>
              <w:left w:val="single" w:sz="4" w:space="0" w:color="CCCCCC"/>
              <w:bottom w:val="single" w:sz="4" w:space="0" w:color="CCCCCC"/>
              <w:right w:val="single" w:sz="4" w:space="0" w:color="CCCCCC"/>
            </w:tcBorders>
            <w:shd w:val="clear" w:color="auto" w:fill="009FE3"/>
          </w:tcPr>
          <w:p>
            <w:pPr>
              <w:spacing w:before="40" w:after="40"/>
              <w:jc w:val="center"/>
            </w:pPr>
            <w:r>
              <w:rPr>
                <w:rFonts w:ascii="Arial" w:hAnsi="Arial"/>
                <w:b/>
                <w:color w:val="FFFFFF"/>
                <w:sz w:val="18"/>
              </w:rPr>
              <w:t xml:space="preserve">Category</w:t>
            </w:r>
          </w:p>
        </w:tc>
        <w:tc>
          <w:tcPr>
            <w:tcW w:type="dxa" w:w="4500"/>
            <w:tcBorders>
              <w:top w:val="single" w:sz="4" w:space="0" w:color="CCCCCC"/>
              <w:left w:val="single" w:sz="4" w:space="0" w:color="CCCCCC"/>
              <w:bottom w:val="single" w:sz="4" w:space="0" w:color="CCCCCC"/>
              <w:right w:val="single" w:sz="4" w:space="0" w:color="CCCCCC"/>
            </w:tcBorders>
            <w:shd w:val="clear" w:color="auto" w:fill="009FE3"/>
          </w:tcPr>
          <w:p>
            <w:pPr>
              <w:spacing w:before="40" w:after="40"/>
              <w:jc w:val="center"/>
            </w:pPr>
            <w:r>
              <w:rPr>
                <w:rFonts w:ascii="Arial" w:hAnsi="Arial"/>
                <w:b/>
                <w:color w:val="FFFFFF"/>
                <w:sz w:val="18"/>
              </w:rPr>
              <w:t xml:space="preserve">Description</w:t>
            </w:r>
          </w:p>
        </w:tc>
        <w:tc>
          <w:tcPr>
            <w:tcW w:type="dxa" w:w="3454"/>
            <w:tcBorders>
              <w:top w:val="single" w:sz="4" w:space="0" w:color="CCCCCC"/>
              <w:left w:val="single" w:sz="4" w:space="0" w:color="CCCCCC"/>
              <w:bottom w:val="single" w:sz="4" w:space="0" w:color="CCCCCC"/>
              <w:right w:val="single" w:sz="4" w:space="0" w:color="CCCCCC"/>
            </w:tcBorders>
            <w:shd w:val="clear" w:color="auto" w:fill="009FE3"/>
          </w:tcPr>
          <w:p>
            <w:pPr>
              <w:spacing w:before="40" w:after="40"/>
              <w:jc w:val="center"/>
            </w:pPr>
            <w:r>
              <w:rPr>
                <w:rFonts w:ascii="Arial" w:hAnsi="Arial"/>
                <w:b/>
                <w:color w:val="FFFFFF"/>
                <w:sz w:val="18"/>
              </w:rPr>
              <w:t xml:space="preserve">Approval Required</w:t>
            </w:r>
          </w:p>
        </w:tc>
      </w:tr>
      <w:tr>
        <w:tc>
          <w:tcPr>
            <w:tcW w:type="dxa" w:w="1800"/>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Minor</w:t>
            </w:r>
          </w:p>
        </w:tc>
        <w:tc>
          <w:tcPr>
            <w:tcW w:type="dxa" w:w="4500"/>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No impact on product conformance, safety or customer requirements. Administrative only.</w:t>
            </w:r>
          </w:p>
        </w:tc>
        <w:tc>
          <w:tcPr>
            <w:tcW w:type="dxa" w:w="3454"/>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Departmental Manager</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Significant</w:t>
            </w:r>
          </w:p>
        </w:tc>
        <w:tc>
          <w:tcPr>
            <w:tcW w:type="dxa" w:w="4500"/>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Potential impact on process, product quality or supplier arrangements.</w:t>
            </w:r>
          </w:p>
        </w:tc>
        <w:tc>
          <w:tcPr>
            <w:tcW w:type="dxa" w:w="3454"/>
            <w:tcBorders>
              <w:top w:val="single" w:sz="4" w:space="0" w:color="CCCCCC"/>
              <w:left w:val="single" w:sz="4" w:space="0" w:color="CCCCCC"/>
              <w:bottom w:val="single" w:sz="4" w:space="0" w:color="CCCCCC"/>
              <w:right w:val="single" w:sz="4" w:space="0" w:color="CCCCCC"/>
            </w:tcBorders>
            <w:shd w:val="clear" w:color="auto" w:fill="F2F2F2"/>
          </w:tcPr>
          <w:p>
            <w:pPr>
              <w:spacing w:before="40" w:after="40"/>
            </w:pPr>
            <w:r>
              <w:rPr>
                <w:rFonts w:ascii="Arial" w:hAnsi="Arial"/>
                <w:color w:val="5B595A"/>
                <w:sz w:val="18"/>
              </w:rPr>
              <w:t xml:space="preserve">Quality Manager + relevant Department Head</w:t>
            </w:r>
          </w:p>
        </w:tc>
      </w:tr>
      <w:tr>
        <w:tc>
          <w:tcPr>
            <w:tcW w:type="dxa" w:w="1800"/>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Major</w:t>
            </w:r>
          </w:p>
        </w:tc>
        <w:tc>
          <w:tcPr>
            <w:tcW w:type="dxa" w:w="4500"/>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Impact on nuclear safety, regulatory compliance, customer approvals or design intent.</w:t>
            </w:r>
          </w:p>
        </w:tc>
        <w:tc>
          <w:tcPr>
            <w:tcW w:type="dxa" w:w="3454"/>
            <w:tcBorders>
              <w:top w:val="single" w:sz="4" w:space="0" w:color="CCCCCC"/>
              <w:left w:val="single" w:sz="4" w:space="0" w:color="CCCCCC"/>
              <w:bottom w:val="single" w:sz="4" w:space="0" w:color="CCCCCC"/>
              <w:right w:val="single" w:sz="4" w:space="0" w:color="CCCCCC"/>
            </w:tcBorders>
          </w:tcPr>
          <w:p>
            <w:pPr>
              <w:spacing w:before="40" w:after="40"/>
            </w:pPr>
            <w:r>
              <w:rPr>
                <w:rFonts w:ascii="Arial" w:hAnsi="Arial"/>
                <w:color w:val="5B595A"/>
                <w:sz w:val="18"/>
              </w:rPr>
              <w:t xml:space="preserve">Senior Leadership + Customer Notification where required</w:t>
            </w:r>
          </w:p>
        </w:tc>
      </w:tr>
    </w:tbl>
    <w:p>
      <w:pPr>
        <w:spacing w:before="0" w:after="0"/>
      </w:pPr>
    </w:p>
    <w:p>
      <w:pPr>
        <w:shd w:val="clear" w:color="auto" w:fill="009FE3"/>
        <w:spacing w:before="240" w:after="100"/>
      </w:pPr>
      <w:r>
        <w:rPr>
          <w:rFonts w:ascii="Arial" w:hAnsi="Arial"/>
          <w:b/>
          <w:color w:val="FFFFFF"/>
          <w:sz w:val="26"/>
        </w:rPr>
        <w:t xml:space="preserve">4.  Change Control Process</w:t>
      </w:r>
    </w:p>
    <w:p>
      <w:pPr>
        <w:spacing w:before="160" w:after="60"/>
      </w:pPr>
      <w:r>
        <w:rPr>
          <w:rFonts w:ascii="Arial" w:hAnsi="Arial"/>
          <w:b/>
          <w:color w:val="83348F"/>
          <w:sz w:val="22"/>
        </w:rPr>
        <w:t xml:space="preserve">Step 1 — Identify and log</w:t>
      </w:r>
    </w:p>
    <w:p>
      <w:pPr>
        <w:spacing w:before="0" w:after="80"/>
      </w:pPr>
      <w:r>
        <w:rPr>
          <w:rFonts w:ascii="Arial" w:hAnsi="Arial"/>
          <w:color w:val="5B595A"/>
          <w:sz w:val="20"/>
        </w:rPr>
        <w:t xml:space="preserve">Raise a Change Request and assign a unique reference number. Describe the proposed change, the reason and the affected processes or documents.</w:t>
      </w:r>
    </w:p>
    <w:p>
      <w:pPr>
        <w:spacing w:before="160" w:after="60"/>
      </w:pPr>
      <w:r>
        <w:rPr>
          <w:rFonts w:ascii="Arial" w:hAnsi="Arial"/>
          <w:b/>
          <w:color w:val="83348F"/>
          <w:sz w:val="22"/>
        </w:rPr>
        <w:t xml:space="preserve">Step 2 — Impact assessment</w:t>
      </w:r>
    </w:p>
    <w:p>
      <w:pPr>
        <w:spacing w:before="0" w:after="80"/>
      </w:pPr>
      <w:r>
        <w:rPr>
          <w:rFonts w:ascii="Arial" w:hAnsi="Arial"/>
          <w:color w:val="5B595A"/>
          <w:sz w:val="20"/>
        </w:rPr>
        <w:t xml:space="preserve">Assess potential impact on quality, safety, customer requirements, regulatory obligations and risk. Classify the change as Minor, Significant or Major.</w:t>
      </w:r>
    </w:p>
    <w:p>
      <w:pPr>
        <w:spacing w:before="160" w:after="60"/>
      </w:pPr>
      <w:r>
        <w:rPr>
          <w:rFonts w:ascii="Arial" w:hAnsi="Arial"/>
          <w:b/>
          <w:color w:val="83348F"/>
          <w:sz w:val="22"/>
        </w:rPr>
        <w:t xml:space="preserve">Step 3 — Approval</w:t>
      </w:r>
    </w:p>
    <w:p>
      <w:pPr>
        <w:spacing w:before="0" w:after="80"/>
      </w:pPr>
      <w:r>
        <w:rPr>
          <w:rFonts w:ascii="Arial" w:hAnsi="Arial"/>
          <w:color w:val="5B595A"/>
          <w:sz w:val="20"/>
        </w:rPr>
        <w:t xml:space="preserve">Obtain the required approvals per the category table above. Where customer or licencee notification is required, obtain written confirmation before proceeding.</w:t>
      </w:r>
    </w:p>
    <w:p>
      <w:pPr>
        <w:spacing w:before="160" w:after="60"/>
      </w:pPr>
      <w:r>
        <w:rPr>
          <w:rFonts w:ascii="Arial" w:hAnsi="Arial"/>
          <w:b/>
          <w:color w:val="83348F"/>
          <w:sz w:val="22"/>
        </w:rPr>
        <w:t xml:space="preserve">Step 4 — Implementation</w:t>
      </w:r>
    </w:p>
    <w:p>
      <w:pPr>
        <w:spacing w:before="0" w:after="80"/>
      </w:pPr>
      <w:r>
        <w:rPr>
          <w:rFonts w:ascii="Arial" w:hAnsi="Arial"/>
          <w:color w:val="5B595A"/>
          <w:sz w:val="20"/>
        </w:rPr>
        <w:t xml:space="preserve">Implement the change per the approved plan. Update affected documents, procedures and records. Communicate to affected personnel and provide training where required.</w:t>
      </w:r>
    </w:p>
    <w:p>
      <w:pPr>
        <w:spacing w:before="160" w:after="60"/>
      </w:pPr>
      <w:r>
        <w:rPr>
          <w:rFonts w:ascii="Arial" w:hAnsi="Arial"/>
          <w:b/>
          <w:color w:val="83348F"/>
          <w:sz w:val="22"/>
        </w:rPr>
        <w:t xml:space="preserve">Step 5 — Verification and close-out</w:t>
      </w:r>
    </w:p>
    <w:p>
      <w:pPr>
        <w:spacing w:before="0" w:after="80"/>
      </w:pPr>
      <w:r>
        <w:rPr>
          <w:rFonts w:ascii="Arial" w:hAnsi="Arial"/>
          <w:color w:val="5B595A"/>
          <w:sz w:val="20"/>
        </w:rPr>
        <w:t xml:space="preserve">Verify the change has been implemented correctly. Record evidence of verification. Close the change in the Change Control Log.</w:t>
      </w:r>
    </w:p>
    <w:p>
      <w:pPr>
        <w:spacing w:before="0" w:after="0"/>
      </w:pPr>
    </w:p>
    <w:p>
      <w:pPr>
        <w:shd w:val="clear" w:color="auto" w:fill="009FE3"/>
        <w:spacing w:before="240" w:after="100"/>
      </w:pPr>
      <w:r>
        <w:rPr>
          <w:rFonts w:ascii="Arial" w:hAnsi="Arial"/>
          <w:b/>
          <w:color w:val="FFFFFF"/>
          <w:sz w:val="26"/>
        </w:rPr>
        <w:t xml:space="preserve">5.  Change Control Log</w:t>
      </w:r>
    </w:p>
    <w:p>
      <w:pPr>
        <w:spacing w:before="0" w:after="80"/>
      </w:pPr>
      <w:r>
        <w:rPr>
          <w:rFonts w:ascii="Arial" w:hAnsi="Arial"/>
          <w:color w:val="5B595A"/>
          <w:sz w:val="20"/>
        </w:rPr>
        <w:t xml:space="preserve">All changes must be logged. The log must include as a minimum: change reference, date raised, description, category, impact assessment summary, approvals obtained, implementation date and verification evidence reference.</w:t>
      </w:r>
    </w:p>
    <w:p>
      <w:pPr>
        <w:spacing w:before="0" w:after="0"/>
      </w:pPr>
    </w:p>
    <w:p>
      <w:pPr>
        <w:shd w:val="clear" w:color="auto" w:fill="009FE3"/>
        <w:spacing w:before="240" w:after="100"/>
      </w:pPr>
      <w:r>
        <w:rPr>
          <w:rFonts w:ascii="Arial" w:hAnsi="Arial"/>
          <w:b/>
          <w:color w:val="FFFFFF"/>
          <w:sz w:val="26"/>
        </w:rPr>
        <w:t xml:space="preserve">6.  Related Documents</w:t>
      </w:r>
    </w:p>
    <w:p>
      <w:pPr>
        <w:spacing w:before="0" w:after="40"/>
      </w:pPr>
      <w:r>
        <w:rPr>
          <w:rFonts w:ascii="Arial" w:hAnsi="Arial"/>
          <w:color w:val="5B595A"/>
          <w:sz w:val="20"/>
        </w:rPr>
        <w:t xml:space="preserve">•  QHSE-BC-03  Major Incident Response Plan</w:t>
      </w:r>
    </w:p>
    <w:p>
      <w:pPr>
        <w:spacing w:before="0" w:after="40"/>
      </w:pPr>
      <w:r>
        <w:rPr>
          <w:rFonts w:ascii="Arial" w:hAnsi="Arial"/>
          <w:color w:val="5B595A"/>
          <w:sz w:val="20"/>
        </w:rPr>
        <w:t xml:space="preserve">•  QHSE-QP-01  Contract Quality Plan</w:t>
      </w:r>
    </w:p>
    <w:p>
      <w:pPr>
        <w:spacing w:before="0" w:after="40"/>
      </w:pPr>
      <w:r>
        <w:rPr>
          <w:rFonts w:ascii="Arial" w:hAnsi="Arial"/>
          <w:color w:val="5B595A"/>
          <w:sz w:val="20"/>
        </w:rPr>
        <w:t xml:space="preserve">•  QHSE-QP-07  Calibration and Measurement Equipment Register</w:t>
      </w:r>
    </w:p>
    <w:p>
      <w:pPr>
        <w:spacing w:before="0" w:after="40"/>
      </w:pPr>
      <w:r>
        <w:rPr>
          <w:rFonts w:ascii="Arial" w:hAnsi="Arial"/>
          <w:color w:val="5B595A"/>
          <w:sz w:val="20"/>
        </w:rPr>
        <w:t xml:space="preserve">•  NSS-03f  Nuclear Document Control Traceability Procedure</w:t>
      </w:r>
    </w:p>
    <w:sectPr w:rsidR="00FC693F" w:rsidRPr="0006063C" w:rsidSect="00034616">
      <w:headerReference w:type="default" r:id="rId9"/>
      <w:footerReference w:type="default" r:id="rId10"/>
      <w:pgSz w:w="11906" w:h="16838"/>
      <w:pgMar w:top="1134" w:right="1134"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QHSE-QP-06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665645-507C-4C72-871D-7F304E44EAAA}"/>
</file>

<file path=customXml/itemProps3.xml><?xml version="1.0" encoding="utf-8"?>
<ds:datastoreItem xmlns:ds="http://schemas.openxmlformats.org/officeDocument/2006/customXml" ds:itemID="{9DA14464-AD60-42CC-8748-4B342B017FC2}"/>
</file>

<file path=customXml/itemProps4.xml><?xml version="1.0" encoding="utf-8"?>
<ds:datastoreItem xmlns:ds="http://schemas.openxmlformats.org/officeDocument/2006/customXml" ds:itemID="{2561C8B6-EECB-41C5-BF88-483330714D4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QHSE-QP-06 Change Control Procedure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