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theme/theme1.xml" ContentType="application/vnd.openxmlformats-officedocument.theme+xml"/>
  <Override PartName="/word/footnotes.xml" ContentType="application/vnd.openxmlformats-officedocument.wordprocessingml.footnotes+xml"/>
  <Override PartName="/word/fontTable.xml" ContentType="application/vnd.openxmlformats-officedocument.wordprocessingml.fontTable+xml"/>
  <Override PartName="/word/webSettings.xml" ContentType="application/vnd.openxmlformats-officedocument.wordprocessingml.webSettings+xml"/>
  <Override PartName="/word/footer1.xml" ContentType="application/vnd.openxmlformats-officedocument.wordprocessingml.footer+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87DC4" w14:textId="77777777" w:rsidR="009D6A06" w:rsidRDefault="009D6A06">
      <w:pPr>
        <w:spacing w:before="2400"/>
      </w:pPr>
    </w:p>
    <w:p w14:paraId="447DB8AC" w14:textId="77777777" w:rsidR="009D6A06" w:rsidRDefault="00000000">
      <w:pPr>
        <w:jc w:val="center"/>
      </w:pPr>
      <w:r>
        <w:rPr>
          <w:noProof/>
        </w:rPr>
        <w:drawing>
          <wp:inline distT="0" distB="0" distL="0" distR="0" wp14:anchorId="7E96ACFC" wp14:editId="757736FB">
            <wp:extent cx="2095500" cy="6572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95500" cy="657225"/>
                    </a:xfrm>
                    <a:prstGeom prst="rect">
                      <a:avLst/>
                    </a:prstGeom>
                  </pic:spPr>
                </pic:pic>
              </a:graphicData>
            </a:graphic>
          </wp:inline>
        </w:drawing>
      </w:r>
    </w:p>
    <w:p w14:paraId="26226A9D" w14:textId="77777777" w:rsidR="009D6A06" w:rsidRDefault="009D6A06">
      <w:pPr>
        <w:spacing w:before="480"/>
      </w:pPr>
    </w:p>
    <w:p w14:paraId="1160D17E" w14:textId="77777777" w:rsidR="009D6A06" w:rsidRDefault="00000000">
      <w:pPr>
        <w:jc w:val="center"/>
      </w:pPr>
      <w:r>
        <w:rPr>
          <w:b/>
          <w:bCs/>
          <w:color w:val="009FE3"/>
          <w:sz w:val="52"/>
          <w:szCs w:val="52"/>
        </w:rPr>
        <w:t>Safety Culture Guide</w:t>
      </w:r>
    </w:p>
    <w:p w14:paraId="4A519B0D" w14:textId="77777777" w:rsidR="009D6A06" w:rsidRDefault="00000000">
      <w:pPr>
        <w:spacing w:before="160"/>
        <w:jc w:val="center"/>
      </w:pPr>
      <w:r>
        <w:rPr>
          <w:b/>
          <w:bCs/>
          <w:color w:val="83348F"/>
          <w:sz w:val="28"/>
          <w:szCs w:val="28"/>
        </w:rPr>
        <w:t>QHSE-04a</w:t>
      </w:r>
    </w:p>
    <w:p w14:paraId="37B6181E" w14:textId="77777777" w:rsidR="009D6A06" w:rsidRDefault="00000000">
      <w:pPr>
        <w:spacing w:before="320"/>
        <w:jc w:val="center"/>
      </w:pPr>
      <w:r>
        <w:rPr>
          <w:color w:val="5B595A"/>
        </w:rPr>
        <w:t>A working guide for understanding, developing and evidencing a strong nuclear safety culture across your organisation.</w:t>
      </w:r>
    </w:p>
    <w:p w14:paraId="5FC7FAEF" w14:textId="77777777" w:rsidR="009D6A06" w:rsidRDefault="009D6A06">
      <w:pPr>
        <w:pBdr>
          <w:top w:val="single" w:sz="6" w:space="8" w:color="009FE3"/>
        </w:pBdr>
        <w:spacing w:before="1800"/>
      </w:pPr>
    </w:p>
    <w:p w14:paraId="15F279F8" w14:textId="77777777" w:rsidR="009D6A06" w:rsidRDefault="00000000">
      <w:pPr>
        <w:spacing w:after="80"/>
      </w:pPr>
      <w:r>
        <w:rPr>
          <w:b/>
          <w:bCs/>
          <w:color w:val="83348F"/>
        </w:rPr>
        <w:t>Document control</w:t>
      </w:r>
    </w:p>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4472"/>
        <w:gridCol w:w="1200"/>
        <w:gridCol w:w="1300"/>
      </w:tblGrid>
      <w:tr w:rsidR="009D6A06" w14:paraId="43352F28"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009FE3"/>
            <w:tcMar>
              <w:top w:w="80" w:type="dxa"/>
              <w:left w:w="100" w:type="dxa"/>
              <w:bottom w:w="80" w:type="dxa"/>
              <w:right w:w="100" w:type="dxa"/>
            </w:tcMar>
            <w:vAlign w:val="center"/>
          </w:tcPr>
          <w:p w14:paraId="123DDC17" w14:textId="77777777" w:rsidR="009D6A06" w:rsidRDefault="00000000">
            <w:r>
              <w:rPr>
                <w:b/>
                <w:bCs/>
                <w:color w:val="FFFFFF"/>
                <w:sz w:val="20"/>
                <w:szCs w:val="20"/>
              </w:rPr>
              <w:t>Version</w:t>
            </w:r>
          </w:p>
        </w:tc>
        <w:tc>
          <w:tcPr>
            <w:tcW w:w="1500" w:type="dxa"/>
            <w:tcBorders>
              <w:top w:val="single" w:sz="4" w:space="0" w:color="CCCCCC"/>
              <w:left w:val="single" w:sz="4" w:space="0" w:color="CCCCCC"/>
              <w:bottom w:val="single" w:sz="4" w:space="0" w:color="CCCCCC"/>
              <w:right w:val="single" w:sz="4" w:space="0" w:color="CCCCCC"/>
            </w:tcBorders>
            <w:shd w:val="clear" w:color="auto" w:fill="009FE3"/>
            <w:tcMar>
              <w:top w:w="80" w:type="dxa"/>
              <w:left w:w="100" w:type="dxa"/>
              <w:bottom w:w="80" w:type="dxa"/>
              <w:right w:w="100" w:type="dxa"/>
            </w:tcMar>
            <w:vAlign w:val="center"/>
          </w:tcPr>
          <w:p w14:paraId="6A310C49" w14:textId="77777777" w:rsidR="009D6A06" w:rsidRDefault="00000000">
            <w:r>
              <w:rPr>
                <w:b/>
                <w:bCs/>
                <w:color w:val="FFFFFF"/>
                <w:sz w:val="20"/>
                <w:szCs w:val="20"/>
              </w:rPr>
              <w:t>Date</w:t>
            </w:r>
          </w:p>
        </w:tc>
        <w:tc>
          <w:tcPr>
            <w:tcW w:w="4472" w:type="dxa"/>
            <w:tcBorders>
              <w:top w:val="single" w:sz="4" w:space="0" w:color="CCCCCC"/>
              <w:left w:val="single" w:sz="4" w:space="0" w:color="CCCCCC"/>
              <w:bottom w:val="single" w:sz="4" w:space="0" w:color="CCCCCC"/>
              <w:right w:val="single" w:sz="4" w:space="0" w:color="CCCCCC"/>
            </w:tcBorders>
            <w:shd w:val="clear" w:color="auto" w:fill="009FE3"/>
            <w:tcMar>
              <w:top w:w="80" w:type="dxa"/>
              <w:left w:w="100" w:type="dxa"/>
              <w:bottom w:w="80" w:type="dxa"/>
              <w:right w:w="100" w:type="dxa"/>
            </w:tcMar>
            <w:vAlign w:val="center"/>
          </w:tcPr>
          <w:p w14:paraId="76B1339E" w14:textId="77777777" w:rsidR="009D6A06" w:rsidRDefault="00000000">
            <w:r>
              <w:rPr>
                <w:b/>
                <w:bCs/>
                <w:color w:val="FFFFFF"/>
                <w:sz w:val="20"/>
                <w:szCs w:val="20"/>
              </w:rPr>
              <w:t>Description of change</w:t>
            </w:r>
          </w:p>
        </w:tc>
        <w:tc>
          <w:tcPr>
            <w:tcW w:w="1200" w:type="dxa"/>
            <w:tcBorders>
              <w:top w:val="single" w:sz="4" w:space="0" w:color="CCCCCC"/>
              <w:left w:val="single" w:sz="4" w:space="0" w:color="CCCCCC"/>
              <w:bottom w:val="single" w:sz="4" w:space="0" w:color="CCCCCC"/>
              <w:right w:val="single" w:sz="4" w:space="0" w:color="CCCCCC"/>
            </w:tcBorders>
            <w:shd w:val="clear" w:color="auto" w:fill="009FE3"/>
            <w:tcMar>
              <w:top w:w="80" w:type="dxa"/>
              <w:left w:w="100" w:type="dxa"/>
              <w:bottom w:w="80" w:type="dxa"/>
              <w:right w:w="100" w:type="dxa"/>
            </w:tcMar>
            <w:vAlign w:val="center"/>
          </w:tcPr>
          <w:p w14:paraId="07163235" w14:textId="77777777" w:rsidR="009D6A06" w:rsidRDefault="00000000">
            <w:r>
              <w:rPr>
                <w:b/>
                <w:bCs/>
                <w:color w:val="FFFFFF"/>
                <w:sz w:val="20"/>
                <w:szCs w:val="20"/>
              </w:rPr>
              <w:t>Author</w:t>
            </w:r>
          </w:p>
        </w:tc>
        <w:tc>
          <w:tcPr>
            <w:tcW w:w="1300" w:type="dxa"/>
            <w:tcBorders>
              <w:top w:val="single" w:sz="4" w:space="0" w:color="CCCCCC"/>
              <w:left w:val="single" w:sz="4" w:space="0" w:color="CCCCCC"/>
              <w:bottom w:val="single" w:sz="4" w:space="0" w:color="CCCCCC"/>
              <w:right w:val="single" w:sz="4" w:space="0" w:color="CCCCCC"/>
            </w:tcBorders>
            <w:shd w:val="clear" w:color="auto" w:fill="009FE3"/>
            <w:tcMar>
              <w:top w:w="80" w:type="dxa"/>
              <w:left w:w="100" w:type="dxa"/>
              <w:bottom w:w="80" w:type="dxa"/>
              <w:right w:w="100" w:type="dxa"/>
            </w:tcMar>
            <w:vAlign w:val="center"/>
          </w:tcPr>
          <w:p w14:paraId="7990CDD4" w14:textId="77777777" w:rsidR="009D6A06" w:rsidRDefault="00000000">
            <w:r>
              <w:rPr>
                <w:b/>
                <w:bCs/>
                <w:color w:val="FFFFFF"/>
                <w:sz w:val="20"/>
                <w:szCs w:val="20"/>
              </w:rPr>
              <w:t>Approved by</w:t>
            </w:r>
          </w:p>
        </w:tc>
      </w:tr>
      <w:tr w:rsidR="009D6A06" w14:paraId="5F2D427B"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6A5EF628" w14:textId="77777777" w:rsidR="009D6A06" w:rsidRDefault="00000000">
            <w:r>
              <w:rPr>
                <w:sz w:val="20"/>
                <w:szCs w:val="20"/>
              </w:rPr>
              <w:t>0.1</w:t>
            </w:r>
          </w:p>
        </w:tc>
        <w:tc>
          <w:tcPr>
            <w:tcW w:w="15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58165A8F" w14:textId="77777777" w:rsidR="009D6A06" w:rsidRDefault="00000000">
            <w:r>
              <w:rPr>
                <w:sz w:val="20"/>
                <w:szCs w:val="20"/>
              </w:rPr>
              <w:t>[date]</w:t>
            </w:r>
          </w:p>
        </w:tc>
        <w:tc>
          <w:tcPr>
            <w:tcW w:w="447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6C9D0DB7" w14:textId="77777777" w:rsidR="009D6A06" w:rsidRDefault="00000000">
            <w:r>
              <w:rPr>
                <w:sz w:val="20"/>
                <w:szCs w:val="20"/>
              </w:rPr>
              <w:t>First issue</w:t>
            </w:r>
          </w:p>
        </w:tc>
        <w:tc>
          <w:tcPr>
            <w:tcW w:w="12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602429A7" w14:textId="77777777" w:rsidR="009D6A06" w:rsidRDefault="00000000">
            <w:r>
              <w:rPr>
                <w:sz w:val="20"/>
                <w:szCs w:val="20"/>
              </w:rPr>
              <w:t>[name]</w:t>
            </w:r>
          </w:p>
        </w:tc>
        <w:tc>
          <w:tcPr>
            <w:tcW w:w="13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665ED564" w14:textId="77777777" w:rsidR="009D6A06" w:rsidRDefault="00000000">
            <w:r>
              <w:rPr>
                <w:sz w:val="20"/>
                <w:szCs w:val="20"/>
              </w:rPr>
              <w:t>[name]</w:t>
            </w:r>
          </w:p>
        </w:tc>
      </w:tr>
      <w:tr w:rsidR="009D6A06" w14:paraId="28EDFC9B"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665C4AC3" w14:textId="77777777" w:rsidR="009D6A06" w:rsidRDefault="009D6A06"/>
        </w:tc>
        <w:tc>
          <w:tcPr>
            <w:tcW w:w="15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7DAD121F" w14:textId="77777777" w:rsidR="009D6A06" w:rsidRDefault="009D6A06"/>
        </w:tc>
        <w:tc>
          <w:tcPr>
            <w:tcW w:w="447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739D360E" w14:textId="77777777" w:rsidR="009D6A06" w:rsidRDefault="009D6A06"/>
        </w:tc>
        <w:tc>
          <w:tcPr>
            <w:tcW w:w="12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712FAE98" w14:textId="77777777" w:rsidR="009D6A06" w:rsidRDefault="009D6A06"/>
        </w:tc>
        <w:tc>
          <w:tcPr>
            <w:tcW w:w="13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4D49F2A2" w14:textId="77777777" w:rsidR="009D6A06" w:rsidRDefault="009D6A06"/>
        </w:tc>
      </w:tr>
      <w:tr w:rsidR="009D6A06" w14:paraId="4A79C67E"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4D009249" w14:textId="77777777" w:rsidR="009D6A06" w:rsidRDefault="009D6A06"/>
        </w:tc>
        <w:tc>
          <w:tcPr>
            <w:tcW w:w="15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29F8DB67" w14:textId="77777777" w:rsidR="009D6A06" w:rsidRDefault="009D6A06"/>
        </w:tc>
        <w:tc>
          <w:tcPr>
            <w:tcW w:w="447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4B05D2F0" w14:textId="77777777" w:rsidR="009D6A06" w:rsidRDefault="009D6A06"/>
        </w:tc>
        <w:tc>
          <w:tcPr>
            <w:tcW w:w="12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397A16D5" w14:textId="77777777" w:rsidR="009D6A06" w:rsidRDefault="009D6A06"/>
        </w:tc>
        <w:tc>
          <w:tcPr>
            <w:tcW w:w="13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1BCAB476" w14:textId="77777777" w:rsidR="009D6A06" w:rsidRDefault="009D6A06"/>
        </w:tc>
      </w:tr>
    </w:tbl>
    <w:p w14:paraId="3CC0AF62" w14:textId="77777777" w:rsidR="009D6A06" w:rsidRDefault="00000000">
      <w:r>
        <w:br w:type="page"/>
      </w:r>
    </w:p>
    <w:p w14:paraId="471513C0" w14:textId="77777777" w:rsidR="009D6A06" w:rsidRDefault="00000000">
      <w:pPr>
        <w:pStyle w:val="Heading1"/>
        <w:spacing w:before="280"/>
      </w:pPr>
      <w:bookmarkStart w:id="0" w:name="_Toc232492682"/>
      <w:r>
        <w:rPr>
          <w:color w:val="29ABE2"/>
        </w:rPr>
        <w:lastRenderedPageBreak/>
        <w:t>Contents</w:t>
      </w:r>
      <w:bookmarkEnd w:id="0"/>
    </w:p>
    <w:sdt>
      <w:sdtPr>
        <w:alias w:val="Contents"/>
        <w:id w:val="42807575"/>
      </w:sdtPr>
      <w:sdtContent>
        <w:p w14:paraId="0EA37BBA" w14:textId="77777777" w:rsidR="009D59F9" w:rsidRDefault="00000000">
          <w:pPr>
            <w:pStyle w:val="TOC1"/>
            <w:tabs>
              <w:tab w:val="right" w:leader="dot" w:pos="9962"/>
            </w:tabs>
            <w:rPr>
              <w:noProof/>
            </w:rPr>
          </w:pPr>
          <w:r>
            <w:fldChar w:fldCharType="begin"/>
          </w:r>
          <w:r>
            <w:instrText>TOC \h \o "1-3"</w:instrText>
          </w:r>
          <w:r>
            <w:fldChar w:fldCharType="separate"/>
          </w:r>
          <w:hyperlink w:anchor="_Toc232492682" w:history="1">
            <w:r w:rsidR="009D59F9" w:rsidRPr="0040008D">
              <w:rPr>
                <w:rStyle w:val="Hyperlink"/>
                <w:noProof/>
              </w:rPr>
              <w:t>Contents</w:t>
            </w:r>
            <w:r w:rsidR="009D59F9">
              <w:rPr>
                <w:noProof/>
              </w:rPr>
              <w:tab/>
            </w:r>
            <w:r w:rsidR="009D59F9">
              <w:rPr>
                <w:noProof/>
              </w:rPr>
              <w:fldChar w:fldCharType="begin"/>
            </w:r>
            <w:r w:rsidR="009D59F9">
              <w:rPr>
                <w:noProof/>
              </w:rPr>
              <w:instrText xml:space="preserve"> PAGEREF _Toc232492682 \h </w:instrText>
            </w:r>
            <w:r w:rsidR="009D59F9">
              <w:rPr>
                <w:noProof/>
              </w:rPr>
            </w:r>
            <w:r w:rsidR="009D59F9">
              <w:rPr>
                <w:noProof/>
              </w:rPr>
              <w:fldChar w:fldCharType="separate"/>
            </w:r>
            <w:r w:rsidR="009D59F9">
              <w:rPr>
                <w:noProof/>
              </w:rPr>
              <w:t>2</w:t>
            </w:r>
            <w:r w:rsidR="009D59F9">
              <w:rPr>
                <w:noProof/>
              </w:rPr>
              <w:fldChar w:fldCharType="end"/>
            </w:r>
          </w:hyperlink>
        </w:p>
        <w:p w14:paraId="30CE5348" w14:textId="77777777" w:rsidR="009D59F9" w:rsidRDefault="009D59F9">
          <w:pPr>
            <w:pStyle w:val="TOC1"/>
            <w:tabs>
              <w:tab w:val="right" w:leader="dot" w:pos="9962"/>
            </w:tabs>
            <w:rPr>
              <w:noProof/>
            </w:rPr>
          </w:pPr>
          <w:hyperlink w:anchor="_Toc232492683" w:history="1">
            <w:r w:rsidRPr="0040008D">
              <w:rPr>
                <w:rStyle w:val="Hyperlink"/>
                <w:noProof/>
              </w:rPr>
              <w:t>Introduction</w:t>
            </w:r>
            <w:r>
              <w:rPr>
                <w:noProof/>
              </w:rPr>
              <w:tab/>
            </w:r>
            <w:r>
              <w:rPr>
                <w:noProof/>
              </w:rPr>
              <w:fldChar w:fldCharType="begin"/>
            </w:r>
            <w:r>
              <w:rPr>
                <w:noProof/>
              </w:rPr>
              <w:instrText xml:space="preserve"> PAGEREF _Toc232492683 \h </w:instrText>
            </w:r>
            <w:r>
              <w:rPr>
                <w:noProof/>
              </w:rPr>
            </w:r>
            <w:r>
              <w:rPr>
                <w:noProof/>
              </w:rPr>
              <w:fldChar w:fldCharType="separate"/>
            </w:r>
            <w:r>
              <w:rPr>
                <w:noProof/>
              </w:rPr>
              <w:t>3</w:t>
            </w:r>
            <w:r>
              <w:rPr>
                <w:noProof/>
              </w:rPr>
              <w:fldChar w:fldCharType="end"/>
            </w:r>
          </w:hyperlink>
        </w:p>
        <w:p w14:paraId="765DBA49" w14:textId="77777777" w:rsidR="009D59F9" w:rsidRDefault="009D59F9">
          <w:pPr>
            <w:pStyle w:val="TOC1"/>
            <w:tabs>
              <w:tab w:val="right" w:leader="dot" w:pos="9962"/>
            </w:tabs>
            <w:rPr>
              <w:noProof/>
            </w:rPr>
          </w:pPr>
          <w:hyperlink w:anchor="_Toc232492684" w:history="1">
            <w:r w:rsidRPr="0040008D">
              <w:rPr>
                <w:rStyle w:val="Hyperlink"/>
                <w:noProof/>
              </w:rPr>
              <w:t>What safety culture means in the nuclear context</w:t>
            </w:r>
            <w:r>
              <w:rPr>
                <w:noProof/>
              </w:rPr>
              <w:tab/>
            </w:r>
            <w:r>
              <w:rPr>
                <w:noProof/>
              </w:rPr>
              <w:fldChar w:fldCharType="begin"/>
            </w:r>
            <w:r>
              <w:rPr>
                <w:noProof/>
              </w:rPr>
              <w:instrText xml:space="preserve"> PAGEREF _Toc232492684 \h </w:instrText>
            </w:r>
            <w:r>
              <w:rPr>
                <w:noProof/>
              </w:rPr>
            </w:r>
            <w:r>
              <w:rPr>
                <w:noProof/>
              </w:rPr>
              <w:fldChar w:fldCharType="separate"/>
            </w:r>
            <w:r>
              <w:rPr>
                <w:noProof/>
              </w:rPr>
              <w:t>4</w:t>
            </w:r>
            <w:r>
              <w:rPr>
                <w:noProof/>
              </w:rPr>
              <w:fldChar w:fldCharType="end"/>
            </w:r>
          </w:hyperlink>
        </w:p>
        <w:p w14:paraId="04C06727" w14:textId="77777777" w:rsidR="009D59F9" w:rsidRDefault="009D59F9">
          <w:pPr>
            <w:pStyle w:val="TOC2"/>
            <w:tabs>
              <w:tab w:val="right" w:leader="dot" w:pos="9962"/>
            </w:tabs>
            <w:rPr>
              <w:noProof/>
            </w:rPr>
          </w:pPr>
          <w:hyperlink w:anchor="_Toc232492685" w:history="1">
            <w:r w:rsidRPr="0040008D">
              <w:rPr>
                <w:rStyle w:val="Hyperlink"/>
                <w:noProof/>
              </w:rPr>
              <w:t>INPO 12-012: Traits of a Healthy Nuclear Safety Culture</w:t>
            </w:r>
            <w:r>
              <w:rPr>
                <w:noProof/>
              </w:rPr>
              <w:tab/>
            </w:r>
            <w:r>
              <w:rPr>
                <w:noProof/>
              </w:rPr>
              <w:fldChar w:fldCharType="begin"/>
            </w:r>
            <w:r>
              <w:rPr>
                <w:noProof/>
              </w:rPr>
              <w:instrText xml:space="preserve"> PAGEREF _Toc232492685 \h </w:instrText>
            </w:r>
            <w:r>
              <w:rPr>
                <w:noProof/>
              </w:rPr>
            </w:r>
            <w:r>
              <w:rPr>
                <w:noProof/>
              </w:rPr>
              <w:fldChar w:fldCharType="separate"/>
            </w:r>
            <w:r>
              <w:rPr>
                <w:noProof/>
              </w:rPr>
              <w:t>4</w:t>
            </w:r>
            <w:r>
              <w:rPr>
                <w:noProof/>
              </w:rPr>
              <w:fldChar w:fldCharType="end"/>
            </w:r>
          </w:hyperlink>
        </w:p>
        <w:p w14:paraId="6441F48B" w14:textId="77777777" w:rsidR="009D59F9" w:rsidRDefault="009D59F9">
          <w:pPr>
            <w:pStyle w:val="TOC2"/>
            <w:tabs>
              <w:tab w:val="right" w:leader="dot" w:pos="9962"/>
            </w:tabs>
            <w:rPr>
              <w:noProof/>
            </w:rPr>
          </w:pPr>
          <w:hyperlink w:anchor="_Toc232492686" w:history="1">
            <w:r w:rsidRPr="0040008D">
              <w:rPr>
                <w:rStyle w:val="Hyperlink"/>
                <w:noProof/>
              </w:rPr>
              <w:t>WANO Principles</w:t>
            </w:r>
            <w:r>
              <w:rPr>
                <w:noProof/>
              </w:rPr>
              <w:tab/>
            </w:r>
            <w:r>
              <w:rPr>
                <w:noProof/>
              </w:rPr>
              <w:fldChar w:fldCharType="begin"/>
            </w:r>
            <w:r>
              <w:rPr>
                <w:noProof/>
              </w:rPr>
              <w:instrText xml:space="preserve"> PAGEREF _Toc232492686 \h </w:instrText>
            </w:r>
            <w:r>
              <w:rPr>
                <w:noProof/>
              </w:rPr>
            </w:r>
            <w:r>
              <w:rPr>
                <w:noProof/>
              </w:rPr>
              <w:fldChar w:fldCharType="separate"/>
            </w:r>
            <w:r>
              <w:rPr>
                <w:noProof/>
              </w:rPr>
              <w:t>4</w:t>
            </w:r>
            <w:r>
              <w:rPr>
                <w:noProof/>
              </w:rPr>
              <w:fldChar w:fldCharType="end"/>
            </w:r>
          </w:hyperlink>
        </w:p>
        <w:p w14:paraId="514F6D3C" w14:textId="77777777" w:rsidR="009D59F9" w:rsidRDefault="009D59F9">
          <w:pPr>
            <w:pStyle w:val="TOC2"/>
            <w:tabs>
              <w:tab w:val="right" w:leader="dot" w:pos="9962"/>
            </w:tabs>
            <w:rPr>
              <w:noProof/>
            </w:rPr>
          </w:pPr>
          <w:hyperlink w:anchor="_Toc232492687" w:history="1">
            <w:r w:rsidRPr="0040008D">
              <w:rPr>
                <w:rStyle w:val="Hyperlink"/>
                <w:noProof/>
              </w:rPr>
              <w:t>ONR TAG 77</w:t>
            </w:r>
            <w:r>
              <w:rPr>
                <w:noProof/>
              </w:rPr>
              <w:tab/>
            </w:r>
            <w:r>
              <w:rPr>
                <w:noProof/>
              </w:rPr>
              <w:fldChar w:fldCharType="begin"/>
            </w:r>
            <w:r>
              <w:rPr>
                <w:noProof/>
              </w:rPr>
              <w:instrText xml:space="preserve"> PAGEREF _Toc232492687 \h </w:instrText>
            </w:r>
            <w:r>
              <w:rPr>
                <w:noProof/>
              </w:rPr>
            </w:r>
            <w:r>
              <w:rPr>
                <w:noProof/>
              </w:rPr>
              <w:fldChar w:fldCharType="separate"/>
            </w:r>
            <w:r>
              <w:rPr>
                <w:noProof/>
              </w:rPr>
              <w:t>4</w:t>
            </w:r>
            <w:r>
              <w:rPr>
                <w:noProof/>
              </w:rPr>
              <w:fldChar w:fldCharType="end"/>
            </w:r>
          </w:hyperlink>
        </w:p>
        <w:p w14:paraId="6F1E707C" w14:textId="77777777" w:rsidR="009D59F9" w:rsidRDefault="009D59F9">
          <w:pPr>
            <w:pStyle w:val="TOC1"/>
            <w:tabs>
              <w:tab w:val="right" w:leader="dot" w:pos="9962"/>
            </w:tabs>
            <w:rPr>
              <w:noProof/>
            </w:rPr>
          </w:pPr>
          <w:hyperlink w:anchor="_Toc232492688" w:history="1">
            <w:r w:rsidRPr="0040008D">
              <w:rPr>
                <w:rStyle w:val="Hyperlink"/>
                <w:noProof/>
              </w:rPr>
              <w:t>The ten traits of a healthy nuclear safety culture</w:t>
            </w:r>
            <w:r>
              <w:rPr>
                <w:noProof/>
              </w:rPr>
              <w:tab/>
            </w:r>
            <w:r>
              <w:rPr>
                <w:noProof/>
              </w:rPr>
              <w:fldChar w:fldCharType="begin"/>
            </w:r>
            <w:r>
              <w:rPr>
                <w:noProof/>
              </w:rPr>
              <w:instrText xml:space="preserve"> PAGEREF _Toc232492688 \h </w:instrText>
            </w:r>
            <w:r>
              <w:rPr>
                <w:noProof/>
              </w:rPr>
            </w:r>
            <w:r>
              <w:rPr>
                <w:noProof/>
              </w:rPr>
              <w:fldChar w:fldCharType="separate"/>
            </w:r>
            <w:r>
              <w:rPr>
                <w:noProof/>
              </w:rPr>
              <w:t>5</w:t>
            </w:r>
            <w:r>
              <w:rPr>
                <w:noProof/>
              </w:rPr>
              <w:fldChar w:fldCharType="end"/>
            </w:r>
          </w:hyperlink>
        </w:p>
        <w:p w14:paraId="7DCE2F24" w14:textId="77777777" w:rsidR="009D59F9" w:rsidRDefault="009D59F9">
          <w:pPr>
            <w:pStyle w:val="TOC2"/>
            <w:tabs>
              <w:tab w:val="right" w:leader="dot" w:pos="9962"/>
            </w:tabs>
            <w:rPr>
              <w:noProof/>
            </w:rPr>
          </w:pPr>
          <w:hyperlink w:anchor="_Toc232492689" w:history="1">
            <w:r w:rsidRPr="0040008D">
              <w:rPr>
                <w:rStyle w:val="Hyperlink"/>
                <w:noProof/>
              </w:rPr>
              <w:t>1. Personal accountability</w:t>
            </w:r>
            <w:r>
              <w:rPr>
                <w:noProof/>
              </w:rPr>
              <w:tab/>
            </w:r>
            <w:r>
              <w:rPr>
                <w:noProof/>
              </w:rPr>
              <w:fldChar w:fldCharType="begin"/>
            </w:r>
            <w:r>
              <w:rPr>
                <w:noProof/>
              </w:rPr>
              <w:instrText xml:space="preserve"> PAGEREF _Toc232492689 \h </w:instrText>
            </w:r>
            <w:r>
              <w:rPr>
                <w:noProof/>
              </w:rPr>
            </w:r>
            <w:r>
              <w:rPr>
                <w:noProof/>
              </w:rPr>
              <w:fldChar w:fldCharType="separate"/>
            </w:r>
            <w:r>
              <w:rPr>
                <w:noProof/>
              </w:rPr>
              <w:t>5</w:t>
            </w:r>
            <w:r>
              <w:rPr>
                <w:noProof/>
              </w:rPr>
              <w:fldChar w:fldCharType="end"/>
            </w:r>
          </w:hyperlink>
        </w:p>
        <w:p w14:paraId="69F38012" w14:textId="77777777" w:rsidR="009D59F9" w:rsidRDefault="009D59F9">
          <w:pPr>
            <w:pStyle w:val="TOC2"/>
            <w:tabs>
              <w:tab w:val="right" w:leader="dot" w:pos="9962"/>
            </w:tabs>
            <w:rPr>
              <w:noProof/>
            </w:rPr>
          </w:pPr>
          <w:hyperlink w:anchor="_Toc232492690" w:history="1">
            <w:r w:rsidRPr="0040008D">
              <w:rPr>
                <w:rStyle w:val="Hyperlink"/>
                <w:noProof/>
              </w:rPr>
              <w:t>2. Questioning attitude</w:t>
            </w:r>
            <w:r>
              <w:rPr>
                <w:noProof/>
              </w:rPr>
              <w:tab/>
            </w:r>
            <w:r>
              <w:rPr>
                <w:noProof/>
              </w:rPr>
              <w:fldChar w:fldCharType="begin"/>
            </w:r>
            <w:r>
              <w:rPr>
                <w:noProof/>
              </w:rPr>
              <w:instrText xml:space="preserve"> PAGEREF _Toc232492690 \h </w:instrText>
            </w:r>
            <w:r>
              <w:rPr>
                <w:noProof/>
              </w:rPr>
            </w:r>
            <w:r>
              <w:rPr>
                <w:noProof/>
              </w:rPr>
              <w:fldChar w:fldCharType="separate"/>
            </w:r>
            <w:r>
              <w:rPr>
                <w:noProof/>
              </w:rPr>
              <w:t>5</w:t>
            </w:r>
            <w:r>
              <w:rPr>
                <w:noProof/>
              </w:rPr>
              <w:fldChar w:fldCharType="end"/>
            </w:r>
          </w:hyperlink>
        </w:p>
        <w:p w14:paraId="3D852674" w14:textId="77777777" w:rsidR="009D59F9" w:rsidRDefault="009D59F9">
          <w:pPr>
            <w:pStyle w:val="TOC2"/>
            <w:tabs>
              <w:tab w:val="right" w:leader="dot" w:pos="9962"/>
            </w:tabs>
            <w:rPr>
              <w:noProof/>
            </w:rPr>
          </w:pPr>
          <w:hyperlink w:anchor="_Toc232492691" w:history="1">
            <w:r w:rsidRPr="0040008D">
              <w:rPr>
                <w:rStyle w:val="Hyperlink"/>
                <w:noProof/>
              </w:rPr>
              <w:t>3. Safety communication</w:t>
            </w:r>
            <w:r>
              <w:rPr>
                <w:noProof/>
              </w:rPr>
              <w:tab/>
            </w:r>
            <w:r>
              <w:rPr>
                <w:noProof/>
              </w:rPr>
              <w:fldChar w:fldCharType="begin"/>
            </w:r>
            <w:r>
              <w:rPr>
                <w:noProof/>
              </w:rPr>
              <w:instrText xml:space="preserve"> PAGEREF _Toc232492691 \h </w:instrText>
            </w:r>
            <w:r>
              <w:rPr>
                <w:noProof/>
              </w:rPr>
            </w:r>
            <w:r>
              <w:rPr>
                <w:noProof/>
              </w:rPr>
              <w:fldChar w:fldCharType="separate"/>
            </w:r>
            <w:r>
              <w:rPr>
                <w:noProof/>
              </w:rPr>
              <w:t>5</w:t>
            </w:r>
            <w:r>
              <w:rPr>
                <w:noProof/>
              </w:rPr>
              <w:fldChar w:fldCharType="end"/>
            </w:r>
          </w:hyperlink>
        </w:p>
        <w:p w14:paraId="382109E8" w14:textId="77777777" w:rsidR="009D59F9" w:rsidRDefault="009D59F9">
          <w:pPr>
            <w:pStyle w:val="TOC2"/>
            <w:tabs>
              <w:tab w:val="right" w:leader="dot" w:pos="9962"/>
            </w:tabs>
            <w:rPr>
              <w:noProof/>
            </w:rPr>
          </w:pPr>
          <w:hyperlink w:anchor="_Toc232492692" w:history="1">
            <w:r w:rsidRPr="0040008D">
              <w:rPr>
                <w:rStyle w:val="Hyperlink"/>
                <w:noProof/>
              </w:rPr>
              <w:t>4. Leadership accountability</w:t>
            </w:r>
            <w:r>
              <w:rPr>
                <w:noProof/>
              </w:rPr>
              <w:tab/>
            </w:r>
            <w:r>
              <w:rPr>
                <w:noProof/>
              </w:rPr>
              <w:fldChar w:fldCharType="begin"/>
            </w:r>
            <w:r>
              <w:rPr>
                <w:noProof/>
              </w:rPr>
              <w:instrText xml:space="preserve"> PAGEREF _Toc232492692 \h </w:instrText>
            </w:r>
            <w:r>
              <w:rPr>
                <w:noProof/>
              </w:rPr>
            </w:r>
            <w:r>
              <w:rPr>
                <w:noProof/>
              </w:rPr>
              <w:fldChar w:fldCharType="separate"/>
            </w:r>
            <w:r>
              <w:rPr>
                <w:noProof/>
              </w:rPr>
              <w:t>6</w:t>
            </w:r>
            <w:r>
              <w:rPr>
                <w:noProof/>
              </w:rPr>
              <w:fldChar w:fldCharType="end"/>
            </w:r>
          </w:hyperlink>
        </w:p>
        <w:p w14:paraId="6685D3FC" w14:textId="77777777" w:rsidR="009D59F9" w:rsidRDefault="009D59F9">
          <w:pPr>
            <w:pStyle w:val="TOC2"/>
            <w:tabs>
              <w:tab w:val="right" w:leader="dot" w:pos="9962"/>
            </w:tabs>
            <w:rPr>
              <w:noProof/>
            </w:rPr>
          </w:pPr>
          <w:hyperlink w:anchor="_Toc232492693" w:history="1">
            <w:r w:rsidRPr="0040008D">
              <w:rPr>
                <w:rStyle w:val="Hyperlink"/>
                <w:noProof/>
              </w:rPr>
              <w:t>5. Conservative decision-making</w:t>
            </w:r>
            <w:r>
              <w:rPr>
                <w:noProof/>
              </w:rPr>
              <w:tab/>
            </w:r>
            <w:r>
              <w:rPr>
                <w:noProof/>
              </w:rPr>
              <w:fldChar w:fldCharType="begin"/>
            </w:r>
            <w:r>
              <w:rPr>
                <w:noProof/>
              </w:rPr>
              <w:instrText xml:space="preserve"> PAGEREF _Toc232492693 \h </w:instrText>
            </w:r>
            <w:r>
              <w:rPr>
                <w:noProof/>
              </w:rPr>
            </w:r>
            <w:r>
              <w:rPr>
                <w:noProof/>
              </w:rPr>
              <w:fldChar w:fldCharType="separate"/>
            </w:r>
            <w:r>
              <w:rPr>
                <w:noProof/>
              </w:rPr>
              <w:t>6</w:t>
            </w:r>
            <w:r>
              <w:rPr>
                <w:noProof/>
              </w:rPr>
              <w:fldChar w:fldCharType="end"/>
            </w:r>
          </w:hyperlink>
        </w:p>
        <w:p w14:paraId="3722480F" w14:textId="77777777" w:rsidR="009D59F9" w:rsidRDefault="009D59F9">
          <w:pPr>
            <w:pStyle w:val="TOC2"/>
            <w:tabs>
              <w:tab w:val="right" w:leader="dot" w:pos="9962"/>
            </w:tabs>
            <w:rPr>
              <w:noProof/>
            </w:rPr>
          </w:pPr>
          <w:hyperlink w:anchor="_Toc232492694" w:history="1">
            <w:r w:rsidRPr="0040008D">
              <w:rPr>
                <w:rStyle w:val="Hyperlink"/>
                <w:noProof/>
              </w:rPr>
              <w:t>6. Respectful work environment</w:t>
            </w:r>
            <w:r>
              <w:rPr>
                <w:noProof/>
              </w:rPr>
              <w:tab/>
            </w:r>
            <w:r>
              <w:rPr>
                <w:noProof/>
              </w:rPr>
              <w:fldChar w:fldCharType="begin"/>
            </w:r>
            <w:r>
              <w:rPr>
                <w:noProof/>
              </w:rPr>
              <w:instrText xml:space="preserve"> PAGEREF _Toc232492694 \h </w:instrText>
            </w:r>
            <w:r>
              <w:rPr>
                <w:noProof/>
              </w:rPr>
            </w:r>
            <w:r>
              <w:rPr>
                <w:noProof/>
              </w:rPr>
              <w:fldChar w:fldCharType="separate"/>
            </w:r>
            <w:r>
              <w:rPr>
                <w:noProof/>
              </w:rPr>
              <w:t>6</w:t>
            </w:r>
            <w:r>
              <w:rPr>
                <w:noProof/>
              </w:rPr>
              <w:fldChar w:fldCharType="end"/>
            </w:r>
          </w:hyperlink>
        </w:p>
        <w:p w14:paraId="3933354D" w14:textId="77777777" w:rsidR="009D59F9" w:rsidRDefault="009D59F9">
          <w:pPr>
            <w:pStyle w:val="TOC2"/>
            <w:tabs>
              <w:tab w:val="right" w:leader="dot" w:pos="9962"/>
            </w:tabs>
            <w:rPr>
              <w:noProof/>
            </w:rPr>
          </w:pPr>
          <w:hyperlink w:anchor="_Toc232492695" w:history="1">
            <w:r w:rsidRPr="0040008D">
              <w:rPr>
                <w:rStyle w:val="Hyperlink"/>
                <w:noProof/>
              </w:rPr>
              <w:t>7. Continuous learning</w:t>
            </w:r>
            <w:r>
              <w:rPr>
                <w:noProof/>
              </w:rPr>
              <w:tab/>
            </w:r>
            <w:r>
              <w:rPr>
                <w:noProof/>
              </w:rPr>
              <w:fldChar w:fldCharType="begin"/>
            </w:r>
            <w:r>
              <w:rPr>
                <w:noProof/>
              </w:rPr>
              <w:instrText xml:space="preserve"> PAGEREF _Toc232492695 \h </w:instrText>
            </w:r>
            <w:r>
              <w:rPr>
                <w:noProof/>
              </w:rPr>
            </w:r>
            <w:r>
              <w:rPr>
                <w:noProof/>
              </w:rPr>
              <w:fldChar w:fldCharType="separate"/>
            </w:r>
            <w:r>
              <w:rPr>
                <w:noProof/>
              </w:rPr>
              <w:t>7</w:t>
            </w:r>
            <w:r>
              <w:rPr>
                <w:noProof/>
              </w:rPr>
              <w:fldChar w:fldCharType="end"/>
            </w:r>
          </w:hyperlink>
        </w:p>
        <w:p w14:paraId="7C909A3E" w14:textId="77777777" w:rsidR="009D59F9" w:rsidRDefault="009D59F9">
          <w:pPr>
            <w:pStyle w:val="TOC2"/>
            <w:tabs>
              <w:tab w:val="right" w:leader="dot" w:pos="9962"/>
            </w:tabs>
            <w:rPr>
              <w:noProof/>
            </w:rPr>
          </w:pPr>
          <w:hyperlink w:anchor="_Toc232492696" w:history="1">
            <w:r w:rsidRPr="0040008D">
              <w:rPr>
                <w:rStyle w:val="Hyperlink"/>
                <w:noProof/>
              </w:rPr>
              <w:t>8. Problem identification and resolution</w:t>
            </w:r>
            <w:r>
              <w:rPr>
                <w:noProof/>
              </w:rPr>
              <w:tab/>
            </w:r>
            <w:r>
              <w:rPr>
                <w:noProof/>
              </w:rPr>
              <w:fldChar w:fldCharType="begin"/>
            </w:r>
            <w:r>
              <w:rPr>
                <w:noProof/>
              </w:rPr>
              <w:instrText xml:space="preserve"> PAGEREF _Toc232492696 \h </w:instrText>
            </w:r>
            <w:r>
              <w:rPr>
                <w:noProof/>
              </w:rPr>
            </w:r>
            <w:r>
              <w:rPr>
                <w:noProof/>
              </w:rPr>
              <w:fldChar w:fldCharType="separate"/>
            </w:r>
            <w:r>
              <w:rPr>
                <w:noProof/>
              </w:rPr>
              <w:t>7</w:t>
            </w:r>
            <w:r>
              <w:rPr>
                <w:noProof/>
              </w:rPr>
              <w:fldChar w:fldCharType="end"/>
            </w:r>
          </w:hyperlink>
        </w:p>
        <w:p w14:paraId="527A4378" w14:textId="77777777" w:rsidR="009D59F9" w:rsidRDefault="009D59F9">
          <w:pPr>
            <w:pStyle w:val="TOC2"/>
            <w:tabs>
              <w:tab w:val="right" w:leader="dot" w:pos="9962"/>
            </w:tabs>
            <w:rPr>
              <w:noProof/>
            </w:rPr>
          </w:pPr>
          <w:hyperlink w:anchor="_Toc232492697" w:history="1">
            <w:r w:rsidRPr="0040008D">
              <w:rPr>
                <w:rStyle w:val="Hyperlink"/>
                <w:noProof/>
              </w:rPr>
              <w:t>9. Environment for raising concerns</w:t>
            </w:r>
            <w:r>
              <w:rPr>
                <w:noProof/>
              </w:rPr>
              <w:tab/>
            </w:r>
            <w:r>
              <w:rPr>
                <w:noProof/>
              </w:rPr>
              <w:fldChar w:fldCharType="begin"/>
            </w:r>
            <w:r>
              <w:rPr>
                <w:noProof/>
              </w:rPr>
              <w:instrText xml:space="preserve"> PAGEREF _Toc232492697 \h </w:instrText>
            </w:r>
            <w:r>
              <w:rPr>
                <w:noProof/>
              </w:rPr>
            </w:r>
            <w:r>
              <w:rPr>
                <w:noProof/>
              </w:rPr>
              <w:fldChar w:fldCharType="separate"/>
            </w:r>
            <w:r>
              <w:rPr>
                <w:noProof/>
              </w:rPr>
              <w:t>7</w:t>
            </w:r>
            <w:r>
              <w:rPr>
                <w:noProof/>
              </w:rPr>
              <w:fldChar w:fldCharType="end"/>
            </w:r>
          </w:hyperlink>
        </w:p>
        <w:p w14:paraId="377B31AE" w14:textId="77777777" w:rsidR="009D59F9" w:rsidRDefault="009D59F9">
          <w:pPr>
            <w:pStyle w:val="TOC2"/>
            <w:tabs>
              <w:tab w:val="right" w:leader="dot" w:pos="9962"/>
            </w:tabs>
            <w:rPr>
              <w:noProof/>
            </w:rPr>
          </w:pPr>
          <w:hyperlink w:anchor="_Toc232492698" w:history="1">
            <w:r w:rsidRPr="0040008D">
              <w:rPr>
                <w:rStyle w:val="Hyperlink"/>
                <w:noProof/>
              </w:rPr>
              <w:t>10. Work processes</w:t>
            </w:r>
            <w:r>
              <w:rPr>
                <w:noProof/>
              </w:rPr>
              <w:tab/>
            </w:r>
            <w:r>
              <w:rPr>
                <w:noProof/>
              </w:rPr>
              <w:fldChar w:fldCharType="begin"/>
            </w:r>
            <w:r>
              <w:rPr>
                <w:noProof/>
              </w:rPr>
              <w:instrText xml:space="preserve"> PAGEREF _Toc232492698 \h </w:instrText>
            </w:r>
            <w:r>
              <w:rPr>
                <w:noProof/>
              </w:rPr>
            </w:r>
            <w:r>
              <w:rPr>
                <w:noProof/>
              </w:rPr>
              <w:fldChar w:fldCharType="separate"/>
            </w:r>
            <w:r>
              <w:rPr>
                <w:noProof/>
              </w:rPr>
              <w:t>8</w:t>
            </w:r>
            <w:r>
              <w:rPr>
                <w:noProof/>
              </w:rPr>
              <w:fldChar w:fldCharType="end"/>
            </w:r>
          </w:hyperlink>
        </w:p>
        <w:p w14:paraId="0C2DA6F2" w14:textId="77777777" w:rsidR="009D59F9" w:rsidRDefault="009D59F9">
          <w:pPr>
            <w:pStyle w:val="TOC1"/>
            <w:tabs>
              <w:tab w:val="right" w:leader="dot" w:pos="9962"/>
            </w:tabs>
            <w:rPr>
              <w:noProof/>
            </w:rPr>
          </w:pPr>
          <w:hyperlink w:anchor="_Toc232492699" w:history="1">
            <w:r w:rsidRPr="0040008D">
              <w:rPr>
                <w:rStyle w:val="Hyperlink"/>
                <w:noProof/>
              </w:rPr>
              <w:t>Assessing where you are and what to work on next</w:t>
            </w:r>
            <w:r>
              <w:rPr>
                <w:noProof/>
              </w:rPr>
              <w:tab/>
            </w:r>
            <w:r>
              <w:rPr>
                <w:noProof/>
              </w:rPr>
              <w:fldChar w:fldCharType="begin"/>
            </w:r>
            <w:r>
              <w:rPr>
                <w:noProof/>
              </w:rPr>
              <w:instrText xml:space="preserve"> PAGEREF _Toc232492699 \h </w:instrText>
            </w:r>
            <w:r>
              <w:rPr>
                <w:noProof/>
              </w:rPr>
            </w:r>
            <w:r>
              <w:rPr>
                <w:noProof/>
              </w:rPr>
              <w:fldChar w:fldCharType="separate"/>
            </w:r>
            <w:r>
              <w:rPr>
                <w:noProof/>
              </w:rPr>
              <w:t>9</w:t>
            </w:r>
            <w:r>
              <w:rPr>
                <w:noProof/>
              </w:rPr>
              <w:fldChar w:fldCharType="end"/>
            </w:r>
          </w:hyperlink>
        </w:p>
        <w:p w14:paraId="4E6A575F" w14:textId="77777777" w:rsidR="009D59F9" w:rsidRDefault="009D59F9">
          <w:pPr>
            <w:pStyle w:val="TOC2"/>
            <w:tabs>
              <w:tab w:val="right" w:leader="dot" w:pos="9962"/>
            </w:tabs>
            <w:rPr>
              <w:noProof/>
            </w:rPr>
          </w:pPr>
          <w:hyperlink w:anchor="_Toc232492700" w:history="1">
            <w:r w:rsidRPr="0040008D">
              <w:rPr>
                <w:rStyle w:val="Hyperlink"/>
                <w:noProof/>
              </w:rPr>
              <w:t>The maturity model</w:t>
            </w:r>
            <w:r>
              <w:rPr>
                <w:noProof/>
              </w:rPr>
              <w:tab/>
            </w:r>
            <w:r>
              <w:rPr>
                <w:noProof/>
              </w:rPr>
              <w:fldChar w:fldCharType="begin"/>
            </w:r>
            <w:r>
              <w:rPr>
                <w:noProof/>
              </w:rPr>
              <w:instrText xml:space="preserve"> PAGEREF _Toc232492700 \h </w:instrText>
            </w:r>
            <w:r>
              <w:rPr>
                <w:noProof/>
              </w:rPr>
            </w:r>
            <w:r>
              <w:rPr>
                <w:noProof/>
              </w:rPr>
              <w:fldChar w:fldCharType="separate"/>
            </w:r>
            <w:r>
              <w:rPr>
                <w:noProof/>
              </w:rPr>
              <w:t>9</w:t>
            </w:r>
            <w:r>
              <w:rPr>
                <w:noProof/>
              </w:rPr>
              <w:fldChar w:fldCharType="end"/>
            </w:r>
          </w:hyperlink>
        </w:p>
        <w:p w14:paraId="60A6BFF6" w14:textId="77777777" w:rsidR="009D59F9" w:rsidRDefault="009D59F9">
          <w:pPr>
            <w:pStyle w:val="TOC2"/>
            <w:tabs>
              <w:tab w:val="right" w:leader="dot" w:pos="9962"/>
            </w:tabs>
            <w:rPr>
              <w:noProof/>
            </w:rPr>
          </w:pPr>
          <w:hyperlink w:anchor="_Toc232492701" w:history="1">
            <w:r w:rsidRPr="0040008D">
              <w:rPr>
                <w:rStyle w:val="Hyperlink"/>
                <w:noProof/>
              </w:rPr>
              <w:t>Methods for gathering a realistic picture</w:t>
            </w:r>
            <w:r>
              <w:rPr>
                <w:noProof/>
              </w:rPr>
              <w:tab/>
            </w:r>
            <w:r>
              <w:rPr>
                <w:noProof/>
              </w:rPr>
              <w:fldChar w:fldCharType="begin"/>
            </w:r>
            <w:r>
              <w:rPr>
                <w:noProof/>
              </w:rPr>
              <w:instrText xml:space="preserve"> PAGEREF _Toc232492701 \h </w:instrText>
            </w:r>
            <w:r>
              <w:rPr>
                <w:noProof/>
              </w:rPr>
            </w:r>
            <w:r>
              <w:rPr>
                <w:noProof/>
              </w:rPr>
              <w:fldChar w:fldCharType="separate"/>
            </w:r>
            <w:r>
              <w:rPr>
                <w:noProof/>
              </w:rPr>
              <w:t>9</w:t>
            </w:r>
            <w:r>
              <w:rPr>
                <w:noProof/>
              </w:rPr>
              <w:fldChar w:fldCharType="end"/>
            </w:r>
          </w:hyperlink>
        </w:p>
        <w:p w14:paraId="781F2225" w14:textId="77777777" w:rsidR="009D59F9" w:rsidRDefault="009D59F9">
          <w:pPr>
            <w:pStyle w:val="TOC1"/>
            <w:tabs>
              <w:tab w:val="right" w:leader="dot" w:pos="9962"/>
            </w:tabs>
            <w:rPr>
              <w:noProof/>
            </w:rPr>
          </w:pPr>
          <w:hyperlink w:anchor="_Toc232492702" w:history="1">
            <w:r w:rsidRPr="0040008D">
              <w:rPr>
                <w:rStyle w:val="Hyperlink"/>
                <w:noProof/>
              </w:rPr>
              <w:t>Practical activities for building and evidencing safety culture</w:t>
            </w:r>
            <w:r>
              <w:rPr>
                <w:noProof/>
              </w:rPr>
              <w:tab/>
            </w:r>
            <w:r>
              <w:rPr>
                <w:noProof/>
              </w:rPr>
              <w:fldChar w:fldCharType="begin"/>
            </w:r>
            <w:r>
              <w:rPr>
                <w:noProof/>
              </w:rPr>
              <w:instrText xml:space="preserve"> PAGEREF _Toc232492702 \h </w:instrText>
            </w:r>
            <w:r>
              <w:rPr>
                <w:noProof/>
              </w:rPr>
            </w:r>
            <w:r>
              <w:rPr>
                <w:noProof/>
              </w:rPr>
              <w:fldChar w:fldCharType="separate"/>
            </w:r>
            <w:r>
              <w:rPr>
                <w:noProof/>
              </w:rPr>
              <w:t>11</w:t>
            </w:r>
            <w:r>
              <w:rPr>
                <w:noProof/>
              </w:rPr>
              <w:fldChar w:fldCharType="end"/>
            </w:r>
          </w:hyperlink>
        </w:p>
        <w:p w14:paraId="5D6DE737" w14:textId="77777777" w:rsidR="009D59F9" w:rsidRDefault="009D59F9">
          <w:pPr>
            <w:pStyle w:val="TOC2"/>
            <w:tabs>
              <w:tab w:val="right" w:leader="dot" w:pos="9962"/>
            </w:tabs>
            <w:rPr>
              <w:noProof/>
            </w:rPr>
          </w:pPr>
          <w:hyperlink w:anchor="_Toc232492703" w:history="1">
            <w:r w:rsidRPr="0040008D">
              <w:rPr>
                <w:rStyle w:val="Hyperlink"/>
                <w:noProof/>
              </w:rPr>
              <w:t>Near miss and hazard reporting</w:t>
            </w:r>
            <w:r>
              <w:rPr>
                <w:noProof/>
              </w:rPr>
              <w:tab/>
            </w:r>
            <w:r>
              <w:rPr>
                <w:noProof/>
              </w:rPr>
              <w:fldChar w:fldCharType="begin"/>
            </w:r>
            <w:r>
              <w:rPr>
                <w:noProof/>
              </w:rPr>
              <w:instrText xml:space="preserve"> PAGEREF _Toc232492703 \h </w:instrText>
            </w:r>
            <w:r>
              <w:rPr>
                <w:noProof/>
              </w:rPr>
            </w:r>
            <w:r>
              <w:rPr>
                <w:noProof/>
              </w:rPr>
              <w:fldChar w:fldCharType="separate"/>
            </w:r>
            <w:r>
              <w:rPr>
                <w:noProof/>
              </w:rPr>
              <w:t>11</w:t>
            </w:r>
            <w:r>
              <w:rPr>
                <w:noProof/>
              </w:rPr>
              <w:fldChar w:fldCharType="end"/>
            </w:r>
          </w:hyperlink>
        </w:p>
        <w:p w14:paraId="5C4C19E5" w14:textId="77777777" w:rsidR="009D59F9" w:rsidRDefault="009D59F9">
          <w:pPr>
            <w:pStyle w:val="TOC2"/>
            <w:tabs>
              <w:tab w:val="right" w:leader="dot" w:pos="9962"/>
            </w:tabs>
            <w:rPr>
              <w:noProof/>
            </w:rPr>
          </w:pPr>
          <w:hyperlink w:anchor="_Toc232492704" w:history="1">
            <w:r w:rsidRPr="0040008D">
              <w:rPr>
                <w:rStyle w:val="Hyperlink"/>
                <w:noProof/>
              </w:rPr>
              <w:t>Toolbox talks</w:t>
            </w:r>
            <w:r>
              <w:rPr>
                <w:noProof/>
              </w:rPr>
              <w:tab/>
            </w:r>
            <w:r>
              <w:rPr>
                <w:noProof/>
              </w:rPr>
              <w:fldChar w:fldCharType="begin"/>
            </w:r>
            <w:r>
              <w:rPr>
                <w:noProof/>
              </w:rPr>
              <w:instrText xml:space="preserve"> PAGEREF _Toc232492704 \h </w:instrText>
            </w:r>
            <w:r>
              <w:rPr>
                <w:noProof/>
              </w:rPr>
            </w:r>
            <w:r>
              <w:rPr>
                <w:noProof/>
              </w:rPr>
              <w:fldChar w:fldCharType="separate"/>
            </w:r>
            <w:r>
              <w:rPr>
                <w:noProof/>
              </w:rPr>
              <w:t>11</w:t>
            </w:r>
            <w:r>
              <w:rPr>
                <w:noProof/>
              </w:rPr>
              <w:fldChar w:fldCharType="end"/>
            </w:r>
          </w:hyperlink>
        </w:p>
        <w:p w14:paraId="6E8A5C20" w14:textId="77777777" w:rsidR="009D59F9" w:rsidRDefault="009D59F9">
          <w:pPr>
            <w:pStyle w:val="TOC2"/>
            <w:tabs>
              <w:tab w:val="right" w:leader="dot" w:pos="9962"/>
            </w:tabs>
            <w:rPr>
              <w:noProof/>
            </w:rPr>
          </w:pPr>
          <w:hyperlink w:anchor="_Toc232492705" w:history="1">
            <w:r w:rsidRPr="0040008D">
              <w:rPr>
                <w:rStyle w:val="Hyperlink"/>
                <w:noProof/>
              </w:rPr>
              <w:t>Just culture</w:t>
            </w:r>
            <w:r>
              <w:rPr>
                <w:noProof/>
              </w:rPr>
              <w:tab/>
            </w:r>
            <w:r>
              <w:rPr>
                <w:noProof/>
              </w:rPr>
              <w:fldChar w:fldCharType="begin"/>
            </w:r>
            <w:r>
              <w:rPr>
                <w:noProof/>
              </w:rPr>
              <w:instrText xml:space="preserve"> PAGEREF _Toc232492705 \h </w:instrText>
            </w:r>
            <w:r>
              <w:rPr>
                <w:noProof/>
              </w:rPr>
            </w:r>
            <w:r>
              <w:rPr>
                <w:noProof/>
              </w:rPr>
              <w:fldChar w:fldCharType="separate"/>
            </w:r>
            <w:r>
              <w:rPr>
                <w:noProof/>
              </w:rPr>
              <w:t>11</w:t>
            </w:r>
            <w:r>
              <w:rPr>
                <w:noProof/>
              </w:rPr>
              <w:fldChar w:fldCharType="end"/>
            </w:r>
          </w:hyperlink>
        </w:p>
        <w:p w14:paraId="4CFD3415" w14:textId="77777777" w:rsidR="009D59F9" w:rsidRDefault="009D59F9">
          <w:pPr>
            <w:pStyle w:val="TOC2"/>
            <w:tabs>
              <w:tab w:val="right" w:leader="dot" w:pos="9962"/>
            </w:tabs>
            <w:rPr>
              <w:noProof/>
            </w:rPr>
          </w:pPr>
          <w:hyperlink w:anchor="_Toc232492706" w:history="1">
            <w:r w:rsidRPr="0040008D">
              <w:rPr>
                <w:rStyle w:val="Hyperlink"/>
                <w:noProof/>
              </w:rPr>
              <w:t>Visible leadership activity</w:t>
            </w:r>
            <w:r>
              <w:rPr>
                <w:noProof/>
              </w:rPr>
              <w:tab/>
            </w:r>
            <w:r>
              <w:rPr>
                <w:noProof/>
              </w:rPr>
              <w:fldChar w:fldCharType="begin"/>
            </w:r>
            <w:r>
              <w:rPr>
                <w:noProof/>
              </w:rPr>
              <w:instrText xml:space="preserve"> PAGEREF _Toc232492706 \h </w:instrText>
            </w:r>
            <w:r>
              <w:rPr>
                <w:noProof/>
              </w:rPr>
            </w:r>
            <w:r>
              <w:rPr>
                <w:noProof/>
              </w:rPr>
              <w:fldChar w:fldCharType="separate"/>
            </w:r>
            <w:r>
              <w:rPr>
                <w:noProof/>
              </w:rPr>
              <w:t>11</w:t>
            </w:r>
            <w:r>
              <w:rPr>
                <w:noProof/>
              </w:rPr>
              <w:fldChar w:fldCharType="end"/>
            </w:r>
          </w:hyperlink>
        </w:p>
        <w:p w14:paraId="28C3D83B" w14:textId="77777777" w:rsidR="009D59F9" w:rsidRDefault="009D59F9">
          <w:pPr>
            <w:pStyle w:val="TOC2"/>
            <w:tabs>
              <w:tab w:val="right" w:leader="dot" w:pos="9962"/>
            </w:tabs>
            <w:rPr>
              <w:noProof/>
            </w:rPr>
          </w:pPr>
          <w:hyperlink w:anchor="_Toc232492707" w:history="1">
            <w:r w:rsidRPr="0040008D">
              <w:rPr>
                <w:rStyle w:val="Hyperlink"/>
                <w:noProof/>
              </w:rPr>
              <w:t>Questions to ask during site walks and staff conversations</w:t>
            </w:r>
            <w:r>
              <w:rPr>
                <w:noProof/>
              </w:rPr>
              <w:tab/>
            </w:r>
            <w:r>
              <w:rPr>
                <w:noProof/>
              </w:rPr>
              <w:fldChar w:fldCharType="begin"/>
            </w:r>
            <w:r>
              <w:rPr>
                <w:noProof/>
              </w:rPr>
              <w:instrText xml:space="preserve"> PAGEREF _Toc232492707 \h </w:instrText>
            </w:r>
            <w:r>
              <w:rPr>
                <w:noProof/>
              </w:rPr>
            </w:r>
            <w:r>
              <w:rPr>
                <w:noProof/>
              </w:rPr>
              <w:fldChar w:fldCharType="separate"/>
            </w:r>
            <w:r>
              <w:rPr>
                <w:noProof/>
              </w:rPr>
              <w:t>12</w:t>
            </w:r>
            <w:r>
              <w:rPr>
                <w:noProof/>
              </w:rPr>
              <w:fldChar w:fldCharType="end"/>
            </w:r>
          </w:hyperlink>
        </w:p>
        <w:p w14:paraId="7C4B17A9" w14:textId="77777777" w:rsidR="009D59F9" w:rsidRDefault="009D59F9">
          <w:pPr>
            <w:pStyle w:val="TOC1"/>
            <w:tabs>
              <w:tab w:val="right" w:leader="dot" w:pos="9962"/>
            </w:tabs>
            <w:rPr>
              <w:noProof/>
            </w:rPr>
          </w:pPr>
          <w:hyperlink w:anchor="_Toc232492708" w:history="1">
            <w:r w:rsidRPr="0040008D">
              <w:rPr>
                <w:rStyle w:val="Hyperlink"/>
                <w:noProof/>
              </w:rPr>
              <w:t>Using the companion self-assessment and action log</w:t>
            </w:r>
            <w:r>
              <w:rPr>
                <w:noProof/>
              </w:rPr>
              <w:tab/>
            </w:r>
            <w:r>
              <w:rPr>
                <w:noProof/>
              </w:rPr>
              <w:fldChar w:fldCharType="begin"/>
            </w:r>
            <w:r>
              <w:rPr>
                <w:noProof/>
              </w:rPr>
              <w:instrText xml:space="preserve"> PAGEREF _Toc232492708 \h </w:instrText>
            </w:r>
            <w:r>
              <w:rPr>
                <w:noProof/>
              </w:rPr>
            </w:r>
            <w:r>
              <w:rPr>
                <w:noProof/>
              </w:rPr>
              <w:fldChar w:fldCharType="separate"/>
            </w:r>
            <w:r>
              <w:rPr>
                <w:noProof/>
              </w:rPr>
              <w:t>13</w:t>
            </w:r>
            <w:r>
              <w:rPr>
                <w:noProof/>
              </w:rPr>
              <w:fldChar w:fldCharType="end"/>
            </w:r>
          </w:hyperlink>
        </w:p>
        <w:p w14:paraId="67D7B27E" w14:textId="77777777" w:rsidR="009D59F9" w:rsidRDefault="009D59F9">
          <w:pPr>
            <w:pStyle w:val="TOC2"/>
            <w:tabs>
              <w:tab w:val="right" w:leader="dot" w:pos="9962"/>
            </w:tabs>
            <w:rPr>
              <w:noProof/>
            </w:rPr>
          </w:pPr>
          <w:hyperlink w:anchor="_Toc232492709" w:history="1">
            <w:r w:rsidRPr="0040008D">
              <w:rPr>
                <w:rStyle w:val="Hyperlink"/>
                <w:noProof/>
              </w:rPr>
              <w:t>How the workbook is structured</w:t>
            </w:r>
            <w:r>
              <w:rPr>
                <w:noProof/>
              </w:rPr>
              <w:tab/>
            </w:r>
            <w:r>
              <w:rPr>
                <w:noProof/>
              </w:rPr>
              <w:fldChar w:fldCharType="begin"/>
            </w:r>
            <w:r>
              <w:rPr>
                <w:noProof/>
              </w:rPr>
              <w:instrText xml:space="preserve"> PAGEREF _Toc232492709 \h </w:instrText>
            </w:r>
            <w:r>
              <w:rPr>
                <w:noProof/>
              </w:rPr>
            </w:r>
            <w:r>
              <w:rPr>
                <w:noProof/>
              </w:rPr>
              <w:fldChar w:fldCharType="separate"/>
            </w:r>
            <w:r>
              <w:rPr>
                <w:noProof/>
              </w:rPr>
              <w:t>13</w:t>
            </w:r>
            <w:r>
              <w:rPr>
                <w:noProof/>
              </w:rPr>
              <w:fldChar w:fldCharType="end"/>
            </w:r>
          </w:hyperlink>
        </w:p>
        <w:p w14:paraId="58E76E9A" w14:textId="77777777" w:rsidR="009D59F9" w:rsidRDefault="009D59F9">
          <w:pPr>
            <w:pStyle w:val="TOC2"/>
            <w:tabs>
              <w:tab w:val="right" w:leader="dot" w:pos="9962"/>
            </w:tabs>
            <w:rPr>
              <w:noProof/>
            </w:rPr>
          </w:pPr>
          <w:hyperlink w:anchor="_Toc232492710" w:history="1">
            <w:r w:rsidRPr="0040008D">
              <w:rPr>
                <w:rStyle w:val="Hyperlink"/>
                <w:noProof/>
              </w:rPr>
              <w:t>How to run the self-assessment</w:t>
            </w:r>
            <w:r>
              <w:rPr>
                <w:noProof/>
              </w:rPr>
              <w:tab/>
            </w:r>
            <w:r>
              <w:rPr>
                <w:noProof/>
              </w:rPr>
              <w:fldChar w:fldCharType="begin"/>
            </w:r>
            <w:r>
              <w:rPr>
                <w:noProof/>
              </w:rPr>
              <w:instrText xml:space="preserve"> PAGEREF _Toc232492710 \h </w:instrText>
            </w:r>
            <w:r>
              <w:rPr>
                <w:noProof/>
              </w:rPr>
            </w:r>
            <w:r>
              <w:rPr>
                <w:noProof/>
              </w:rPr>
              <w:fldChar w:fldCharType="separate"/>
            </w:r>
            <w:r>
              <w:rPr>
                <w:noProof/>
              </w:rPr>
              <w:t>13</w:t>
            </w:r>
            <w:r>
              <w:rPr>
                <w:noProof/>
              </w:rPr>
              <w:fldChar w:fldCharType="end"/>
            </w:r>
          </w:hyperlink>
        </w:p>
        <w:p w14:paraId="418AFA30" w14:textId="77777777" w:rsidR="009D59F9" w:rsidRDefault="009D59F9">
          <w:pPr>
            <w:pStyle w:val="TOC2"/>
            <w:tabs>
              <w:tab w:val="right" w:leader="dot" w:pos="9962"/>
            </w:tabs>
            <w:rPr>
              <w:noProof/>
            </w:rPr>
          </w:pPr>
          <w:hyperlink w:anchor="_Toc232492711" w:history="1">
            <w:r w:rsidRPr="0040008D">
              <w:rPr>
                <w:rStyle w:val="Hyperlink"/>
                <w:noProof/>
              </w:rPr>
              <w:t>How often to repeat the assessment</w:t>
            </w:r>
            <w:r>
              <w:rPr>
                <w:noProof/>
              </w:rPr>
              <w:tab/>
            </w:r>
            <w:r>
              <w:rPr>
                <w:noProof/>
              </w:rPr>
              <w:fldChar w:fldCharType="begin"/>
            </w:r>
            <w:r>
              <w:rPr>
                <w:noProof/>
              </w:rPr>
              <w:instrText xml:space="preserve"> PAGEREF _Toc232492711 \h </w:instrText>
            </w:r>
            <w:r>
              <w:rPr>
                <w:noProof/>
              </w:rPr>
            </w:r>
            <w:r>
              <w:rPr>
                <w:noProof/>
              </w:rPr>
              <w:fldChar w:fldCharType="separate"/>
            </w:r>
            <w:r>
              <w:rPr>
                <w:noProof/>
              </w:rPr>
              <w:t>13</w:t>
            </w:r>
            <w:r>
              <w:rPr>
                <w:noProof/>
              </w:rPr>
              <w:fldChar w:fldCharType="end"/>
            </w:r>
          </w:hyperlink>
        </w:p>
        <w:p w14:paraId="0BACE107" w14:textId="77777777" w:rsidR="009D6A06" w:rsidRDefault="00000000">
          <w:r>
            <w:fldChar w:fldCharType="end"/>
          </w:r>
        </w:p>
      </w:sdtContent>
    </w:sdt>
    <w:p w14:paraId="02417801" w14:textId="77777777" w:rsidR="009D6A06" w:rsidRDefault="00000000">
      <w:r>
        <w:br w:type="page"/>
      </w:r>
    </w:p>
    <w:p w14:paraId="24A56328" w14:textId="77777777" w:rsidR="009D6A06" w:rsidRDefault="00000000">
      <w:pPr>
        <w:pStyle w:val="Heading1"/>
      </w:pPr>
      <w:bookmarkStart w:id="1" w:name="_Toc232492683"/>
      <w:r>
        <w:rPr>
          <w:color w:val="29ABE2"/>
        </w:rPr>
        <w:lastRenderedPageBreak/>
        <w:t>Introduction</w:t>
      </w:r>
      <w:bookmarkEnd w:id="1"/>
    </w:p>
    <w:p w14:paraId="77D9B020" w14:textId="77777777" w:rsidR="009D6A06" w:rsidRDefault="00000000">
      <w:pPr>
        <w:spacing w:after="160"/>
      </w:pPr>
      <w:r>
        <w:t>Safety culture is not a poster on a wall or a section of your quality management system. It is the sum of the attitudes, behaviours and habits that determine how seriously safety is treated when no one is watching, when there is time pressure, and when cutting corners would be easier. In the nuclear sector, safety culture is taken seriously because the consequences of getting it wrong are severe, long-lasting and, in some cases, irreversible.</w:t>
      </w:r>
    </w:p>
    <w:p w14:paraId="7546AE1D" w14:textId="77777777" w:rsidR="009D6A06" w:rsidRDefault="00000000">
      <w:pPr>
        <w:spacing w:after="160"/>
      </w:pPr>
      <w:r>
        <w:t>The nuclear supply chain is held to the same cultural expectations as the operators and Tier 1 contractors it serves. F4N verification assessors specifically look for evidence that safety culture is embedded and demonstrable, not just described. They will speak to staff at all levels, observe how the workplace operates, and look for consistency between what the organisation says and what it actually does.</w:t>
      </w:r>
    </w:p>
    <w:p w14:paraId="33927D5B" w14:textId="77777777" w:rsidR="009D6A06" w:rsidRDefault="00000000">
      <w:pPr>
        <w:spacing w:after="160"/>
      </w:pPr>
      <w:r>
        <w:t>This guide covers:</w:t>
      </w:r>
    </w:p>
    <w:p w14:paraId="15DFD86A" w14:textId="77777777" w:rsidR="009D6A06" w:rsidRDefault="00000000">
      <w:pPr>
        <w:pStyle w:val="ListParagraph"/>
        <w:numPr>
          <w:ilvl w:val="0"/>
          <w:numId w:val="2"/>
        </w:numPr>
        <w:spacing w:after="80"/>
      </w:pPr>
      <w:r>
        <w:t>What safety culture means in the nuclear context, drawing on INPO, WANO and ONR frameworks.</w:t>
      </w:r>
    </w:p>
    <w:p w14:paraId="477E1181" w14:textId="77777777" w:rsidR="009D6A06" w:rsidRDefault="00000000">
      <w:pPr>
        <w:pStyle w:val="ListParagraph"/>
        <w:numPr>
          <w:ilvl w:val="0"/>
          <w:numId w:val="2"/>
        </w:numPr>
        <w:spacing w:after="80"/>
      </w:pPr>
      <w:r>
        <w:t>The ten traits of a healthy nuclear safety culture and what each means in practice for a supply chain manufacturer.</w:t>
      </w:r>
    </w:p>
    <w:p w14:paraId="4A726824" w14:textId="77777777" w:rsidR="009D6A06" w:rsidRDefault="00000000">
      <w:pPr>
        <w:pStyle w:val="ListParagraph"/>
        <w:numPr>
          <w:ilvl w:val="0"/>
          <w:numId w:val="2"/>
        </w:numPr>
        <w:spacing w:after="80"/>
      </w:pPr>
      <w:r>
        <w:t>How to assess where your organisation currently sits and what to work on next.</w:t>
      </w:r>
    </w:p>
    <w:p w14:paraId="22120499" w14:textId="77777777" w:rsidR="009D6A06" w:rsidRDefault="00000000">
      <w:pPr>
        <w:pStyle w:val="ListParagraph"/>
        <w:numPr>
          <w:ilvl w:val="0"/>
          <w:numId w:val="2"/>
        </w:numPr>
        <w:spacing w:after="80"/>
      </w:pPr>
      <w:r>
        <w:t>Practical activities for building and evidencing safety culture, including near miss reporting, toolbox talks, and the just culture model.</w:t>
      </w:r>
    </w:p>
    <w:p w14:paraId="28471B0E" w14:textId="77777777" w:rsidR="009D6A06" w:rsidRDefault="00000000">
      <w:pPr>
        <w:pStyle w:val="ListParagraph"/>
        <w:numPr>
          <w:ilvl w:val="0"/>
          <w:numId w:val="2"/>
        </w:numPr>
        <w:spacing w:after="80"/>
      </w:pPr>
      <w:r>
        <w:t>How to use the companion QHSE-04a Safety Culture Self-Assessment and Action Log (Excel).</w:t>
      </w:r>
    </w:p>
    <w:p w14:paraId="4AE5A7C6" w14:textId="77777777" w:rsidR="009D6A06" w:rsidRDefault="00000000">
      <w:r>
        <w:br w:type="page"/>
      </w:r>
    </w:p>
    <w:p w14:paraId="67623FE7" w14:textId="77777777" w:rsidR="009D6A06" w:rsidRDefault="00000000">
      <w:pPr>
        <w:pStyle w:val="Heading1"/>
      </w:pPr>
      <w:bookmarkStart w:id="2" w:name="_Toc232492684"/>
      <w:r>
        <w:rPr>
          <w:color w:val="29ABE2"/>
        </w:rPr>
        <w:lastRenderedPageBreak/>
        <w:t>What safety culture means in the nuclear context</w:t>
      </w:r>
      <w:bookmarkEnd w:id="2"/>
    </w:p>
    <w:p w14:paraId="3F3A6D1D" w14:textId="77777777" w:rsidR="009D6A06" w:rsidRDefault="00000000">
      <w:pPr>
        <w:spacing w:after="160"/>
      </w:pPr>
      <w:r>
        <w:t>Safety culture is defined by INPO as the core values and behaviours resulting from a collective commitment by leaders and individuals to emphasise safety over competing goals, to ensure the protection of people and the environment. The key word is collective: safety culture is not something the safety manager owns. It is something every person in the organisation either reinforces or undermines through their daily decisions and behaviours.</w:t>
      </w:r>
    </w:p>
    <w:p w14:paraId="3F78D677" w14:textId="77777777" w:rsidR="009D6A06" w:rsidRDefault="00000000">
      <w:pPr>
        <w:spacing w:after="160"/>
      </w:pPr>
      <w:r>
        <w:t>Three international frameworks underpin how nuclear safety culture is assessed in the UK supply chain:</w:t>
      </w:r>
    </w:p>
    <w:p w14:paraId="19C86069" w14:textId="77777777" w:rsidR="009D6A06" w:rsidRDefault="00000000">
      <w:pPr>
        <w:pStyle w:val="Heading2"/>
      </w:pPr>
      <w:bookmarkStart w:id="3" w:name="_Toc232492685"/>
      <w:r>
        <w:rPr>
          <w:color w:val="7B2D8B"/>
        </w:rPr>
        <w:t>INPO 12-012: Traits of a Healthy Nuclear Safety Culture</w:t>
      </w:r>
      <w:bookmarkEnd w:id="3"/>
    </w:p>
    <w:p w14:paraId="37275311" w14:textId="77777777" w:rsidR="009D6A06" w:rsidRDefault="00000000">
      <w:pPr>
        <w:spacing w:after="160"/>
      </w:pPr>
      <w:r>
        <w:t>INPO (Institute of Nuclear Power Operations) defines ten traits grouped under individual commitment to safety, management commitment to safety, and management systems. These traits describe patterns of thinking, feeling and behaving such that safety is emphasised over competing priorities. The traits are not a checklist: they describe what a healthy culture looks like from the inside.</w:t>
      </w:r>
    </w:p>
    <w:p w14:paraId="7AAA927B" w14:textId="77777777" w:rsidR="009D6A06" w:rsidRDefault="00000000">
      <w:pPr>
        <w:pStyle w:val="Heading2"/>
      </w:pPr>
      <w:bookmarkStart w:id="4" w:name="_Toc232492686"/>
      <w:r>
        <w:rPr>
          <w:color w:val="7B2D8B"/>
        </w:rPr>
        <w:t>WANO Principles</w:t>
      </w:r>
      <w:bookmarkEnd w:id="4"/>
    </w:p>
    <w:p w14:paraId="7CC27AAE" w14:textId="77777777" w:rsidR="009D6A06" w:rsidRDefault="00000000">
      <w:pPr>
        <w:spacing w:after="160"/>
      </w:pPr>
      <w:r>
        <w:t>The World Association of Nuclear Operators (WANO) identifies eight principles that characterise a strong nuclear safety culture. These closely align with INPO but emphasise the importance of everyone being personally responsible, leaders demonstrating commitment through actions not words, trust permeating the organisation, and nuclear technology being recognised as special and unique.</w:t>
      </w:r>
    </w:p>
    <w:p w14:paraId="4BE96B1B" w14:textId="77777777" w:rsidR="009D6A06" w:rsidRDefault="00000000">
      <w:pPr>
        <w:pStyle w:val="Heading2"/>
      </w:pPr>
      <w:bookmarkStart w:id="5" w:name="_Toc232492687"/>
      <w:r>
        <w:rPr>
          <w:color w:val="7B2D8B"/>
        </w:rPr>
        <w:t>ONR TAG 77</w:t>
      </w:r>
      <w:bookmarkEnd w:id="5"/>
    </w:p>
    <w:p w14:paraId="54BEDB6D" w14:textId="77777777" w:rsidR="009D6A06" w:rsidRDefault="00000000">
      <w:pPr>
        <w:spacing w:after="160"/>
      </w:pPr>
      <w:r>
        <w:t>ONR Technical Assessment Guide 77 sets out the UK regulatory expectation for supply chain management in nuclear. It explicitly addresses safety culture dimensions and attributes that ONR inspectors consider when assessing organisations and their supply chains. TAG 77 requires licensees to ensure that their contractors and suppliers understand and improve on these dimensions, making it directly applicable to F4N companies.</w:t>
      </w:r>
    </w:p>
    <w:p w14:paraId="38F4BEAA" w14:textId="77777777" w:rsidR="009D6A06" w:rsidRDefault="00000000">
      <w:pPr>
        <w:spacing w:after="160"/>
      </w:pPr>
      <w:r>
        <w:t>The key insight from all three frameworks is the same: safety culture cannot be imposed from the outside or produced on demand for an assessment. It has to be something that is genuinely present in how the organisation operates day to day. The role of the management team is to create the conditions in which a strong safety culture can develop, and to model the behaviours they expect from everyone else.</w:t>
      </w:r>
    </w:p>
    <w:p w14:paraId="20433FF9" w14:textId="77777777" w:rsidR="009D6A06" w:rsidRDefault="00000000">
      <w:r>
        <w:br w:type="page"/>
      </w:r>
    </w:p>
    <w:p w14:paraId="4EFA007C" w14:textId="77777777" w:rsidR="009D6A06" w:rsidRDefault="00000000">
      <w:pPr>
        <w:pStyle w:val="Heading1"/>
      </w:pPr>
      <w:bookmarkStart w:id="6" w:name="_Toc232492688"/>
      <w:r>
        <w:rPr>
          <w:color w:val="29ABE2"/>
        </w:rPr>
        <w:lastRenderedPageBreak/>
        <w:t>The ten traits of a healthy nuclear safety culture</w:t>
      </w:r>
      <w:bookmarkEnd w:id="6"/>
    </w:p>
    <w:p w14:paraId="67F16465" w14:textId="77777777" w:rsidR="009D6A06" w:rsidRDefault="00000000">
      <w:pPr>
        <w:spacing w:after="160"/>
      </w:pPr>
      <w:r>
        <w:t>The ten traits below are drawn directly from INPO 12-012, adapted to the supply chain manufacturing context. Each trait is accompanied by a description of what it looks like in practice and what a verification assessor might look for.</w:t>
      </w:r>
    </w:p>
    <w:p w14:paraId="32A55E3E" w14:textId="77777777" w:rsidR="009D6A06" w:rsidRDefault="00000000">
      <w:pPr>
        <w:pStyle w:val="Heading2"/>
      </w:pPr>
      <w:bookmarkStart w:id="7" w:name="_Toc232492689"/>
      <w:r>
        <w:rPr>
          <w:color w:val="7B2D8B"/>
        </w:rPr>
        <w:t>1. Personal accountability</w:t>
      </w:r>
      <w:bookmarkEnd w:id="7"/>
    </w:p>
    <w:p w14:paraId="0D1D4B6A" w14:textId="77777777" w:rsidR="009D6A06" w:rsidRDefault="00000000">
      <w:pPr>
        <w:spacing w:after="160"/>
      </w:pPr>
      <w:r>
        <w:t>All individuals take personal responsibility for safety. They do not wait to be told to stop an unsafe act, to raise a concern, or to follow a procedure. They understand that their individual behaviour and work practices directly affect safety outcomes, and they hold themselves and each other to that standard.</w:t>
      </w:r>
    </w:p>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86"/>
        <w:gridCol w:w="4986"/>
      </w:tblGrid>
      <w:tr w:rsidR="009D6A06" w14:paraId="4EABBA41" w14:textId="77777777">
        <w:tblPrEx>
          <w:tblCellMar>
            <w:top w:w="0" w:type="dxa"/>
            <w:bottom w:w="0" w:type="dxa"/>
          </w:tblCellMar>
        </w:tblPrEx>
        <w:tc>
          <w:tcPr>
            <w:tcW w:w="4986" w:type="dxa"/>
            <w:tcBorders>
              <w:top w:val="single" w:sz="4" w:space="0" w:color="CCCCCC"/>
              <w:left w:val="single" w:sz="4" w:space="0" w:color="CCCCCC"/>
              <w:bottom w:val="single" w:sz="4" w:space="0" w:color="CCCCCC"/>
              <w:right w:val="single" w:sz="4" w:space="0" w:color="CCCCCC"/>
            </w:tcBorders>
            <w:shd w:val="clear" w:color="auto" w:fill="009FE3"/>
            <w:tcMar>
              <w:top w:w="80" w:type="dxa"/>
              <w:left w:w="100" w:type="dxa"/>
              <w:bottom w:w="80" w:type="dxa"/>
              <w:right w:w="100" w:type="dxa"/>
            </w:tcMar>
            <w:vAlign w:val="center"/>
          </w:tcPr>
          <w:p w14:paraId="37E2E1A6" w14:textId="77777777" w:rsidR="009D6A06" w:rsidRDefault="00000000">
            <w:r>
              <w:rPr>
                <w:b/>
                <w:bCs/>
                <w:color w:val="FFFFFF"/>
                <w:sz w:val="20"/>
                <w:szCs w:val="20"/>
              </w:rPr>
              <w:t>What it looks like in practice</w:t>
            </w:r>
          </w:p>
        </w:tc>
        <w:tc>
          <w:tcPr>
            <w:tcW w:w="4986" w:type="dxa"/>
            <w:tcBorders>
              <w:top w:val="single" w:sz="4" w:space="0" w:color="CCCCCC"/>
              <w:left w:val="single" w:sz="4" w:space="0" w:color="CCCCCC"/>
              <w:bottom w:val="single" w:sz="4" w:space="0" w:color="CCCCCC"/>
              <w:right w:val="single" w:sz="4" w:space="0" w:color="CCCCCC"/>
            </w:tcBorders>
            <w:shd w:val="clear" w:color="auto" w:fill="009FE3"/>
            <w:tcMar>
              <w:top w:w="80" w:type="dxa"/>
              <w:left w:w="100" w:type="dxa"/>
              <w:bottom w:w="80" w:type="dxa"/>
              <w:right w:w="100" w:type="dxa"/>
            </w:tcMar>
            <w:vAlign w:val="center"/>
          </w:tcPr>
          <w:p w14:paraId="15F7635E" w14:textId="77777777" w:rsidR="009D6A06" w:rsidRDefault="00000000">
            <w:r>
              <w:rPr>
                <w:b/>
                <w:bCs/>
                <w:color w:val="FFFFFF"/>
                <w:sz w:val="20"/>
                <w:szCs w:val="20"/>
              </w:rPr>
              <w:t>What an assessor might look for</w:t>
            </w:r>
          </w:p>
        </w:tc>
      </w:tr>
      <w:tr w:rsidR="009D6A06" w14:paraId="398E5D7E" w14:textId="77777777">
        <w:tblPrEx>
          <w:tblCellMar>
            <w:top w:w="0" w:type="dxa"/>
            <w:bottom w:w="0" w:type="dxa"/>
          </w:tblCellMar>
        </w:tblPrEx>
        <w:tc>
          <w:tcPr>
            <w:tcW w:w="498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2D1536CB" w14:textId="77777777" w:rsidR="009D6A06" w:rsidRDefault="00000000">
            <w:r>
              <w:rPr>
                <w:sz w:val="20"/>
                <w:szCs w:val="20"/>
              </w:rPr>
              <w:t>Operators stop work and raise the issue when something does not look right, without waiting for permission.</w:t>
            </w:r>
          </w:p>
        </w:tc>
        <w:tc>
          <w:tcPr>
            <w:tcW w:w="498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21E3C1CB" w14:textId="77777777" w:rsidR="009D6A06" w:rsidRDefault="00000000">
            <w:r>
              <w:rPr>
                <w:sz w:val="20"/>
                <w:szCs w:val="20"/>
              </w:rPr>
              <w:t>Staff can explain why their specific role matters for safety, not just recite the policy statement.</w:t>
            </w:r>
          </w:p>
        </w:tc>
      </w:tr>
      <w:tr w:rsidR="009D6A06" w14:paraId="1C570ABF" w14:textId="77777777">
        <w:tblPrEx>
          <w:tblCellMar>
            <w:top w:w="0" w:type="dxa"/>
            <w:bottom w:w="0" w:type="dxa"/>
          </w:tblCellMar>
        </w:tblPrEx>
        <w:tc>
          <w:tcPr>
            <w:tcW w:w="498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25A56EF6" w14:textId="77777777" w:rsidR="009D6A06" w:rsidRDefault="00000000">
            <w:r>
              <w:rPr>
                <w:sz w:val="20"/>
                <w:szCs w:val="20"/>
              </w:rPr>
              <w:t>Staff understand that procedures exist for a reason and do not take shortcuts, even under time pressure.</w:t>
            </w:r>
          </w:p>
        </w:tc>
        <w:tc>
          <w:tcPr>
            <w:tcW w:w="498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569E9215" w14:textId="77777777" w:rsidR="009D6A06" w:rsidRDefault="00000000">
            <w:r>
              <w:rPr>
                <w:sz w:val="20"/>
                <w:szCs w:val="20"/>
              </w:rPr>
              <w:t>Evidence of work being stopped and escalated: entries in near miss logs, documented stop-work decisions.</w:t>
            </w:r>
          </w:p>
        </w:tc>
      </w:tr>
      <w:tr w:rsidR="009D6A06" w14:paraId="093F7E65" w14:textId="77777777">
        <w:tblPrEx>
          <w:tblCellMar>
            <w:top w:w="0" w:type="dxa"/>
            <w:bottom w:w="0" w:type="dxa"/>
          </w:tblCellMar>
        </w:tblPrEx>
        <w:tc>
          <w:tcPr>
            <w:tcW w:w="498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5243F011" w14:textId="77777777" w:rsidR="009D6A06" w:rsidRDefault="00000000">
            <w:r>
              <w:rPr>
                <w:sz w:val="20"/>
                <w:szCs w:val="20"/>
              </w:rPr>
              <w:t>Team members hold each other accountable without blame: 'that is not how we do it here'.</w:t>
            </w:r>
          </w:p>
        </w:tc>
        <w:tc>
          <w:tcPr>
            <w:tcW w:w="498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135D9C3D" w14:textId="77777777" w:rsidR="009D6A06" w:rsidRDefault="00000000">
            <w:r>
              <w:rPr>
                <w:sz w:val="20"/>
                <w:szCs w:val="20"/>
              </w:rPr>
              <w:t>Peer accountability in practice: observations from site walks, not just stated in the policy.</w:t>
            </w:r>
          </w:p>
        </w:tc>
      </w:tr>
    </w:tbl>
    <w:p w14:paraId="63E09EF0" w14:textId="77777777" w:rsidR="009D6A06" w:rsidRDefault="00000000">
      <w:pPr>
        <w:pStyle w:val="Heading2"/>
      </w:pPr>
      <w:bookmarkStart w:id="8" w:name="_Toc232492690"/>
      <w:r>
        <w:rPr>
          <w:color w:val="7B2D8B"/>
        </w:rPr>
        <w:t>2. Questioning attitude</w:t>
      </w:r>
      <w:bookmarkEnd w:id="8"/>
    </w:p>
    <w:p w14:paraId="3B3E4A82" w14:textId="77777777" w:rsidR="009D6A06" w:rsidRDefault="00000000">
      <w:pPr>
        <w:spacing w:after="160"/>
      </w:pPr>
      <w:r>
        <w:t>Individuals avoid complacency and continuously challenge existing conditions, assumptions, anomalies and activities to identify discrepancies that might result in error or inappropriate action. Nuclear technology is recognised as special and unique: complex systems can fail in unpredictable ways, so assumptions are always challenged rather than accepted.</w:t>
      </w:r>
    </w:p>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86"/>
        <w:gridCol w:w="4986"/>
      </w:tblGrid>
      <w:tr w:rsidR="009D6A06" w14:paraId="21A83B75" w14:textId="77777777">
        <w:tblPrEx>
          <w:tblCellMar>
            <w:top w:w="0" w:type="dxa"/>
            <w:bottom w:w="0" w:type="dxa"/>
          </w:tblCellMar>
        </w:tblPrEx>
        <w:tc>
          <w:tcPr>
            <w:tcW w:w="4986" w:type="dxa"/>
            <w:tcBorders>
              <w:top w:val="single" w:sz="4" w:space="0" w:color="CCCCCC"/>
              <w:left w:val="single" w:sz="4" w:space="0" w:color="CCCCCC"/>
              <w:bottom w:val="single" w:sz="4" w:space="0" w:color="CCCCCC"/>
              <w:right w:val="single" w:sz="4" w:space="0" w:color="CCCCCC"/>
            </w:tcBorders>
            <w:shd w:val="clear" w:color="auto" w:fill="009FE3"/>
            <w:tcMar>
              <w:top w:w="80" w:type="dxa"/>
              <w:left w:w="100" w:type="dxa"/>
              <w:bottom w:w="80" w:type="dxa"/>
              <w:right w:w="100" w:type="dxa"/>
            </w:tcMar>
            <w:vAlign w:val="center"/>
          </w:tcPr>
          <w:p w14:paraId="5FBD3797" w14:textId="77777777" w:rsidR="009D6A06" w:rsidRDefault="00000000">
            <w:r>
              <w:rPr>
                <w:b/>
                <w:bCs/>
                <w:color w:val="FFFFFF"/>
                <w:sz w:val="20"/>
                <w:szCs w:val="20"/>
              </w:rPr>
              <w:t>What it looks like in practice</w:t>
            </w:r>
          </w:p>
        </w:tc>
        <w:tc>
          <w:tcPr>
            <w:tcW w:w="4986" w:type="dxa"/>
            <w:tcBorders>
              <w:top w:val="single" w:sz="4" w:space="0" w:color="CCCCCC"/>
              <w:left w:val="single" w:sz="4" w:space="0" w:color="CCCCCC"/>
              <w:bottom w:val="single" w:sz="4" w:space="0" w:color="CCCCCC"/>
              <w:right w:val="single" w:sz="4" w:space="0" w:color="CCCCCC"/>
            </w:tcBorders>
            <w:shd w:val="clear" w:color="auto" w:fill="009FE3"/>
            <w:tcMar>
              <w:top w:w="80" w:type="dxa"/>
              <w:left w:w="100" w:type="dxa"/>
              <w:bottom w:w="80" w:type="dxa"/>
              <w:right w:w="100" w:type="dxa"/>
            </w:tcMar>
            <w:vAlign w:val="center"/>
          </w:tcPr>
          <w:p w14:paraId="790A77F0" w14:textId="77777777" w:rsidR="009D6A06" w:rsidRDefault="00000000">
            <w:r>
              <w:rPr>
                <w:b/>
                <w:bCs/>
                <w:color w:val="FFFFFF"/>
                <w:sz w:val="20"/>
                <w:szCs w:val="20"/>
              </w:rPr>
              <w:t>What an assessor might look for</w:t>
            </w:r>
          </w:p>
        </w:tc>
      </w:tr>
      <w:tr w:rsidR="009D6A06" w14:paraId="2D524017" w14:textId="77777777">
        <w:tblPrEx>
          <w:tblCellMar>
            <w:top w:w="0" w:type="dxa"/>
            <w:bottom w:w="0" w:type="dxa"/>
          </w:tblCellMar>
        </w:tblPrEx>
        <w:tc>
          <w:tcPr>
            <w:tcW w:w="498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4DFDC85A" w14:textId="77777777" w:rsidR="009D6A06" w:rsidRDefault="00000000">
            <w:r>
              <w:rPr>
                <w:sz w:val="20"/>
                <w:szCs w:val="20"/>
              </w:rPr>
              <w:t>When faced with uncertain conditions, individuals stop work and seek clarification before proceeding.</w:t>
            </w:r>
          </w:p>
        </w:tc>
        <w:tc>
          <w:tcPr>
            <w:tcW w:w="498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1BFBFE2A" w14:textId="77777777" w:rsidR="009D6A06" w:rsidRDefault="00000000">
            <w:r>
              <w:rPr>
                <w:sz w:val="20"/>
                <w:szCs w:val="20"/>
              </w:rPr>
              <w:t>Examples of work being paused when something did not seem right, even when it would have been quicker to continue.</w:t>
            </w:r>
          </w:p>
        </w:tc>
      </w:tr>
      <w:tr w:rsidR="009D6A06" w14:paraId="28F406B4" w14:textId="77777777">
        <w:tblPrEx>
          <w:tblCellMar>
            <w:top w:w="0" w:type="dxa"/>
            <w:bottom w:w="0" w:type="dxa"/>
          </w:tblCellMar>
        </w:tblPrEx>
        <w:tc>
          <w:tcPr>
            <w:tcW w:w="498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477179FD" w14:textId="77777777" w:rsidR="009D6A06" w:rsidRDefault="00000000">
            <w:r>
              <w:rPr>
                <w:sz w:val="20"/>
                <w:szCs w:val="20"/>
              </w:rPr>
              <w:t>Staff challenge instructions they do not understand rather than following them blindly.</w:t>
            </w:r>
          </w:p>
        </w:tc>
        <w:tc>
          <w:tcPr>
            <w:tcW w:w="498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6761AB43" w14:textId="77777777" w:rsidR="009D6A06" w:rsidRDefault="00000000">
            <w:r>
              <w:rPr>
                <w:sz w:val="20"/>
                <w:szCs w:val="20"/>
              </w:rPr>
              <w:t>Evidence of questioning culture: near miss reports that capture 'something did not feel right' as a trigger.</w:t>
            </w:r>
          </w:p>
        </w:tc>
      </w:tr>
      <w:tr w:rsidR="009D6A06" w14:paraId="2759F508" w14:textId="77777777">
        <w:tblPrEx>
          <w:tblCellMar>
            <w:top w:w="0" w:type="dxa"/>
            <w:bottom w:w="0" w:type="dxa"/>
          </w:tblCellMar>
        </w:tblPrEx>
        <w:tc>
          <w:tcPr>
            <w:tcW w:w="498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34B1E74E" w14:textId="77777777" w:rsidR="009D6A06" w:rsidRDefault="00000000">
            <w:r>
              <w:rPr>
                <w:sz w:val="20"/>
                <w:szCs w:val="20"/>
              </w:rPr>
              <w:t>The organisation avoids complacency about processes that have always worked without incident.</w:t>
            </w:r>
          </w:p>
        </w:tc>
        <w:tc>
          <w:tcPr>
            <w:tcW w:w="498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280372DB" w14:textId="77777777" w:rsidR="009D6A06" w:rsidRDefault="00000000">
            <w:r>
              <w:rPr>
                <w:sz w:val="20"/>
                <w:szCs w:val="20"/>
              </w:rPr>
              <w:t>Toolbox talk records covering topics that came from 'near misses that nearly did not get reported' because the outcome was fine.</w:t>
            </w:r>
          </w:p>
        </w:tc>
      </w:tr>
    </w:tbl>
    <w:p w14:paraId="4119F398" w14:textId="77777777" w:rsidR="009D6A06" w:rsidRDefault="00000000">
      <w:pPr>
        <w:pStyle w:val="Heading2"/>
      </w:pPr>
      <w:bookmarkStart w:id="9" w:name="_Toc232492691"/>
      <w:r>
        <w:rPr>
          <w:color w:val="7B2D8B"/>
        </w:rPr>
        <w:t>3. Safety communication</w:t>
      </w:r>
      <w:bookmarkEnd w:id="9"/>
    </w:p>
    <w:p w14:paraId="1BA2F732" w14:textId="77777777" w:rsidR="009D6A06" w:rsidRDefault="00000000">
      <w:pPr>
        <w:spacing w:after="160"/>
      </w:pPr>
      <w:r>
        <w:t>Nuclear safety information flows freely and accurately up, down, and across the organisation. Leaders actively communicate safety priorities and expectations. Staff are comfortable raising concerns and confident that what they say will be heard and acted on. Safety discussions happen regularly, not just after incidents.</w:t>
      </w:r>
    </w:p>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86"/>
        <w:gridCol w:w="4986"/>
      </w:tblGrid>
      <w:tr w:rsidR="009D6A06" w14:paraId="383BC4DA" w14:textId="77777777">
        <w:tblPrEx>
          <w:tblCellMar>
            <w:top w:w="0" w:type="dxa"/>
            <w:bottom w:w="0" w:type="dxa"/>
          </w:tblCellMar>
        </w:tblPrEx>
        <w:tc>
          <w:tcPr>
            <w:tcW w:w="4986" w:type="dxa"/>
            <w:tcBorders>
              <w:top w:val="single" w:sz="4" w:space="0" w:color="CCCCCC"/>
              <w:left w:val="single" w:sz="4" w:space="0" w:color="CCCCCC"/>
              <w:bottom w:val="single" w:sz="4" w:space="0" w:color="CCCCCC"/>
              <w:right w:val="single" w:sz="4" w:space="0" w:color="CCCCCC"/>
            </w:tcBorders>
            <w:shd w:val="clear" w:color="auto" w:fill="009FE3"/>
            <w:tcMar>
              <w:top w:w="80" w:type="dxa"/>
              <w:left w:w="100" w:type="dxa"/>
              <w:bottom w:w="80" w:type="dxa"/>
              <w:right w:w="100" w:type="dxa"/>
            </w:tcMar>
            <w:vAlign w:val="center"/>
          </w:tcPr>
          <w:p w14:paraId="55F1FEFF" w14:textId="77777777" w:rsidR="009D6A06" w:rsidRDefault="00000000">
            <w:r>
              <w:rPr>
                <w:b/>
                <w:bCs/>
                <w:color w:val="FFFFFF"/>
                <w:sz w:val="20"/>
                <w:szCs w:val="20"/>
              </w:rPr>
              <w:t>What it looks like in practice</w:t>
            </w:r>
          </w:p>
        </w:tc>
        <w:tc>
          <w:tcPr>
            <w:tcW w:w="4986" w:type="dxa"/>
            <w:tcBorders>
              <w:top w:val="single" w:sz="4" w:space="0" w:color="CCCCCC"/>
              <w:left w:val="single" w:sz="4" w:space="0" w:color="CCCCCC"/>
              <w:bottom w:val="single" w:sz="4" w:space="0" w:color="CCCCCC"/>
              <w:right w:val="single" w:sz="4" w:space="0" w:color="CCCCCC"/>
            </w:tcBorders>
            <w:shd w:val="clear" w:color="auto" w:fill="009FE3"/>
            <w:tcMar>
              <w:top w:w="80" w:type="dxa"/>
              <w:left w:w="100" w:type="dxa"/>
              <w:bottom w:w="80" w:type="dxa"/>
              <w:right w:w="100" w:type="dxa"/>
            </w:tcMar>
            <w:vAlign w:val="center"/>
          </w:tcPr>
          <w:p w14:paraId="3FD06191" w14:textId="77777777" w:rsidR="009D6A06" w:rsidRDefault="00000000">
            <w:r>
              <w:rPr>
                <w:b/>
                <w:bCs/>
                <w:color w:val="FFFFFF"/>
                <w:sz w:val="20"/>
                <w:szCs w:val="20"/>
              </w:rPr>
              <w:t>What an assessor might look for</w:t>
            </w:r>
          </w:p>
        </w:tc>
      </w:tr>
      <w:tr w:rsidR="009D6A06" w14:paraId="5D7280E9" w14:textId="77777777">
        <w:tblPrEx>
          <w:tblCellMar>
            <w:top w:w="0" w:type="dxa"/>
            <w:bottom w:w="0" w:type="dxa"/>
          </w:tblCellMar>
        </w:tblPrEx>
        <w:tc>
          <w:tcPr>
            <w:tcW w:w="498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67FBBC7B" w14:textId="77777777" w:rsidR="009D6A06" w:rsidRDefault="00000000">
            <w:r>
              <w:rPr>
                <w:sz w:val="20"/>
                <w:szCs w:val="20"/>
              </w:rPr>
              <w:t>Safety is a standing item in daily huddles, team briefings and toolbox talks, not only in formal meetings.</w:t>
            </w:r>
          </w:p>
        </w:tc>
        <w:tc>
          <w:tcPr>
            <w:tcW w:w="498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3F7A99FE" w14:textId="77777777" w:rsidR="009D6A06" w:rsidRDefault="00000000">
            <w:r>
              <w:rPr>
                <w:sz w:val="20"/>
                <w:szCs w:val="20"/>
              </w:rPr>
              <w:t>SQDCP board shows safety as the first pillar with current data, not a static display that has not changed in weeks.</w:t>
            </w:r>
          </w:p>
        </w:tc>
      </w:tr>
      <w:tr w:rsidR="009D6A06" w14:paraId="0CC6E409" w14:textId="77777777">
        <w:tblPrEx>
          <w:tblCellMar>
            <w:top w:w="0" w:type="dxa"/>
            <w:bottom w:w="0" w:type="dxa"/>
          </w:tblCellMar>
        </w:tblPrEx>
        <w:tc>
          <w:tcPr>
            <w:tcW w:w="498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0CC84A1B" w14:textId="77777777" w:rsidR="009D6A06" w:rsidRDefault="00000000">
            <w:r>
              <w:rPr>
                <w:sz w:val="20"/>
                <w:szCs w:val="20"/>
              </w:rPr>
              <w:lastRenderedPageBreak/>
              <w:t>Near miss reports are shared widely with lessons drawn out, not filed quietly.</w:t>
            </w:r>
          </w:p>
        </w:tc>
        <w:tc>
          <w:tcPr>
            <w:tcW w:w="498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7ACFB104" w14:textId="77777777" w:rsidR="009D6A06" w:rsidRDefault="00000000">
            <w:r>
              <w:rPr>
                <w:sz w:val="20"/>
                <w:szCs w:val="20"/>
              </w:rPr>
              <w:t>Near miss trend data visible on shopfloor boards; staff can recall a recent example and what changed because of it.</w:t>
            </w:r>
          </w:p>
        </w:tc>
      </w:tr>
      <w:tr w:rsidR="009D6A06" w14:paraId="034C05CA" w14:textId="77777777">
        <w:tblPrEx>
          <w:tblCellMar>
            <w:top w:w="0" w:type="dxa"/>
            <w:bottom w:w="0" w:type="dxa"/>
          </w:tblCellMar>
        </w:tblPrEx>
        <w:tc>
          <w:tcPr>
            <w:tcW w:w="498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4526F13B" w14:textId="77777777" w:rsidR="009D6A06" w:rsidRDefault="00000000">
            <w:r>
              <w:rPr>
                <w:sz w:val="20"/>
                <w:szCs w:val="20"/>
              </w:rPr>
              <w:t>Leaders openly communicate safety performance, including when it has not been good enough.</w:t>
            </w:r>
          </w:p>
        </w:tc>
        <w:tc>
          <w:tcPr>
            <w:tcW w:w="498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0201349C" w14:textId="77777777" w:rsidR="009D6A06" w:rsidRDefault="00000000">
            <w:r>
              <w:rPr>
                <w:sz w:val="20"/>
                <w:szCs w:val="20"/>
              </w:rPr>
              <w:t>Safety communications at SLT level reference actual performance data, not just reassurances.</w:t>
            </w:r>
          </w:p>
        </w:tc>
      </w:tr>
    </w:tbl>
    <w:p w14:paraId="1686C3F2" w14:textId="77777777" w:rsidR="009D6A06" w:rsidRDefault="00000000">
      <w:pPr>
        <w:pStyle w:val="Heading2"/>
      </w:pPr>
      <w:bookmarkStart w:id="10" w:name="_Toc232492692"/>
      <w:r>
        <w:rPr>
          <w:color w:val="7B2D8B"/>
        </w:rPr>
        <w:t>4. Leadership accountability</w:t>
      </w:r>
      <w:bookmarkEnd w:id="10"/>
    </w:p>
    <w:p w14:paraId="4B17CFCF" w14:textId="77777777" w:rsidR="009D6A06" w:rsidRDefault="00000000">
      <w:pPr>
        <w:spacing w:after="160"/>
      </w:pPr>
      <w:r>
        <w:t>Leaders at all levels demonstrate a commitment to safety in what they do, not just what they say. They are visible in the workplace, they reinforce safe behaviour when they see it, and they address unsafe behaviour consistently. Their personal conduct sets the standard for everyone else.</w:t>
      </w:r>
    </w:p>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86"/>
        <w:gridCol w:w="4986"/>
      </w:tblGrid>
      <w:tr w:rsidR="009D6A06" w14:paraId="10A7411F" w14:textId="77777777">
        <w:tblPrEx>
          <w:tblCellMar>
            <w:top w:w="0" w:type="dxa"/>
            <w:bottom w:w="0" w:type="dxa"/>
          </w:tblCellMar>
        </w:tblPrEx>
        <w:tc>
          <w:tcPr>
            <w:tcW w:w="4986" w:type="dxa"/>
            <w:tcBorders>
              <w:top w:val="single" w:sz="4" w:space="0" w:color="CCCCCC"/>
              <w:left w:val="single" w:sz="4" w:space="0" w:color="CCCCCC"/>
              <w:bottom w:val="single" w:sz="4" w:space="0" w:color="CCCCCC"/>
              <w:right w:val="single" w:sz="4" w:space="0" w:color="CCCCCC"/>
            </w:tcBorders>
            <w:shd w:val="clear" w:color="auto" w:fill="009FE3"/>
            <w:tcMar>
              <w:top w:w="80" w:type="dxa"/>
              <w:left w:w="100" w:type="dxa"/>
              <w:bottom w:w="80" w:type="dxa"/>
              <w:right w:w="100" w:type="dxa"/>
            </w:tcMar>
            <w:vAlign w:val="center"/>
          </w:tcPr>
          <w:p w14:paraId="6B8C138E" w14:textId="77777777" w:rsidR="009D6A06" w:rsidRDefault="00000000">
            <w:r>
              <w:rPr>
                <w:b/>
                <w:bCs/>
                <w:color w:val="FFFFFF"/>
                <w:sz w:val="20"/>
                <w:szCs w:val="20"/>
              </w:rPr>
              <w:t>What it looks like in practice</w:t>
            </w:r>
          </w:p>
        </w:tc>
        <w:tc>
          <w:tcPr>
            <w:tcW w:w="4986" w:type="dxa"/>
            <w:tcBorders>
              <w:top w:val="single" w:sz="4" w:space="0" w:color="CCCCCC"/>
              <w:left w:val="single" w:sz="4" w:space="0" w:color="CCCCCC"/>
              <w:bottom w:val="single" w:sz="4" w:space="0" w:color="CCCCCC"/>
              <w:right w:val="single" w:sz="4" w:space="0" w:color="CCCCCC"/>
            </w:tcBorders>
            <w:shd w:val="clear" w:color="auto" w:fill="009FE3"/>
            <w:tcMar>
              <w:top w:w="80" w:type="dxa"/>
              <w:left w:w="100" w:type="dxa"/>
              <w:bottom w:w="80" w:type="dxa"/>
              <w:right w:w="100" w:type="dxa"/>
            </w:tcMar>
            <w:vAlign w:val="center"/>
          </w:tcPr>
          <w:p w14:paraId="77D710AA" w14:textId="77777777" w:rsidR="009D6A06" w:rsidRDefault="00000000">
            <w:r>
              <w:rPr>
                <w:b/>
                <w:bCs/>
                <w:color w:val="FFFFFF"/>
                <w:sz w:val="20"/>
                <w:szCs w:val="20"/>
              </w:rPr>
              <w:t>What an assessor might look for</w:t>
            </w:r>
          </w:p>
        </w:tc>
      </w:tr>
      <w:tr w:rsidR="009D6A06" w14:paraId="42154F5F" w14:textId="77777777">
        <w:tblPrEx>
          <w:tblCellMar>
            <w:top w:w="0" w:type="dxa"/>
            <w:bottom w:w="0" w:type="dxa"/>
          </w:tblCellMar>
        </w:tblPrEx>
        <w:tc>
          <w:tcPr>
            <w:tcW w:w="498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7B7A035F" w14:textId="77777777" w:rsidR="009D6A06" w:rsidRDefault="00000000">
            <w:r>
              <w:rPr>
                <w:sz w:val="20"/>
                <w:szCs w:val="20"/>
              </w:rPr>
              <w:t>SLT members conduct regular, unscripted site walks and engage directly with staff about safety.</w:t>
            </w:r>
          </w:p>
        </w:tc>
        <w:tc>
          <w:tcPr>
            <w:tcW w:w="498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12E04DCC" w14:textId="77777777" w:rsidR="009D6A06" w:rsidRDefault="00000000">
            <w:r>
              <w:rPr>
                <w:sz w:val="20"/>
                <w:szCs w:val="20"/>
              </w:rPr>
              <w:t>Site walk records in QHSE-02 Engagement Tracker showing actual observations and follow-up actions.</w:t>
            </w:r>
          </w:p>
        </w:tc>
      </w:tr>
      <w:tr w:rsidR="009D6A06" w14:paraId="39E4D1F3" w14:textId="77777777">
        <w:tblPrEx>
          <w:tblCellMar>
            <w:top w:w="0" w:type="dxa"/>
            <w:bottom w:w="0" w:type="dxa"/>
          </w:tblCellMar>
        </w:tblPrEx>
        <w:tc>
          <w:tcPr>
            <w:tcW w:w="498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4692B532" w14:textId="77777777" w:rsidR="009D6A06" w:rsidRDefault="00000000">
            <w:r>
              <w:rPr>
                <w:sz w:val="20"/>
                <w:szCs w:val="20"/>
              </w:rPr>
              <w:t>When a leader observes a shortcut or an unsafe act, they address it in the moment, consistently.</w:t>
            </w:r>
          </w:p>
        </w:tc>
        <w:tc>
          <w:tcPr>
            <w:tcW w:w="498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053E1629" w14:textId="77777777" w:rsidR="009D6A06" w:rsidRDefault="00000000">
            <w:r>
              <w:rPr>
                <w:sz w:val="20"/>
                <w:szCs w:val="20"/>
              </w:rPr>
              <w:t>Staff examples of leadership behaviour: 'the last time a manager came through, they noticed X and did Y'.</w:t>
            </w:r>
          </w:p>
        </w:tc>
      </w:tr>
      <w:tr w:rsidR="009D6A06" w14:paraId="20D6277F" w14:textId="77777777">
        <w:tblPrEx>
          <w:tblCellMar>
            <w:top w:w="0" w:type="dxa"/>
            <w:bottom w:w="0" w:type="dxa"/>
          </w:tblCellMar>
        </w:tblPrEx>
        <w:tc>
          <w:tcPr>
            <w:tcW w:w="498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1A5733D1" w14:textId="77777777" w:rsidR="009D6A06" w:rsidRDefault="00000000">
            <w:r>
              <w:rPr>
                <w:sz w:val="20"/>
                <w:szCs w:val="20"/>
              </w:rPr>
              <w:t>Safety investment decisions (equipment, training, procedure development) reflect stated priorities.</w:t>
            </w:r>
          </w:p>
        </w:tc>
        <w:tc>
          <w:tcPr>
            <w:tcW w:w="498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1E6B98EB" w14:textId="77777777" w:rsidR="009D6A06" w:rsidRDefault="00000000">
            <w:r>
              <w:rPr>
                <w:sz w:val="20"/>
                <w:szCs w:val="20"/>
              </w:rPr>
              <w:t>QHSE objectives (QHSE-03) show investment in safety, not just compliance activities.</w:t>
            </w:r>
          </w:p>
        </w:tc>
      </w:tr>
    </w:tbl>
    <w:p w14:paraId="52B5E87C" w14:textId="77777777" w:rsidR="009D6A06" w:rsidRDefault="00000000">
      <w:pPr>
        <w:pStyle w:val="Heading2"/>
      </w:pPr>
      <w:bookmarkStart w:id="11" w:name="_Toc232492693"/>
      <w:r>
        <w:rPr>
          <w:color w:val="7B2D8B"/>
        </w:rPr>
        <w:t>5. Conservative decision-making</w:t>
      </w:r>
      <w:bookmarkEnd w:id="11"/>
    </w:p>
    <w:p w14:paraId="27A4C37A" w14:textId="77777777" w:rsidR="009D6A06" w:rsidRDefault="00000000">
      <w:pPr>
        <w:spacing w:after="160"/>
      </w:pPr>
      <w:r>
        <w:t>When faced with uncertainty, the organisation errs on the side of caution. A proposed action must be determined to be safe in order to proceed, rather than unsafe in order to stop. This is sometimes described as the nuclear principle: if in doubt, do not. Senior leaders support and reinforce conservative decisions rather than pressuring staff to continue when there is uncertainty.</w:t>
      </w:r>
    </w:p>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86"/>
        <w:gridCol w:w="4986"/>
      </w:tblGrid>
      <w:tr w:rsidR="009D6A06" w14:paraId="5673C82C" w14:textId="77777777">
        <w:tblPrEx>
          <w:tblCellMar>
            <w:top w:w="0" w:type="dxa"/>
            <w:bottom w:w="0" w:type="dxa"/>
          </w:tblCellMar>
        </w:tblPrEx>
        <w:tc>
          <w:tcPr>
            <w:tcW w:w="4986" w:type="dxa"/>
            <w:tcBorders>
              <w:top w:val="single" w:sz="4" w:space="0" w:color="CCCCCC"/>
              <w:left w:val="single" w:sz="4" w:space="0" w:color="CCCCCC"/>
              <w:bottom w:val="single" w:sz="4" w:space="0" w:color="CCCCCC"/>
              <w:right w:val="single" w:sz="4" w:space="0" w:color="CCCCCC"/>
            </w:tcBorders>
            <w:shd w:val="clear" w:color="auto" w:fill="009FE3"/>
            <w:tcMar>
              <w:top w:w="80" w:type="dxa"/>
              <w:left w:w="100" w:type="dxa"/>
              <w:bottom w:w="80" w:type="dxa"/>
              <w:right w:w="100" w:type="dxa"/>
            </w:tcMar>
            <w:vAlign w:val="center"/>
          </w:tcPr>
          <w:p w14:paraId="76EBDE68" w14:textId="77777777" w:rsidR="009D6A06" w:rsidRDefault="00000000">
            <w:r>
              <w:rPr>
                <w:b/>
                <w:bCs/>
                <w:color w:val="FFFFFF"/>
                <w:sz w:val="20"/>
                <w:szCs w:val="20"/>
              </w:rPr>
              <w:t>What it looks like in practice</w:t>
            </w:r>
          </w:p>
        </w:tc>
        <w:tc>
          <w:tcPr>
            <w:tcW w:w="4986" w:type="dxa"/>
            <w:tcBorders>
              <w:top w:val="single" w:sz="4" w:space="0" w:color="CCCCCC"/>
              <w:left w:val="single" w:sz="4" w:space="0" w:color="CCCCCC"/>
              <w:bottom w:val="single" w:sz="4" w:space="0" w:color="CCCCCC"/>
              <w:right w:val="single" w:sz="4" w:space="0" w:color="CCCCCC"/>
            </w:tcBorders>
            <w:shd w:val="clear" w:color="auto" w:fill="009FE3"/>
            <w:tcMar>
              <w:top w:w="80" w:type="dxa"/>
              <w:left w:w="100" w:type="dxa"/>
              <w:bottom w:w="80" w:type="dxa"/>
              <w:right w:w="100" w:type="dxa"/>
            </w:tcMar>
            <w:vAlign w:val="center"/>
          </w:tcPr>
          <w:p w14:paraId="51C039BC" w14:textId="77777777" w:rsidR="009D6A06" w:rsidRDefault="00000000">
            <w:r>
              <w:rPr>
                <w:b/>
                <w:bCs/>
                <w:color w:val="FFFFFF"/>
                <w:sz w:val="20"/>
                <w:szCs w:val="20"/>
              </w:rPr>
              <w:t>What an assessor might look for</w:t>
            </w:r>
          </w:p>
        </w:tc>
      </w:tr>
      <w:tr w:rsidR="009D6A06" w14:paraId="105ABE91" w14:textId="77777777">
        <w:tblPrEx>
          <w:tblCellMar>
            <w:top w:w="0" w:type="dxa"/>
            <w:bottom w:w="0" w:type="dxa"/>
          </w:tblCellMar>
        </w:tblPrEx>
        <w:tc>
          <w:tcPr>
            <w:tcW w:w="498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32D328E3" w14:textId="77777777" w:rsidR="009D6A06" w:rsidRDefault="00000000">
            <w:r>
              <w:rPr>
                <w:sz w:val="20"/>
                <w:szCs w:val="20"/>
              </w:rPr>
              <w:t>Staff and supervisors are empowered and supported when they decide to stop work due to uncertainty.</w:t>
            </w:r>
          </w:p>
        </w:tc>
        <w:tc>
          <w:tcPr>
            <w:tcW w:w="498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69D44B54" w14:textId="77777777" w:rsidR="009D6A06" w:rsidRDefault="00000000">
            <w:r>
              <w:rPr>
                <w:sz w:val="20"/>
                <w:szCs w:val="20"/>
              </w:rPr>
              <w:t>Examples of stop-work decisions: documented cases where work was paused and the outcome was reviewed before proceeding.</w:t>
            </w:r>
          </w:p>
        </w:tc>
      </w:tr>
      <w:tr w:rsidR="009D6A06" w14:paraId="6A765989" w14:textId="77777777">
        <w:tblPrEx>
          <w:tblCellMar>
            <w:top w:w="0" w:type="dxa"/>
            <w:bottom w:w="0" w:type="dxa"/>
          </w:tblCellMar>
        </w:tblPrEx>
        <w:tc>
          <w:tcPr>
            <w:tcW w:w="498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044D8D7B" w14:textId="77777777" w:rsidR="009D6A06" w:rsidRDefault="00000000">
            <w:r>
              <w:rPr>
                <w:sz w:val="20"/>
                <w:szCs w:val="20"/>
              </w:rPr>
              <w:t>Decisions affecting safety are documented with the rationale recorded, not made informally.</w:t>
            </w:r>
          </w:p>
        </w:tc>
        <w:tc>
          <w:tcPr>
            <w:tcW w:w="498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2E396221" w14:textId="77777777" w:rsidR="009D6A06" w:rsidRDefault="00000000">
            <w:r>
              <w:rPr>
                <w:sz w:val="20"/>
                <w:szCs w:val="20"/>
              </w:rPr>
              <w:t>Records of safety-related decisions: meeting notes, action logs, deviation approvals, showing how decisions were made.</w:t>
            </w:r>
          </w:p>
        </w:tc>
      </w:tr>
      <w:tr w:rsidR="009D6A06" w14:paraId="2AE3777D" w14:textId="77777777">
        <w:tblPrEx>
          <w:tblCellMar>
            <w:top w:w="0" w:type="dxa"/>
            <w:bottom w:w="0" w:type="dxa"/>
          </w:tblCellMar>
        </w:tblPrEx>
        <w:tc>
          <w:tcPr>
            <w:tcW w:w="498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5955DCE5" w14:textId="77777777" w:rsidR="009D6A06" w:rsidRDefault="00000000">
            <w:r>
              <w:rPr>
                <w:sz w:val="20"/>
                <w:szCs w:val="20"/>
              </w:rPr>
              <w:t>There is no implicit or explicit pressure to continue when something is uncertain because of commercial or schedule reasons.</w:t>
            </w:r>
          </w:p>
        </w:tc>
        <w:tc>
          <w:tcPr>
            <w:tcW w:w="498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4E082E42" w14:textId="77777777" w:rsidR="009D6A06" w:rsidRDefault="00000000">
            <w:r>
              <w:rPr>
                <w:sz w:val="20"/>
                <w:szCs w:val="20"/>
              </w:rPr>
              <w:t>Staff interview responses: do people feel able to stop without fear of consequence or blame?</w:t>
            </w:r>
          </w:p>
        </w:tc>
      </w:tr>
    </w:tbl>
    <w:p w14:paraId="736BC442" w14:textId="77777777" w:rsidR="009D6A06" w:rsidRDefault="00000000">
      <w:pPr>
        <w:pStyle w:val="Heading2"/>
      </w:pPr>
      <w:bookmarkStart w:id="12" w:name="_Toc232492694"/>
      <w:r>
        <w:rPr>
          <w:color w:val="7B2D8B"/>
        </w:rPr>
        <w:t>6. Respectful work environment</w:t>
      </w:r>
      <w:bookmarkEnd w:id="12"/>
    </w:p>
    <w:p w14:paraId="08550D9E" w14:textId="77777777" w:rsidR="009D6A06" w:rsidRDefault="00000000">
      <w:pPr>
        <w:spacing w:after="160"/>
      </w:pPr>
      <w:r>
        <w:t>Trust and respect permeate the organisation. Individuals are encouraged to voice concerns, provide suggestions, and raise questions. Differing professional opinions are discussed and resolved fairly, not suppressed. People know that raising a concern will be taken seriously and that the response will be timely.</w:t>
      </w:r>
    </w:p>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86"/>
        <w:gridCol w:w="4986"/>
      </w:tblGrid>
      <w:tr w:rsidR="009D6A06" w14:paraId="1C294BB1" w14:textId="77777777">
        <w:tblPrEx>
          <w:tblCellMar>
            <w:top w:w="0" w:type="dxa"/>
            <w:bottom w:w="0" w:type="dxa"/>
          </w:tblCellMar>
        </w:tblPrEx>
        <w:tc>
          <w:tcPr>
            <w:tcW w:w="4986" w:type="dxa"/>
            <w:tcBorders>
              <w:top w:val="single" w:sz="4" w:space="0" w:color="CCCCCC"/>
              <w:left w:val="single" w:sz="4" w:space="0" w:color="CCCCCC"/>
              <w:bottom w:val="single" w:sz="4" w:space="0" w:color="CCCCCC"/>
              <w:right w:val="single" w:sz="4" w:space="0" w:color="CCCCCC"/>
            </w:tcBorders>
            <w:shd w:val="clear" w:color="auto" w:fill="009FE3"/>
            <w:tcMar>
              <w:top w:w="80" w:type="dxa"/>
              <w:left w:w="100" w:type="dxa"/>
              <w:bottom w:w="80" w:type="dxa"/>
              <w:right w:w="100" w:type="dxa"/>
            </w:tcMar>
            <w:vAlign w:val="center"/>
          </w:tcPr>
          <w:p w14:paraId="41F820C5" w14:textId="77777777" w:rsidR="009D6A06" w:rsidRDefault="00000000">
            <w:r>
              <w:rPr>
                <w:b/>
                <w:bCs/>
                <w:color w:val="FFFFFF"/>
                <w:sz w:val="20"/>
                <w:szCs w:val="20"/>
              </w:rPr>
              <w:t>What it looks like in practice</w:t>
            </w:r>
          </w:p>
        </w:tc>
        <w:tc>
          <w:tcPr>
            <w:tcW w:w="4986" w:type="dxa"/>
            <w:tcBorders>
              <w:top w:val="single" w:sz="4" w:space="0" w:color="CCCCCC"/>
              <w:left w:val="single" w:sz="4" w:space="0" w:color="CCCCCC"/>
              <w:bottom w:val="single" w:sz="4" w:space="0" w:color="CCCCCC"/>
              <w:right w:val="single" w:sz="4" w:space="0" w:color="CCCCCC"/>
            </w:tcBorders>
            <w:shd w:val="clear" w:color="auto" w:fill="009FE3"/>
            <w:tcMar>
              <w:top w:w="80" w:type="dxa"/>
              <w:left w:w="100" w:type="dxa"/>
              <w:bottom w:w="80" w:type="dxa"/>
              <w:right w:w="100" w:type="dxa"/>
            </w:tcMar>
            <w:vAlign w:val="center"/>
          </w:tcPr>
          <w:p w14:paraId="670DEC26" w14:textId="77777777" w:rsidR="009D6A06" w:rsidRDefault="00000000">
            <w:r>
              <w:rPr>
                <w:b/>
                <w:bCs/>
                <w:color w:val="FFFFFF"/>
                <w:sz w:val="20"/>
                <w:szCs w:val="20"/>
              </w:rPr>
              <w:t>What an assessor might look for</w:t>
            </w:r>
          </w:p>
        </w:tc>
      </w:tr>
      <w:tr w:rsidR="009D6A06" w14:paraId="1E0C74D9" w14:textId="77777777">
        <w:tblPrEx>
          <w:tblCellMar>
            <w:top w:w="0" w:type="dxa"/>
            <w:bottom w:w="0" w:type="dxa"/>
          </w:tblCellMar>
        </w:tblPrEx>
        <w:tc>
          <w:tcPr>
            <w:tcW w:w="498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77498FA0" w14:textId="77777777" w:rsidR="009D6A06" w:rsidRDefault="00000000">
            <w:r>
              <w:rPr>
                <w:sz w:val="20"/>
                <w:szCs w:val="20"/>
              </w:rPr>
              <w:t>Staff at all levels feel able to raise concerns directly, including with senior leaders, without fear of blame or dismissal.</w:t>
            </w:r>
          </w:p>
        </w:tc>
        <w:tc>
          <w:tcPr>
            <w:tcW w:w="498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5C17F485" w14:textId="77777777" w:rsidR="009D6A06" w:rsidRDefault="00000000">
            <w:r>
              <w:rPr>
                <w:sz w:val="20"/>
                <w:szCs w:val="20"/>
              </w:rPr>
              <w:t>Near miss and concern reporting rates: high rates reflect a culture where people feel safe to report.</w:t>
            </w:r>
          </w:p>
        </w:tc>
      </w:tr>
      <w:tr w:rsidR="009D6A06" w14:paraId="2476EFE8" w14:textId="77777777">
        <w:tblPrEx>
          <w:tblCellMar>
            <w:top w:w="0" w:type="dxa"/>
            <w:bottom w:w="0" w:type="dxa"/>
          </w:tblCellMar>
        </w:tblPrEx>
        <w:tc>
          <w:tcPr>
            <w:tcW w:w="498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5EEB7D33" w14:textId="77777777" w:rsidR="009D6A06" w:rsidRDefault="00000000">
            <w:r>
              <w:rPr>
                <w:sz w:val="20"/>
                <w:szCs w:val="20"/>
              </w:rPr>
              <w:lastRenderedPageBreak/>
              <w:t>When concerns are raised, they receive a timely, visible response, even if the response is 'we looked and the risk is low'.</w:t>
            </w:r>
          </w:p>
        </w:tc>
        <w:tc>
          <w:tcPr>
            <w:tcW w:w="498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0B2EFB9A" w14:textId="77777777" w:rsidR="009D6A06" w:rsidRDefault="00000000">
            <w:r>
              <w:rPr>
                <w:sz w:val="20"/>
                <w:szCs w:val="20"/>
              </w:rPr>
              <w:t>Closure records on raised concerns: staff can track what happened to an issue they raised.</w:t>
            </w:r>
          </w:p>
        </w:tc>
      </w:tr>
      <w:tr w:rsidR="009D6A06" w14:paraId="09192A13" w14:textId="77777777">
        <w:tblPrEx>
          <w:tblCellMar>
            <w:top w:w="0" w:type="dxa"/>
            <w:bottom w:w="0" w:type="dxa"/>
          </w:tblCellMar>
        </w:tblPrEx>
        <w:tc>
          <w:tcPr>
            <w:tcW w:w="498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01DE4A29" w14:textId="77777777" w:rsidR="009D6A06" w:rsidRDefault="00000000">
            <w:r>
              <w:rPr>
                <w:sz w:val="20"/>
                <w:szCs w:val="20"/>
              </w:rPr>
              <w:t>Differing opinions about how to do something safely are encouraged and resolved through discussion, not hierarchy.</w:t>
            </w:r>
          </w:p>
        </w:tc>
        <w:tc>
          <w:tcPr>
            <w:tcW w:w="498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47CFC72F" w14:textId="77777777" w:rsidR="009D6A06" w:rsidRDefault="00000000">
            <w:r>
              <w:rPr>
                <w:sz w:val="20"/>
                <w:szCs w:val="20"/>
              </w:rPr>
              <w:t>Evidence of pre-job briefings, toolbox talks or technical discussions where concerns were raised and addressed.</w:t>
            </w:r>
          </w:p>
        </w:tc>
      </w:tr>
    </w:tbl>
    <w:p w14:paraId="256FD6C6" w14:textId="77777777" w:rsidR="009D6A06" w:rsidRDefault="00000000">
      <w:pPr>
        <w:pStyle w:val="Heading2"/>
      </w:pPr>
      <w:bookmarkStart w:id="13" w:name="_Toc232492695"/>
      <w:r>
        <w:rPr>
          <w:color w:val="7B2D8B"/>
        </w:rPr>
        <w:t>7. Continuous learning</w:t>
      </w:r>
      <w:bookmarkEnd w:id="13"/>
    </w:p>
    <w:p w14:paraId="4E8F226D" w14:textId="77777777" w:rsidR="009D6A06" w:rsidRDefault="00000000">
      <w:pPr>
        <w:spacing w:after="160"/>
      </w:pPr>
      <w:r>
        <w:t>The organisation actively seeks opportunities to learn from its own performance and from events and experience across the industry. It does not just learn after things go wrong: it looks for signals before they become incidents. Lessons learned are shared visibly and translated into changed practice, not just filed.</w:t>
      </w:r>
    </w:p>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86"/>
        <w:gridCol w:w="4986"/>
      </w:tblGrid>
      <w:tr w:rsidR="009D6A06" w14:paraId="27A30C38" w14:textId="77777777">
        <w:tblPrEx>
          <w:tblCellMar>
            <w:top w:w="0" w:type="dxa"/>
            <w:bottom w:w="0" w:type="dxa"/>
          </w:tblCellMar>
        </w:tblPrEx>
        <w:tc>
          <w:tcPr>
            <w:tcW w:w="4986" w:type="dxa"/>
            <w:tcBorders>
              <w:top w:val="single" w:sz="4" w:space="0" w:color="CCCCCC"/>
              <w:left w:val="single" w:sz="4" w:space="0" w:color="CCCCCC"/>
              <w:bottom w:val="single" w:sz="4" w:space="0" w:color="CCCCCC"/>
              <w:right w:val="single" w:sz="4" w:space="0" w:color="CCCCCC"/>
            </w:tcBorders>
            <w:shd w:val="clear" w:color="auto" w:fill="009FE3"/>
            <w:tcMar>
              <w:top w:w="80" w:type="dxa"/>
              <w:left w:w="100" w:type="dxa"/>
              <w:bottom w:w="80" w:type="dxa"/>
              <w:right w:w="100" w:type="dxa"/>
            </w:tcMar>
            <w:vAlign w:val="center"/>
          </w:tcPr>
          <w:p w14:paraId="642887C9" w14:textId="77777777" w:rsidR="009D6A06" w:rsidRDefault="00000000">
            <w:r>
              <w:rPr>
                <w:b/>
                <w:bCs/>
                <w:color w:val="FFFFFF"/>
                <w:sz w:val="20"/>
                <w:szCs w:val="20"/>
              </w:rPr>
              <w:t>What it looks like in practice</w:t>
            </w:r>
          </w:p>
        </w:tc>
        <w:tc>
          <w:tcPr>
            <w:tcW w:w="4986" w:type="dxa"/>
            <w:tcBorders>
              <w:top w:val="single" w:sz="4" w:space="0" w:color="CCCCCC"/>
              <w:left w:val="single" w:sz="4" w:space="0" w:color="CCCCCC"/>
              <w:bottom w:val="single" w:sz="4" w:space="0" w:color="CCCCCC"/>
              <w:right w:val="single" w:sz="4" w:space="0" w:color="CCCCCC"/>
            </w:tcBorders>
            <w:shd w:val="clear" w:color="auto" w:fill="009FE3"/>
            <w:tcMar>
              <w:top w:w="80" w:type="dxa"/>
              <w:left w:w="100" w:type="dxa"/>
              <w:bottom w:w="80" w:type="dxa"/>
              <w:right w:w="100" w:type="dxa"/>
            </w:tcMar>
            <w:vAlign w:val="center"/>
          </w:tcPr>
          <w:p w14:paraId="01EE2235" w14:textId="77777777" w:rsidR="009D6A06" w:rsidRDefault="00000000">
            <w:r>
              <w:rPr>
                <w:b/>
                <w:bCs/>
                <w:color w:val="FFFFFF"/>
                <w:sz w:val="20"/>
                <w:szCs w:val="20"/>
              </w:rPr>
              <w:t>What an assessor might look for</w:t>
            </w:r>
          </w:p>
        </w:tc>
      </w:tr>
      <w:tr w:rsidR="009D6A06" w14:paraId="009A2A0D" w14:textId="77777777">
        <w:tblPrEx>
          <w:tblCellMar>
            <w:top w:w="0" w:type="dxa"/>
            <w:bottom w:w="0" w:type="dxa"/>
          </w:tblCellMar>
        </w:tblPrEx>
        <w:tc>
          <w:tcPr>
            <w:tcW w:w="498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35188655" w14:textId="77777777" w:rsidR="009D6A06" w:rsidRDefault="00000000">
            <w:r>
              <w:rPr>
                <w:sz w:val="20"/>
                <w:szCs w:val="20"/>
              </w:rPr>
              <w:t>Near misses are treated as valuable learning opportunities, not embarrassments to be minimised.</w:t>
            </w:r>
          </w:p>
        </w:tc>
        <w:tc>
          <w:tcPr>
            <w:tcW w:w="498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08E62806" w14:textId="77777777" w:rsidR="009D6A06" w:rsidRDefault="00000000">
            <w:r>
              <w:rPr>
                <w:sz w:val="20"/>
                <w:szCs w:val="20"/>
              </w:rPr>
              <w:t>Root cause analysis records (see PE-04): evidence that the root cause was found, not just the immediate cause.</w:t>
            </w:r>
          </w:p>
        </w:tc>
      </w:tr>
      <w:tr w:rsidR="009D6A06" w14:paraId="52564618" w14:textId="77777777">
        <w:tblPrEx>
          <w:tblCellMar>
            <w:top w:w="0" w:type="dxa"/>
            <w:bottom w:w="0" w:type="dxa"/>
          </w:tblCellMar>
        </w:tblPrEx>
        <w:tc>
          <w:tcPr>
            <w:tcW w:w="498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354BED38" w14:textId="77777777" w:rsidR="009D6A06" w:rsidRDefault="00000000">
            <w:r>
              <w:rPr>
                <w:sz w:val="20"/>
                <w:szCs w:val="20"/>
              </w:rPr>
              <w:t>Industry events, nuclear operational experience (OPEX) and lessons from incidents at other organisations are reviewed and assessed for applicability.</w:t>
            </w:r>
          </w:p>
        </w:tc>
        <w:tc>
          <w:tcPr>
            <w:tcW w:w="498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3CD85589" w14:textId="77777777" w:rsidR="009D6A06" w:rsidRDefault="00000000">
            <w:r>
              <w:rPr>
                <w:sz w:val="20"/>
                <w:szCs w:val="20"/>
              </w:rPr>
              <w:t>Records of external learning: OPEX reviews, WANO or ONR publications shared at toolbox talks, industry good practice communicated to staff.</w:t>
            </w:r>
          </w:p>
        </w:tc>
      </w:tr>
      <w:tr w:rsidR="009D6A06" w14:paraId="2EB3C522" w14:textId="77777777">
        <w:tblPrEx>
          <w:tblCellMar>
            <w:top w:w="0" w:type="dxa"/>
            <w:bottom w:w="0" w:type="dxa"/>
          </w:tblCellMar>
        </w:tblPrEx>
        <w:tc>
          <w:tcPr>
            <w:tcW w:w="498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52CBD64B" w14:textId="77777777" w:rsidR="009D6A06" w:rsidRDefault="00000000">
            <w:r>
              <w:rPr>
                <w:sz w:val="20"/>
                <w:szCs w:val="20"/>
              </w:rPr>
              <w:t>Changes made as a result of incidents or near misses are communicated and tracked to completion.</w:t>
            </w:r>
          </w:p>
        </w:tc>
        <w:tc>
          <w:tcPr>
            <w:tcW w:w="498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70E8D156" w14:textId="77777777" w:rsidR="009D6A06" w:rsidRDefault="00000000">
            <w:r>
              <w:rPr>
                <w:sz w:val="20"/>
                <w:szCs w:val="20"/>
              </w:rPr>
              <w:t>Lessons learned entries that have a clear 'what changed' statement, not just 'action closed'.</w:t>
            </w:r>
          </w:p>
        </w:tc>
      </w:tr>
    </w:tbl>
    <w:p w14:paraId="419E6A9D" w14:textId="77777777" w:rsidR="009D6A06" w:rsidRDefault="00000000">
      <w:pPr>
        <w:pStyle w:val="Heading2"/>
      </w:pPr>
      <w:bookmarkStart w:id="14" w:name="_Toc232492696"/>
      <w:r>
        <w:rPr>
          <w:color w:val="7B2D8B"/>
        </w:rPr>
        <w:t>8. Problem identification and resolution</w:t>
      </w:r>
      <w:bookmarkEnd w:id="14"/>
    </w:p>
    <w:p w14:paraId="756CEAE3" w14:textId="77777777" w:rsidR="009D6A06" w:rsidRDefault="00000000">
      <w:pPr>
        <w:spacing w:after="160"/>
      </w:pPr>
      <w:r>
        <w:t>Issues, concerns, near misses and non-conformances are identified, captured, evaluated and resolved promptly. The organisation does not tolerate a growing backlog of unresolved issues. Problems are investigated at the appropriate depth: not every issue requires a full root cause analysis, but recurring themes and high-severity events always do.</w:t>
      </w:r>
    </w:p>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86"/>
        <w:gridCol w:w="4986"/>
      </w:tblGrid>
      <w:tr w:rsidR="009D6A06" w14:paraId="12150F9F" w14:textId="77777777">
        <w:tblPrEx>
          <w:tblCellMar>
            <w:top w:w="0" w:type="dxa"/>
            <w:bottom w:w="0" w:type="dxa"/>
          </w:tblCellMar>
        </w:tblPrEx>
        <w:tc>
          <w:tcPr>
            <w:tcW w:w="4986" w:type="dxa"/>
            <w:tcBorders>
              <w:top w:val="single" w:sz="4" w:space="0" w:color="CCCCCC"/>
              <w:left w:val="single" w:sz="4" w:space="0" w:color="CCCCCC"/>
              <w:bottom w:val="single" w:sz="4" w:space="0" w:color="CCCCCC"/>
              <w:right w:val="single" w:sz="4" w:space="0" w:color="CCCCCC"/>
            </w:tcBorders>
            <w:shd w:val="clear" w:color="auto" w:fill="009FE3"/>
            <w:tcMar>
              <w:top w:w="80" w:type="dxa"/>
              <w:left w:w="100" w:type="dxa"/>
              <w:bottom w:w="80" w:type="dxa"/>
              <w:right w:w="100" w:type="dxa"/>
            </w:tcMar>
            <w:vAlign w:val="center"/>
          </w:tcPr>
          <w:p w14:paraId="6E7C0F35" w14:textId="77777777" w:rsidR="009D6A06" w:rsidRDefault="00000000">
            <w:r>
              <w:rPr>
                <w:b/>
                <w:bCs/>
                <w:color w:val="FFFFFF"/>
                <w:sz w:val="20"/>
                <w:szCs w:val="20"/>
              </w:rPr>
              <w:t>What it looks like in practice</w:t>
            </w:r>
          </w:p>
        </w:tc>
        <w:tc>
          <w:tcPr>
            <w:tcW w:w="4986" w:type="dxa"/>
            <w:tcBorders>
              <w:top w:val="single" w:sz="4" w:space="0" w:color="CCCCCC"/>
              <w:left w:val="single" w:sz="4" w:space="0" w:color="CCCCCC"/>
              <w:bottom w:val="single" w:sz="4" w:space="0" w:color="CCCCCC"/>
              <w:right w:val="single" w:sz="4" w:space="0" w:color="CCCCCC"/>
            </w:tcBorders>
            <w:shd w:val="clear" w:color="auto" w:fill="009FE3"/>
            <w:tcMar>
              <w:top w:w="80" w:type="dxa"/>
              <w:left w:w="100" w:type="dxa"/>
              <w:bottom w:w="80" w:type="dxa"/>
              <w:right w:w="100" w:type="dxa"/>
            </w:tcMar>
            <w:vAlign w:val="center"/>
          </w:tcPr>
          <w:p w14:paraId="28605120" w14:textId="77777777" w:rsidR="009D6A06" w:rsidRDefault="00000000">
            <w:r>
              <w:rPr>
                <w:b/>
                <w:bCs/>
                <w:color w:val="FFFFFF"/>
                <w:sz w:val="20"/>
                <w:szCs w:val="20"/>
              </w:rPr>
              <w:t>What an assessor might look for</w:t>
            </w:r>
          </w:p>
        </w:tc>
      </w:tr>
      <w:tr w:rsidR="009D6A06" w14:paraId="75C4A837" w14:textId="77777777">
        <w:tblPrEx>
          <w:tblCellMar>
            <w:top w:w="0" w:type="dxa"/>
            <w:bottom w:w="0" w:type="dxa"/>
          </w:tblCellMar>
        </w:tblPrEx>
        <w:tc>
          <w:tcPr>
            <w:tcW w:w="498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4D04F5D1" w14:textId="77777777" w:rsidR="009D6A06" w:rsidRDefault="00000000">
            <w:r>
              <w:rPr>
                <w:sz w:val="20"/>
                <w:szCs w:val="20"/>
              </w:rPr>
              <w:t>A single live problem and near miss register (see PE-04a) captures all issues, not separate lists in different departments.</w:t>
            </w:r>
          </w:p>
        </w:tc>
        <w:tc>
          <w:tcPr>
            <w:tcW w:w="498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52572F76" w14:textId="77777777" w:rsidR="009D6A06" w:rsidRDefault="00000000">
            <w:r>
              <w:rPr>
                <w:sz w:val="20"/>
                <w:szCs w:val="20"/>
              </w:rPr>
              <w:t>A consistent, well-maintained register: entries have owners, dates and closure actions, and is genuinely up to date.</w:t>
            </w:r>
          </w:p>
        </w:tc>
      </w:tr>
      <w:tr w:rsidR="009D6A06" w14:paraId="35A3DFDE" w14:textId="77777777">
        <w:tblPrEx>
          <w:tblCellMar>
            <w:top w:w="0" w:type="dxa"/>
            <w:bottom w:w="0" w:type="dxa"/>
          </w:tblCellMar>
        </w:tblPrEx>
        <w:tc>
          <w:tcPr>
            <w:tcW w:w="498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14764AD5" w14:textId="77777777" w:rsidR="009D6A06" w:rsidRDefault="00000000">
            <w:r>
              <w:rPr>
                <w:sz w:val="20"/>
                <w:szCs w:val="20"/>
              </w:rPr>
              <w:t>Recurring problems are escalated for root cause analysis rather than repeatedly having the same immediate fix applied.</w:t>
            </w:r>
          </w:p>
        </w:tc>
        <w:tc>
          <w:tcPr>
            <w:tcW w:w="498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192182CE" w14:textId="77777777" w:rsidR="009D6A06" w:rsidRDefault="00000000">
            <w:r>
              <w:rPr>
                <w:sz w:val="20"/>
                <w:szCs w:val="20"/>
              </w:rPr>
              <w:t>RCA records for repeat issues: evidence that the underlying cause was addressed, not just the symptom.</w:t>
            </w:r>
          </w:p>
        </w:tc>
      </w:tr>
      <w:tr w:rsidR="009D6A06" w14:paraId="5CBC7E3C" w14:textId="77777777">
        <w:tblPrEx>
          <w:tblCellMar>
            <w:top w:w="0" w:type="dxa"/>
            <w:bottom w:w="0" w:type="dxa"/>
          </w:tblCellMar>
        </w:tblPrEx>
        <w:tc>
          <w:tcPr>
            <w:tcW w:w="498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6AD028FA" w14:textId="77777777" w:rsidR="009D6A06" w:rsidRDefault="00000000">
            <w:r>
              <w:rPr>
                <w:sz w:val="20"/>
                <w:szCs w:val="20"/>
              </w:rPr>
              <w:t>The time from issue raised to issue closed is tracked and reviewed at SLT level.</w:t>
            </w:r>
          </w:p>
        </w:tc>
        <w:tc>
          <w:tcPr>
            <w:tcW w:w="498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4EC0FD26" w14:textId="77777777" w:rsidR="009D6A06" w:rsidRDefault="00000000">
            <w:r>
              <w:rPr>
                <w:sz w:val="20"/>
                <w:szCs w:val="20"/>
              </w:rPr>
              <w:t>QHSE-03 objectives that include a target for reducing open actions or improving average closure time.</w:t>
            </w:r>
          </w:p>
        </w:tc>
      </w:tr>
    </w:tbl>
    <w:p w14:paraId="46439F0F" w14:textId="77777777" w:rsidR="009D6A06" w:rsidRDefault="00000000">
      <w:pPr>
        <w:pStyle w:val="Heading2"/>
      </w:pPr>
      <w:bookmarkStart w:id="15" w:name="_Toc232492697"/>
      <w:r>
        <w:rPr>
          <w:color w:val="7B2D8B"/>
        </w:rPr>
        <w:t>9. Environment for raising concerns</w:t>
      </w:r>
      <w:bookmarkEnd w:id="15"/>
    </w:p>
    <w:p w14:paraId="2B39E56E" w14:textId="77777777" w:rsidR="009D6A06" w:rsidRDefault="00000000">
      <w:pPr>
        <w:spacing w:after="160"/>
      </w:pPr>
      <w:r>
        <w:t>A just culture exists: individuals are not blamed or penalised for raising concerns or reporting errors, provided they are acting in good faith. The distinction is between an honest mistake or near miss raised openly, and a deliberate violation of a known rule. The organisation actively encourages reporting, tracks reporting rates as a positive indicator, and acts visibly on what is raised.</w:t>
      </w:r>
    </w:p>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86"/>
        <w:gridCol w:w="4986"/>
      </w:tblGrid>
      <w:tr w:rsidR="009D6A06" w14:paraId="7DC491C8" w14:textId="77777777">
        <w:tblPrEx>
          <w:tblCellMar>
            <w:top w:w="0" w:type="dxa"/>
            <w:bottom w:w="0" w:type="dxa"/>
          </w:tblCellMar>
        </w:tblPrEx>
        <w:tc>
          <w:tcPr>
            <w:tcW w:w="4986" w:type="dxa"/>
            <w:tcBorders>
              <w:top w:val="single" w:sz="4" w:space="0" w:color="CCCCCC"/>
              <w:left w:val="single" w:sz="4" w:space="0" w:color="CCCCCC"/>
              <w:bottom w:val="single" w:sz="4" w:space="0" w:color="CCCCCC"/>
              <w:right w:val="single" w:sz="4" w:space="0" w:color="CCCCCC"/>
            </w:tcBorders>
            <w:shd w:val="clear" w:color="auto" w:fill="009FE3"/>
            <w:tcMar>
              <w:top w:w="80" w:type="dxa"/>
              <w:left w:w="100" w:type="dxa"/>
              <w:bottom w:w="80" w:type="dxa"/>
              <w:right w:w="100" w:type="dxa"/>
            </w:tcMar>
            <w:vAlign w:val="center"/>
          </w:tcPr>
          <w:p w14:paraId="672384C6" w14:textId="77777777" w:rsidR="009D6A06" w:rsidRDefault="00000000">
            <w:r>
              <w:rPr>
                <w:b/>
                <w:bCs/>
                <w:color w:val="FFFFFF"/>
                <w:sz w:val="20"/>
                <w:szCs w:val="20"/>
              </w:rPr>
              <w:t>What it looks like in practice</w:t>
            </w:r>
          </w:p>
        </w:tc>
        <w:tc>
          <w:tcPr>
            <w:tcW w:w="4986" w:type="dxa"/>
            <w:tcBorders>
              <w:top w:val="single" w:sz="4" w:space="0" w:color="CCCCCC"/>
              <w:left w:val="single" w:sz="4" w:space="0" w:color="CCCCCC"/>
              <w:bottom w:val="single" w:sz="4" w:space="0" w:color="CCCCCC"/>
              <w:right w:val="single" w:sz="4" w:space="0" w:color="CCCCCC"/>
            </w:tcBorders>
            <w:shd w:val="clear" w:color="auto" w:fill="009FE3"/>
            <w:tcMar>
              <w:top w:w="80" w:type="dxa"/>
              <w:left w:w="100" w:type="dxa"/>
              <w:bottom w:w="80" w:type="dxa"/>
              <w:right w:w="100" w:type="dxa"/>
            </w:tcMar>
            <w:vAlign w:val="center"/>
          </w:tcPr>
          <w:p w14:paraId="58A99BA3" w14:textId="77777777" w:rsidR="009D6A06" w:rsidRDefault="00000000">
            <w:r>
              <w:rPr>
                <w:b/>
                <w:bCs/>
                <w:color w:val="FFFFFF"/>
                <w:sz w:val="20"/>
                <w:szCs w:val="20"/>
              </w:rPr>
              <w:t>What an assessor might look for</w:t>
            </w:r>
          </w:p>
        </w:tc>
      </w:tr>
      <w:tr w:rsidR="009D6A06" w14:paraId="79CE1E42" w14:textId="77777777">
        <w:tblPrEx>
          <w:tblCellMar>
            <w:top w:w="0" w:type="dxa"/>
            <w:bottom w:w="0" w:type="dxa"/>
          </w:tblCellMar>
        </w:tblPrEx>
        <w:tc>
          <w:tcPr>
            <w:tcW w:w="498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79199020" w14:textId="77777777" w:rsidR="009D6A06" w:rsidRDefault="00000000">
            <w:r>
              <w:rPr>
                <w:sz w:val="20"/>
                <w:szCs w:val="20"/>
              </w:rPr>
              <w:lastRenderedPageBreak/>
              <w:t>Near miss and concern reporting is encouraged, tracked, and its rate is treated as a positive leading indicator.</w:t>
            </w:r>
          </w:p>
        </w:tc>
        <w:tc>
          <w:tcPr>
            <w:tcW w:w="498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64BB202C" w14:textId="77777777" w:rsidR="009D6A06" w:rsidRDefault="00000000">
            <w:r>
              <w:rPr>
                <w:sz w:val="20"/>
                <w:szCs w:val="20"/>
              </w:rPr>
              <w:t>Trend data on near miss reporting rates: the objective is to see rates rise over time, not fall.</w:t>
            </w:r>
          </w:p>
        </w:tc>
      </w:tr>
      <w:tr w:rsidR="009D6A06" w14:paraId="6D856E74" w14:textId="77777777">
        <w:tblPrEx>
          <w:tblCellMar>
            <w:top w:w="0" w:type="dxa"/>
            <w:bottom w:w="0" w:type="dxa"/>
          </w:tblCellMar>
        </w:tblPrEx>
        <w:tc>
          <w:tcPr>
            <w:tcW w:w="498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736BC7DA" w14:textId="77777777" w:rsidR="009D6A06" w:rsidRDefault="00000000">
            <w:r>
              <w:rPr>
                <w:sz w:val="20"/>
                <w:szCs w:val="20"/>
              </w:rPr>
              <w:t>When someone raises a concern, they receive feedback on what happened as a result, even if the action was 'no change needed'.</w:t>
            </w:r>
          </w:p>
        </w:tc>
        <w:tc>
          <w:tcPr>
            <w:tcW w:w="498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08DEFC65" w14:textId="77777777" w:rsidR="009D6A06" w:rsidRDefault="00000000">
            <w:r>
              <w:rPr>
                <w:sz w:val="20"/>
                <w:szCs w:val="20"/>
              </w:rPr>
              <w:t>Closed loop records: concern raised, response given, person who raised it informed.</w:t>
            </w:r>
          </w:p>
        </w:tc>
      </w:tr>
      <w:tr w:rsidR="009D6A06" w14:paraId="38D3DF70" w14:textId="77777777">
        <w:tblPrEx>
          <w:tblCellMar>
            <w:top w:w="0" w:type="dxa"/>
            <w:bottom w:w="0" w:type="dxa"/>
          </w:tblCellMar>
        </w:tblPrEx>
        <w:tc>
          <w:tcPr>
            <w:tcW w:w="498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32EB4816" w14:textId="77777777" w:rsidR="009D6A06" w:rsidRDefault="00000000">
            <w:r>
              <w:rPr>
                <w:sz w:val="20"/>
                <w:szCs w:val="20"/>
              </w:rPr>
              <w:t>The response to an error distinguishes between a genuine mistake and a deliberate violation: blame-free for the former, clear consequence for the latter.</w:t>
            </w:r>
          </w:p>
        </w:tc>
        <w:tc>
          <w:tcPr>
            <w:tcW w:w="498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073935DC" w14:textId="77777777" w:rsidR="009D6A06" w:rsidRDefault="00000000">
            <w:r>
              <w:rPr>
                <w:sz w:val="20"/>
                <w:szCs w:val="20"/>
              </w:rPr>
              <w:t>Staff are able to describe the organisation's approach to blame: 'if you make an honest mistake and report it, here is what happens'.</w:t>
            </w:r>
          </w:p>
        </w:tc>
      </w:tr>
    </w:tbl>
    <w:p w14:paraId="332F8D1A" w14:textId="77777777" w:rsidR="009D6A06" w:rsidRDefault="00000000">
      <w:pPr>
        <w:pStyle w:val="Heading2"/>
      </w:pPr>
      <w:bookmarkStart w:id="16" w:name="_Toc232492698"/>
      <w:r>
        <w:rPr>
          <w:color w:val="7B2D8B"/>
        </w:rPr>
        <w:t>10. Work processes</w:t>
      </w:r>
      <w:bookmarkEnd w:id="16"/>
    </w:p>
    <w:p w14:paraId="4244E7E0" w14:textId="77777777" w:rsidR="009D6A06" w:rsidRDefault="00000000">
      <w:pPr>
        <w:spacing w:after="160"/>
      </w:pPr>
      <w:r>
        <w:t>Activities that could affect nuclear safety are planned and executed using approved, controlled procedures. Pre-job briefings are used for higher-risk activities. Post-job reviews capture lessons for future work. The organisation does not rely on individual knowledge or informal practice for safety-critical activities: if it is important, it is written down and followed.</w:t>
      </w:r>
    </w:p>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86"/>
        <w:gridCol w:w="4986"/>
      </w:tblGrid>
      <w:tr w:rsidR="009D6A06" w14:paraId="4161809F" w14:textId="77777777">
        <w:tblPrEx>
          <w:tblCellMar>
            <w:top w:w="0" w:type="dxa"/>
            <w:bottom w:w="0" w:type="dxa"/>
          </w:tblCellMar>
        </w:tblPrEx>
        <w:tc>
          <w:tcPr>
            <w:tcW w:w="4986" w:type="dxa"/>
            <w:tcBorders>
              <w:top w:val="single" w:sz="4" w:space="0" w:color="CCCCCC"/>
              <w:left w:val="single" w:sz="4" w:space="0" w:color="CCCCCC"/>
              <w:bottom w:val="single" w:sz="4" w:space="0" w:color="CCCCCC"/>
              <w:right w:val="single" w:sz="4" w:space="0" w:color="CCCCCC"/>
            </w:tcBorders>
            <w:shd w:val="clear" w:color="auto" w:fill="009FE3"/>
            <w:tcMar>
              <w:top w:w="80" w:type="dxa"/>
              <w:left w:w="100" w:type="dxa"/>
              <w:bottom w:w="80" w:type="dxa"/>
              <w:right w:w="100" w:type="dxa"/>
            </w:tcMar>
            <w:vAlign w:val="center"/>
          </w:tcPr>
          <w:p w14:paraId="68805683" w14:textId="77777777" w:rsidR="009D6A06" w:rsidRDefault="00000000">
            <w:r>
              <w:rPr>
                <w:b/>
                <w:bCs/>
                <w:color w:val="FFFFFF"/>
                <w:sz w:val="20"/>
                <w:szCs w:val="20"/>
              </w:rPr>
              <w:t>What it looks like in practice</w:t>
            </w:r>
          </w:p>
        </w:tc>
        <w:tc>
          <w:tcPr>
            <w:tcW w:w="4986" w:type="dxa"/>
            <w:tcBorders>
              <w:top w:val="single" w:sz="4" w:space="0" w:color="CCCCCC"/>
              <w:left w:val="single" w:sz="4" w:space="0" w:color="CCCCCC"/>
              <w:bottom w:val="single" w:sz="4" w:space="0" w:color="CCCCCC"/>
              <w:right w:val="single" w:sz="4" w:space="0" w:color="CCCCCC"/>
            </w:tcBorders>
            <w:shd w:val="clear" w:color="auto" w:fill="009FE3"/>
            <w:tcMar>
              <w:top w:w="80" w:type="dxa"/>
              <w:left w:w="100" w:type="dxa"/>
              <w:bottom w:w="80" w:type="dxa"/>
              <w:right w:w="100" w:type="dxa"/>
            </w:tcMar>
            <w:vAlign w:val="center"/>
          </w:tcPr>
          <w:p w14:paraId="1E83CD23" w14:textId="77777777" w:rsidR="009D6A06" w:rsidRDefault="00000000">
            <w:r>
              <w:rPr>
                <w:b/>
                <w:bCs/>
                <w:color w:val="FFFFFF"/>
                <w:sz w:val="20"/>
                <w:szCs w:val="20"/>
              </w:rPr>
              <w:t>What an assessor might look for</w:t>
            </w:r>
          </w:p>
        </w:tc>
      </w:tr>
      <w:tr w:rsidR="009D6A06" w14:paraId="0D77358D" w14:textId="77777777">
        <w:tblPrEx>
          <w:tblCellMar>
            <w:top w:w="0" w:type="dxa"/>
            <w:bottom w:w="0" w:type="dxa"/>
          </w:tblCellMar>
        </w:tblPrEx>
        <w:tc>
          <w:tcPr>
            <w:tcW w:w="498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5490237C" w14:textId="77777777" w:rsidR="009D6A06" w:rsidRDefault="00000000">
            <w:r>
              <w:rPr>
                <w:sz w:val="20"/>
                <w:szCs w:val="20"/>
              </w:rPr>
              <w:t>Controlled SOPs (see PE-06) exist for all safety-critical and quality-critical processes and are available at the point of use.</w:t>
            </w:r>
          </w:p>
        </w:tc>
        <w:tc>
          <w:tcPr>
            <w:tcW w:w="498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38AE3014" w14:textId="77777777" w:rsidR="009D6A06" w:rsidRDefault="00000000">
            <w:r>
              <w:rPr>
                <w:sz w:val="20"/>
                <w:szCs w:val="20"/>
              </w:rPr>
              <w:t>SOP register showing all critical processes have a current, approved procedure; staff know where to find them.</w:t>
            </w:r>
          </w:p>
        </w:tc>
      </w:tr>
      <w:tr w:rsidR="009D6A06" w14:paraId="7311FC34" w14:textId="77777777">
        <w:tblPrEx>
          <w:tblCellMar>
            <w:top w:w="0" w:type="dxa"/>
            <w:bottom w:w="0" w:type="dxa"/>
          </w:tblCellMar>
        </w:tblPrEx>
        <w:tc>
          <w:tcPr>
            <w:tcW w:w="498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314E243C" w14:textId="77777777" w:rsidR="009D6A06" w:rsidRDefault="00000000">
            <w:r>
              <w:rPr>
                <w:sz w:val="20"/>
                <w:szCs w:val="20"/>
              </w:rPr>
              <w:t>Pre-job briefings are used for higher-risk activities and are documented, not just informal conversations.</w:t>
            </w:r>
          </w:p>
        </w:tc>
        <w:tc>
          <w:tcPr>
            <w:tcW w:w="498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1DD0EC9D" w14:textId="77777777" w:rsidR="009D6A06" w:rsidRDefault="00000000">
            <w:r>
              <w:rPr>
                <w:sz w:val="20"/>
                <w:szCs w:val="20"/>
              </w:rPr>
              <w:t>Records of pre-job briefings: date, attendees, risks discussed, questions raised.</w:t>
            </w:r>
          </w:p>
        </w:tc>
      </w:tr>
      <w:tr w:rsidR="009D6A06" w14:paraId="6AC3F34F" w14:textId="77777777">
        <w:tblPrEx>
          <w:tblCellMar>
            <w:top w:w="0" w:type="dxa"/>
            <w:bottom w:w="0" w:type="dxa"/>
          </w:tblCellMar>
        </w:tblPrEx>
        <w:tc>
          <w:tcPr>
            <w:tcW w:w="498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14054770" w14:textId="77777777" w:rsidR="009D6A06" w:rsidRDefault="00000000">
            <w:r>
              <w:rPr>
                <w:sz w:val="20"/>
                <w:szCs w:val="20"/>
              </w:rPr>
              <w:t>Changes to processes are managed through a formal change control process, not made informally.</w:t>
            </w:r>
          </w:p>
        </w:tc>
        <w:tc>
          <w:tcPr>
            <w:tcW w:w="498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29924092" w14:textId="77777777" w:rsidR="009D6A06" w:rsidRDefault="00000000">
            <w:r>
              <w:rPr>
                <w:sz w:val="20"/>
                <w:szCs w:val="20"/>
              </w:rPr>
              <w:t>Change records: evidence that process changes went through a documented review before implementation.</w:t>
            </w:r>
          </w:p>
        </w:tc>
      </w:tr>
    </w:tbl>
    <w:p w14:paraId="7A5A0878" w14:textId="77777777" w:rsidR="009D6A06" w:rsidRDefault="00000000">
      <w:r>
        <w:br w:type="page"/>
      </w:r>
    </w:p>
    <w:p w14:paraId="6B03DD93" w14:textId="77777777" w:rsidR="009D6A06" w:rsidRDefault="00000000">
      <w:pPr>
        <w:pStyle w:val="Heading1"/>
      </w:pPr>
      <w:bookmarkStart w:id="17" w:name="_Toc232492699"/>
      <w:r>
        <w:rPr>
          <w:color w:val="29ABE2"/>
        </w:rPr>
        <w:lastRenderedPageBreak/>
        <w:t>Assessing where you are and what to work on next</w:t>
      </w:r>
      <w:bookmarkEnd w:id="17"/>
    </w:p>
    <w:p w14:paraId="0E584585" w14:textId="77777777" w:rsidR="009D6A06" w:rsidRDefault="00000000">
      <w:pPr>
        <w:spacing w:after="160"/>
      </w:pPr>
      <w:r>
        <w:t>Before you can improve safety culture, you need an honest picture of where you are. This is harder than assessing a management system, because culture is about behaviour, not documentation. The assessment needs to involve people at all levels of the organisation, not just the management team.</w:t>
      </w:r>
    </w:p>
    <w:p w14:paraId="6B6FAF31" w14:textId="77777777" w:rsidR="009D6A06" w:rsidRDefault="00000000">
      <w:pPr>
        <w:pStyle w:val="Heading2"/>
      </w:pPr>
      <w:bookmarkStart w:id="18" w:name="_Toc232492700"/>
      <w:r>
        <w:rPr>
          <w:color w:val="7B2D8B"/>
        </w:rPr>
        <w:t>The maturity model</w:t>
      </w:r>
      <w:bookmarkEnd w:id="18"/>
    </w:p>
    <w:p w14:paraId="36A0EDA0" w14:textId="77777777" w:rsidR="009D6A06" w:rsidRDefault="00000000">
      <w:pPr>
        <w:spacing w:after="160"/>
      </w:pPr>
      <w:r>
        <w:t>Use the five-level maturity model below to broadly position your organisation against each of the ten traits. Be honest: a realistic assessment of where you are is far more useful than an optimistic one. The objective is not to score well on an assessment but to understand what to work on next.</w:t>
      </w:r>
    </w:p>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7"/>
        <w:gridCol w:w="3738"/>
        <w:gridCol w:w="4737"/>
      </w:tblGrid>
      <w:tr w:rsidR="009D6A06" w14:paraId="5F77A3E8" w14:textId="77777777">
        <w:tblPrEx>
          <w:tblCellMar>
            <w:top w:w="0" w:type="dxa"/>
            <w:bottom w:w="0" w:type="dxa"/>
          </w:tblCellMar>
        </w:tblPrEx>
        <w:tc>
          <w:tcPr>
            <w:tcW w:w="1497" w:type="dxa"/>
            <w:tcBorders>
              <w:top w:val="single" w:sz="4" w:space="0" w:color="CCCCCC"/>
              <w:left w:val="single" w:sz="4" w:space="0" w:color="CCCCCC"/>
              <w:bottom w:val="single" w:sz="4" w:space="0" w:color="CCCCCC"/>
              <w:right w:val="single" w:sz="4" w:space="0" w:color="CCCCCC"/>
            </w:tcBorders>
            <w:shd w:val="clear" w:color="auto" w:fill="009FE3"/>
            <w:tcMar>
              <w:top w:w="80" w:type="dxa"/>
              <w:left w:w="100" w:type="dxa"/>
              <w:bottom w:w="80" w:type="dxa"/>
              <w:right w:w="100" w:type="dxa"/>
            </w:tcMar>
            <w:vAlign w:val="center"/>
          </w:tcPr>
          <w:p w14:paraId="56C8F2A8" w14:textId="77777777" w:rsidR="009D6A06" w:rsidRDefault="00000000">
            <w:r>
              <w:rPr>
                <w:b/>
                <w:bCs/>
                <w:color w:val="FFFFFF"/>
                <w:sz w:val="20"/>
                <w:szCs w:val="20"/>
              </w:rPr>
              <w:t>Level</w:t>
            </w:r>
          </w:p>
        </w:tc>
        <w:tc>
          <w:tcPr>
            <w:tcW w:w="3738" w:type="dxa"/>
            <w:tcBorders>
              <w:top w:val="single" w:sz="4" w:space="0" w:color="CCCCCC"/>
              <w:left w:val="single" w:sz="4" w:space="0" w:color="CCCCCC"/>
              <w:bottom w:val="single" w:sz="4" w:space="0" w:color="CCCCCC"/>
              <w:right w:val="single" w:sz="4" w:space="0" w:color="CCCCCC"/>
            </w:tcBorders>
            <w:shd w:val="clear" w:color="auto" w:fill="009FE3"/>
            <w:tcMar>
              <w:top w:w="80" w:type="dxa"/>
              <w:left w:w="100" w:type="dxa"/>
              <w:bottom w:w="80" w:type="dxa"/>
              <w:right w:w="100" w:type="dxa"/>
            </w:tcMar>
            <w:vAlign w:val="center"/>
          </w:tcPr>
          <w:p w14:paraId="76120792" w14:textId="77777777" w:rsidR="009D6A06" w:rsidRDefault="00000000">
            <w:r>
              <w:rPr>
                <w:b/>
                <w:bCs/>
                <w:color w:val="FFFFFF"/>
                <w:sz w:val="20"/>
                <w:szCs w:val="20"/>
              </w:rPr>
              <w:t>Description</w:t>
            </w:r>
          </w:p>
        </w:tc>
        <w:tc>
          <w:tcPr>
            <w:tcW w:w="4737" w:type="dxa"/>
            <w:tcBorders>
              <w:top w:val="single" w:sz="4" w:space="0" w:color="CCCCCC"/>
              <w:left w:val="single" w:sz="4" w:space="0" w:color="CCCCCC"/>
              <w:bottom w:val="single" w:sz="4" w:space="0" w:color="CCCCCC"/>
              <w:right w:val="single" w:sz="4" w:space="0" w:color="CCCCCC"/>
            </w:tcBorders>
            <w:shd w:val="clear" w:color="auto" w:fill="009FE3"/>
            <w:tcMar>
              <w:top w:w="80" w:type="dxa"/>
              <w:left w:w="100" w:type="dxa"/>
              <w:bottom w:w="80" w:type="dxa"/>
              <w:right w:w="100" w:type="dxa"/>
            </w:tcMar>
            <w:vAlign w:val="center"/>
          </w:tcPr>
          <w:p w14:paraId="2CB96580" w14:textId="77777777" w:rsidR="009D6A06" w:rsidRDefault="00000000">
            <w:r>
              <w:rPr>
                <w:b/>
                <w:bCs/>
                <w:color w:val="FFFFFF"/>
                <w:sz w:val="20"/>
                <w:szCs w:val="20"/>
              </w:rPr>
              <w:t>Indicators</w:t>
            </w:r>
          </w:p>
        </w:tc>
      </w:tr>
      <w:tr w:rsidR="009D6A06" w14:paraId="53540457" w14:textId="77777777">
        <w:tblPrEx>
          <w:tblCellMar>
            <w:top w:w="0" w:type="dxa"/>
            <w:bottom w:w="0" w:type="dxa"/>
          </w:tblCellMar>
        </w:tblPrEx>
        <w:tc>
          <w:tcPr>
            <w:tcW w:w="149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0BD7F545" w14:textId="77777777" w:rsidR="009D6A06" w:rsidRDefault="00000000">
            <w:r>
              <w:rPr>
                <w:sz w:val="20"/>
                <w:szCs w:val="20"/>
              </w:rPr>
              <w:t>1  Reactive</w:t>
            </w:r>
          </w:p>
        </w:tc>
        <w:tc>
          <w:tcPr>
            <w:tcW w:w="373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76E90073" w14:textId="77777777" w:rsidR="009D6A06" w:rsidRDefault="00000000">
            <w:r>
              <w:rPr>
                <w:sz w:val="20"/>
                <w:szCs w:val="20"/>
              </w:rPr>
              <w:t>Safety is addressed mainly after something goes wrong. Rules are followed when someone is watching. Near miss reporting is low.</w:t>
            </w:r>
          </w:p>
        </w:tc>
        <w:tc>
          <w:tcPr>
            <w:tcW w:w="473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63C3384E" w14:textId="77777777" w:rsidR="009D6A06" w:rsidRDefault="00000000">
            <w:r>
              <w:rPr>
                <w:sz w:val="20"/>
                <w:szCs w:val="20"/>
              </w:rPr>
              <w:t>Few or no near miss reports; incidents recur because root causes are not addressed; safety only discussed after an event.</w:t>
            </w:r>
          </w:p>
        </w:tc>
      </w:tr>
      <w:tr w:rsidR="009D6A06" w14:paraId="4A6FB0B3" w14:textId="77777777">
        <w:tblPrEx>
          <w:tblCellMar>
            <w:top w:w="0" w:type="dxa"/>
            <w:bottom w:w="0" w:type="dxa"/>
          </w:tblCellMar>
        </w:tblPrEx>
        <w:tc>
          <w:tcPr>
            <w:tcW w:w="149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59376F0C" w14:textId="77777777" w:rsidR="009D6A06" w:rsidRDefault="00000000">
            <w:r>
              <w:rPr>
                <w:sz w:val="20"/>
                <w:szCs w:val="20"/>
              </w:rPr>
              <w:t>2  Managed</w:t>
            </w:r>
          </w:p>
        </w:tc>
        <w:tc>
          <w:tcPr>
            <w:tcW w:w="373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3EABF959" w14:textId="77777777" w:rsidR="009D6A06" w:rsidRDefault="00000000">
            <w:r>
              <w:rPr>
                <w:sz w:val="20"/>
                <w:szCs w:val="20"/>
              </w:rPr>
              <w:t>Safety processes exist and are broadly followed. Incidents are investigated. However, engagement is through compliance rather than genuine commitment.</w:t>
            </w:r>
          </w:p>
        </w:tc>
        <w:tc>
          <w:tcPr>
            <w:tcW w:w="473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6689AAF0" w14:textId="77777777" w:rsidR="009D6A06" w:rsidRDefault="00000000">
            <w:r>
              <w:rPr>
                <w:sz w:val="20"/>
                <w:szCs w:val="20"/>
              </w:rPr>
              <w:t>Near miss reports exist but are low in number; RCA is done but recommendations are not always implemented; safety meetings happen but are procedural.</w:t>
            </w:r>
          </w:p>
        </w:tc>
      </w:tr>
      <w:tr w:rsidR="009D6A06" w14:paraId="16C04E8A" w14:textId="77777777">
        <w:tblPrEx>
          <w:tblCellMar>
            <w:top w:w="0" w:type="dxa"/>
            <w:bottom w:w="0" w:type="dxa"/>
          </w:tblCellMar>
        </w:tblPrEx>
        <w:tc>
          <w:tcPr>
            <w:tcW w:w="149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39DA9201" w14:textId="77777777" w:rsidR="009D6A06" w:rsidRDefault="00000000">
            <w:r>
              <w:rPr>
                <w:sz w:val="20"/>
                <w:szCs w:val="20"/>
              </w:rPr>
              <w:t>3  Proactive</w:t>
            </w:r>
          </w:p>
        </w:tc>
        <w:tc>
          <w:tcPr>
            <w:tcW w:w="373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111FF513" w14:textId="77777777" w:rsidR="009D6A06" w:rsidRDefault="00000000">
            <w:r>
              <w:rPr>
                <w:sz w:val="20"/>
                <w:szCs w:val="20"/>
              </w:rPr>
              <w:t>The organisation actively looks for problems before they become incidents. Near miss reporting is encouraged and rates are rising. Leaders are visibly engaged with safety.</w:t>
            </w:r>
          </w:p>
        </w:tc>
        <w:tc>
          <w:tcPr>
            <w:tcW w:w="473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1209A309" w14:textId="77777777" w:rsidR="009D6A06" w:rsidRDefault="00000000">
            <w:r>
              <w:rPr>
                <w:sz w:val="20"/>
                <w:szCs w:val="20"/>
              </w:rPr>
              <w:t>Increasing near miss report rates; some examples of work being stopped and scrutinised; SLT visible on the shopfloor discussing safety.</w:t>
            </w:r>
          </w:p>
        </w:tc>
      </w:tr>
      <w:tr w:rsidR="009D6A06" w14:paraId="08669BC5" w14:textId="77777777">
        <w:tblPrEx>
          <w:tblCellMar>
            <w:top w:w="0" w:type="dxa"/>
            <w:bottom w:w="0" w:type="dxa"/>
          </w:tblCellMar>
        </w:tblPrEx>
        <w:tc>
          <w:tcPr>
            <w:tcW w:w="149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6A91B56F" w14:textId="77777777" w:rsidR="009D6A06" w:rsidRDefault="00000000">
            <w:r>
              <w:rPr>
                <w:sz w:val="20"/>
                <w:szCs w:val="20"/>
              </w:rPr>
              <w:t>4  Engaged</w:t>
            </w:r>
          </w:p>
        </w:tc>
        <w:tc>
          <w:tcPr>
            <w:tcW w:w="373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72EA5117" w14:textId="77777777" w:rsidR="009D6A06" w:rsidRDefault="00000000">
            <w:r>
              <w:rPr>
                <w:sz w:val="20"/>
                <w:szCs w:val="20"/>
              </w:rPr>
              <w:t>Staff at all levels take personal ownership of safety. Questioning attitude is normal. Just culture is understood and practised. Raising a concern is seen as positive.</w:t>
            </w:r>
          </w:p>
        </w:tc>
        <w:tc>
          <w:tcPr>
            <w:tcW w:w="473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2235E388" w14:textId="77777777" w:rsidR="009D6A06" w:rsidRDefault="00000000">
            <w:r>
              <w:rPr>
                <w:sz w:val="20"/>
                <w:szCs w:val="20"/>
              </w:rPr>
              <w:t>High near miss reporting rates; staff can give examples of challenges being made and addressed; concerns receive visible follow-up.</w:t>
            </w:r>
          </w:p>
        </w:tc>
      </w:tr>
      <w:tr w:rsidR="009D6A06" w14:paraId="58C6CA6E" w14:textId="77777777">
        <w:tblPrEx>
          <w:tblCellMar>
            <w:top w:w="0" w:type="dxa"/>
            <w:bottom w:w="0" w:type="dxa"/>
          </w:tblCellMar>
        </w:tblPrEx>
        <w:tc>
          <w:tcPr>
            <w:tcW w:w="149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6372935B" w14:textId="77777777" w:rsidR="009D6A06" w:rsidRDefault="00000000">
            <w:r>
              <w:rPr>
                <w:sz w:val="20"/>
                <w:szCs w:val="20"/>
              </w:rPr>
              <w:t>5  Embedded</w:t>
            </w:r>
          </w:p>
        </w:tc>
        <w:tc>
          <w:tcPr>
            <w:tcW w:w="373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3D8BEC24" w14:textId="77777777" w:rsidR="009D6A06" w:rsidRDefault="00000000">
            <w:r>
              <w:rPr>
                <w:sz w:val="20"/>
                <w:szCs w:val="20"/>
              </w:rPr>
              <w:t>Safety culture is self-sustaining. New starters are inducted into the culture by their peers, not just by training. The organisation learns continuously from internal and external experience.</w:t>
            </w:r>
          </w:p>
        </w:tc>
        <w:tc>
          <w:tcPr>
            <w:tcW w:w="473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3BEEF200" w14:textId="77777777" w:rsidR="009D6A06" w:rsidRDefault="00000000">
            <w:r>
              <w:rPr>
                <w:sz w:val="20"/>
                <w:szCs w:val="20"/>
              </w:rPr>
              <w:t>Continuous improvement in safety performance; strong industry engagement; external learning translated into internal practice; peer accountability is normal.</w:t>
            </w:r>
          </w:p>
        </w:tc>
      </w:tr>
    </w:tbl>
    <w:p w14:paraId="5D50D565" w14:textId="77777777" w:rsidR="009D6A06" w:rsidRDefault="00000000">
      <w:pPr>
        <w:pStyle w:val="Heading2"/>
      </w:pPr>
      <w:bookmarkStart w:id="19" w:name="_Toc232492701"/>
      <w:r>
        <w:rPr>
          <w:color w:val="7B2D8B"/>
        </w:rPr>
        <w:t>Methods for gathering a realistic picture</w:t>
      </w:r>
      <w:bookmarkEnd w:id="19"/>
    </w:p>
    <w:p w14:paraId="01177211" w14:textId="77777777" w:rsidR="009D6A06" w:rsidRDefault="00000000">
      <w:pPr>
        <w:pStyle w:val="ListParagraph"/>
        <w:numPr>
          <w:ilvl w:val="0"/>
          <w:numId w:val="3"/>
        </w:numPr>
        <w:spacing w:after="80"/>
      </w:pPr>
      <w:r>
        <w:t>Staff interviews and conversations: ask people at different levels and in different roles about safety culture. Assessors do this during verification visits; you should do it routinely. The questions in Section 5 below provide a starting point.</w:t>
      </w:r>
    </w:p>
    <w:p w14:paraId="7B7F98A4" w14:textId="77777777" w:rsidR="009D6A06" w:rsidRDefault="00000000">
      <w:pPr>
        <w:pStyle w:val="ListParagraph"/>
        <w:numPr>
          <w:ilvl w:val="0"/>
          <w:numId w:val="3"/>
        </w:numPr>
        <w:spacing w:after="80"/>
      </w:pPr>
      <w:r>
        <w:t>Site walks with open questions: structured but informal walks that focus on observation and conversation, not inspection. Record what you see and what people say.</w:t>
      </w:r>
    </w:p>
    <w:p w14:paraId="690FBAB2" w14:textId="77777777" w:rsidR="009D6A06" w:rsidRDefault="00000000">
      <w:pPr>
        <w:pStyle w:val="ListParagraph"/>
        <w:numPr>
          <w:ilvl w:val="0"/>
          <w:numId w:val="3"/>
        </w:numPr>
        <w:spacing w:after="80"/>
      </w:pPr>
      <w:r>
        <w:t>Near miss and concern data: reporting rates, closure times, and the quality of root cause analysis all give objective signals about the state of safety culture.</w:t>
      </w:r>
    </w:p>
    <w:p w14:paraId="1B7A326E" w14:textId="77777777" w:rsidR="009D6A06" w:rsidRDefault="00000000">
      <w:pPr>
        <w:pStyle w:val="ListParagraph"/>
        <w:numPr>
          <w:ilvl w:val="0"/>
          <w:numId w:val="3"/>
        </w:numPr>
        <w:spacing w:after="80"/>
      </w:pPr>
      <w:r>
        <w:t>Incident and non-conformance trends: recurring themes in incidents and NCRs often reflect cultural issues, not just process gaps.</w:t>
      </w:r>
    </w:p>
    <w:p w14:paraId="39ED71CA" w14:textId="77777777" w:rsidR="009D6A06" w:rsidRDefault="00000000">
      <w:pPr>
        <w:pStyle w:val="ListParagraph"/>
        <w:numPr>
          <w:ilvl w:val="0"/>
          <w:numId w:val="3"/>
        </w:numPr>
        <w:spacing w:after="80"/>
      </w:pPr>
      <w:r>
        <w:t>The QHSE-04a Safety Culture Self-Assessment (Excel): a structured self-assessment against each of the ten traits, with space to record evidence, a maturity rating, and actions.</w:t>
      </w:r>
    </w:p>
    <w:p w14:paraId="65332554" w14:textId="77777777" w:rsidR="009D6A06" w:rsidRDefault="00000000">
      <w:r>
        <w:lastRenderedPageBreak/>
        <w:br w:type="page"/>
      </w:r>
    </w:p>
    <w:p w14:paraId="762BE446" w14:textId="77777777" w:rsidR="009D6A06" w:rsidRDefault="00000000">
      <w:pPr>
        <w:pStyle w:val="Heading1"/>
      </w:pPr>
      <w:bookmarkStart w:id="20" w:name="_Toc232492702"/>
      <w:r>
        <w:rPr>
          <w:color w:val="29ABE2"/>
        </w:rPr>
        <w:lastRenderedPageBreak/>
        <w:t>Practical activities for building and evidencing safety culture</w:t>
      </w:r>
      <w:bookmarkEnd w:id="20"/>
    </w:p>
    <w:p w14:paraId="0CE14CB1" w14:textId="77777777" w:rsidR="009D6A06" w:rsidRDefault="00000000">
      <w:pPr>
        <w:spacing w:after="160"/>
      </w:pPr>
      <w:r>
        <w:t>Safety culture is built through consistent, deliberate activity over time: not through a single initiative or a culture improvement programme that runs for three months and is then forgotten. The activities below are the practical mechanisms through which culture is shaped and through which evidence of culture is generated.</w:t>
      </w:r>
    </w:p>
    <w:p w14:paraId="3A47CE22" w14:textId="77777777" w:rsidR="009D6A06" w:rsidRDefault="00000000">
      <w:pPr>
        <w:pStyle w:val="Heading2"/>
      </w:pPr>
      <w:bookmarkStart w:id="21" w:name="_Toc232492703"/>
      <w:r>
        <w:rPr>
          <w:color w:val="7B2D8B"/>
        </w:rPr>
        <w:t>Near miss and hazard reporting</w:t>
      </w:r>
      <w:bookmarkEnd w:id="21"/>
    </w:p>
    <w:p w14:paraId="6FBBD227" w14:textId="77777777" w:rsidR="009D6A06" w:rsidRDefault="00000000">
      <w:pPr>
        <w:spacing w:after="160"/>
      </w:pPr>
      <w:r>
        <w:t>Near miss reporting is probably the single most important indicator of safety culture in a manufacturing environment. A low near miss rate in a busy organisation almost always indicates under-reporting, not an absence of near misses. Increasing the near miss reporting rate is therefore a leading indicator of improving culture, even though it means more issues are being captured.</w:t>
      </w:r>
    </w:p>
    <w:p w14:paraId="137A2046" w14:textId="77777777" w:rsidR="009D6A06" w:rsidRDefault="00000000">
      <w:pPr>
        <w:pStyle w:val="ListParagraph"/>
        <w:numPr>
          <w:ilvl w:val="0"/>
          <w:numId w:val="3"/>
        </w:numPr>
        <w:spacing w:after="80"/>
      </w:pPr>
      <w:r>
        <w:t>Display near miss reporting rates visibly on the SQDCP board and in SLT meetings. Make it clear that a rising rate is a positive sign.</w:t>
      </w:r>
    </w:p>
    <w:p w14:paraId="4F34EBE1" w14:textId="77777777" w:rsidR="009D6A06" w:rsidRDefault="00000000">
      <w:pPr>
        <w:pStyle w:val="ListParagraph"/>
        <w:numPr>
          <w:ilvl w:val="0"/>
          <w:numId w:val="3"/>
        </w:numPr>
        <w:spacing w:after="80"/>
      </w:pPr>
      <w:r>
        <w:t>Make reporting quick and easy: paper forms at workstations, a QR code to a digital form, or a verbal report to a team leader. Reduce friction.</w:t>
      </w:r>
    </w:p>
    <w:p w14:paraId="3C49F765" w14:textId="77777777" w:rsidR="009D6A06" w:rsidRDefault="00000000">
      <w:pPr>
        <w:pStyle w:val="ListParagraph"/>
        <w:numPr>
          <w:ilvl w:val="0"/>
          <w:numId w:val="3"/>
        </w:numPr>
        <w:spacing w:after="80"/>
      </w:pPr>
      <w:r>
        <w:t>Close the loop visibly: when a near miss is reported, the person who raised it should know what happened as a result. Display a summary of recent near misses and what changed.</w:t>
      </w:r>
    </w:p>
    <w:p w14:paraId="7CA4C3AA" w14:textId="77777777" w:rsidR="009D6A06" w:rsidRDefault="00000000">
      <w:pPr>
        <w:pStyle w:val="ListParagraph"/>
        <w:numPr>
          <w:ilvl w:val="0"/>
          <w:numId w:val="3"/>
        </w:numPr>
        <w:spacing w:after="80"/>
      </w:pPr>
      <w:r>
        <w:t>Review near miss data at every SLT QHSE meeting: look for themes, not just individual events.</w:t>
      </w:r>
    </w:p>
    <w:p w14:paraId="57F35920" w14:textId="77777777" w:rsidR="009D6A06" w:rsidRDefault="00000000">
      <w:pPr>
        <w:pStyle w:val="Heading2"/>
      </w:pPr>
      <w:bookmarkStart w:id="22" w:name="_Toc232492704"/>
      <w:r>
        <w:rPr>
          <w:color w:val="7B2D8B"/>
        </w:rPr>
        <w:t>Toolbox talks</w:t>
      </w:r>
      <w:bookmarkEnd w:id="22"/>
    </w:p>
    <w:p w14:paraId="2DAF10F2" w14:textId="77777777" w:rsidR="009D6A06" w:rsidRDefault="00000000">
      <w:pPr>
        <w:spacing w:after="160"/>
      </w:pPr>
      <w:r>
        <w:t>Regular, well-run toolbox talks are one of the most visible and effective mechanisms for building safety culture. They create space for two-way conversation about safety, reinforce the message that safety matters, and generate evidence of engagement.</w:t>
      </w:r>
    </w:p>
    <w:p w14:paraId="3029D21B" w14:textId="77777777" w:rsidR="009D6A06" w:rsidRDefault="00000000">
      <w:pPr>
        <w:pStyle w:val="ListParagraph"/>
        <w:numPr>
          <w:ilvl w:val="0"/>
          <w:numId w:val="3"/>
        </w:numPr>
        <w:spacing w:after="80"/>
      </w:pPr>
      <w:r>
        <w:t>Vary topics to reflect current data: near miss themes, seasonal risks, human factors lessons, relevant industry operational experience.</w:t>
      </w:r>
    </w:p>
    <w:p w14:paraId="4F6E2681" w14:textId="77777777" w:rsidR="009D6A06" w:rsidRDefault="00000000">
      <w:pPr>
        <w:pStyle w:val="ListParagraph"/>
        <w:numPr>
          <w:ilvl w:val="0"/>
          <w:numId w:val="3"/>
        </w:numPr>
        <w:spacing w:after="80"/>
      </w:pPr>
      <w:r>
        <w:t>Ensure SLT members deliver toolbox talks periodically, not only specialist roles. This is a visible commitment signal.</w:t>
      </w:r>
    </w:p>
    <w:p w14:paraId="4FC814C1" w14:textId="77777777" w:rsidR="009D6A06" w:rsidRDefault="00000000">
      <w:pPr>
        <w:pStyle w:val="ListParagraph"/>
        <w:numPr>
          <w:ilvl w:val="0"/>
          <w:numId w:val="3"/>
        </w:numPr>
        <w:spacing w:after="80"/>
      </w:pPr>
      <w:r>
        <w:t>Record attendance, topics and key points raised. This is evidence for verification visits.</w:t>
      </w:r>
    </w:p>
    <w:p w14:paraId="49D10D8C" w14:textId="77777777" w:rsidR="009D6A06" w:rsidRDefault="00000000">
      <w:pPr>
        <w:pStyle w:val="ListParagraph"/>
        <w:numPr>
          <w:ilvl w:val="0"/>
          <w:numId w:val="3"/>
        </w:numPr>
        <w:spacing w:after="80"/>
      </w:pPr>
      <w:r>
        <w:t>Ask questions, do not just present information: 'what would you do if you saw X?' builds engagement.</w:t>
      </w:r>
    </w:p>
    <w:p w14:paraId="7401A11A" w14:textId="77777777" w:rsidR="009D6A06" w:rsidRDefault="00000000">
      <w:pPr>
        <w:pStyle w:val="Heading2"/>
      </w:pPr>
      <w:bookmarkStart w:id="23" w:name="_Toc232492705"/>
      <w:r>
        <w:rPr>
          <w:color w:val="7B2D8B"/>
        </w:rPr>
        <w:t>Just culture</w:t>
      </w:r>
      <w:bookmarkEnd w:id="23"/>
    </w:p>
    <w:p w14:paraId="7D8E5C33" w14:textId="77777777" w:rsidR="009D6A06" w:rsidRDefault="00000000">
      <w:pPr>
        <w:spacing w:after="160"/>
      </w:pPr>
      <w:r>
        <w:t>A just culture is one where people are not blamed or penalised for raising concerns or reporting honest mistakes, but where deliberate rule violations are addressed clearly and consistently. Without a just culture, near miss reporting will never reach the level needed to provide genuine leading indicator data, because people will not report things they fear will be used against them.</w:t>
      </w:r>
    </w:p>
    <w:p w14:paraId="5974172C" w14:textId="77777777" w:rsidR="009D6A06" w:rsidRDefault="00000000">
      <w:pPr>
        <w:pStyle w:val="ListParagraph"/>
        <w:numPr>
          <w:ilvl w:val="0"/>
          <w:numId w:val="3"/>
        </w:numPr>
        <w:spacing w:after="80"/>
      </w:pPr>
      <w:r>
        <w:t>Communicate the just culture approach explicitly: explain the distinction between honest mistakes and deliberate violations, and what the organisation's response to each will be.</w:t>
      </w:r>
    </w:p>
    <w:p w14:paraId="55A9DC8F" w14:textId="77777777" w:rsidR="009D6A06" w:rsidRDefault="00000000">
      <w:pPr>
        <w:pStyle w:val="ListParagraph"/>
        <w:numPr>
          <w:ilvl w:val="0"/>
          <w:numId w:val="3"/>
        </w:numPr>
        <w:spacing w:after="80"/>
      </w:pPr>
      <w:r>
        <w:t>When someone reports a near miss that involves their own error, acknowledge and thank them. The response to the first few reports sets the tone for everything that follows.</w:t>
      </w:r>
    </w:p>
    <w:p w14:paraId="707F312A" w14:textId="77777777" w:rsidR="009D6A06" w:rsidRDefault="00000000">
      <w:pPr>
        <w:pStyle w:val="ListParagraph"/>
        <w:numPr>
          <w:ilvl w:val="0"/>
          <w:numId w:val="3"/>
        </w:numPr>
        <w:spacing w:after="80"/>
      </w:pPr>
      <w:r>
        <w:t>Review disciplinary responses to safety-related events to check they are consistent with a just culture approach: the same type of error should receive a similar response.</w:t>
      </w:r>
    </w:p>
    <w:p w14:paraId="5A8E0294" w14:textId="77777777" w:rsidR="009D6A06" w:rsidRDefault="00000000">
      <w:pPr>
        <w:pStyle w:val="Heading2"/>
      </w:pPr>
      <w:bookmarkStart w:id="24" w:name="_Toc232492706"/>
      <w:r>
        <w:rPr>
          <w:color w:val="7B2D8B"/>
        </w:rPr>
        <w:t>Visible leadership activity</w:t>
      </w:r>
      <w:bookmarkEnd w:id="24"/>
    </w:p>
    <w:p w14:paraId="1505DE61" w14:textId="77777777" w:rsidR="009D6A06" w:rsidRDefault="00000000">
      <w:pPr>
        <w:spacing w:after="160"/>
      </w:pPr>
      <w:r>
        <w:lastRenderedPageBreak/>
        <w:t>Refer to QHSE-02 (Management Commitment Toolkit) and the QHSE-02 Engagement Tracker for the full framework for SLT-led engagement. From a safety culture perspective, the most important principle is consistency: leaders who engage with safety regularly and visibly, even when nothing has gone wrong, create a fundamentally different cultural signal than leaders who only appear after an incident.</w:t>
      </w:r>
    </w:p>
    <w:p w14:paraId="1D30F752" w14:textId="77777777" w:rsidR="009D6A06" w:rsidRDefault="00000000">
      <w:pPr>
        <w:pStyle w:val="Heading2"/>
      </w:pPr>
      <w:bookmarkStart w:id="25" w:name="_Toc232492707"/>
      <w:r>
        <w:rPr>
          <w:color w:val="7B2D8B"/>
        </w:rPr>
        <w:t>Questions to ask during site walks and staff conversations</w:t>
      </w:r>
      <w:bookmarkEnd w:id="25"/>
    </w:p>
    <w:p w14:paraId="7A8CD496" w14:textId="77777777" w:rsidR="009D6A06" w:rsidRDefault="00000000">
      <w:pPr>
        <w:spacing w:after="160"/>
      </w:pPr>
      <w:r>
        <w:t>The questions below are drawn from the kind of conversations verification assessors have with staff during visits. Use them during site walks and leadership conversations to build a realistic picture of safety culture.</w:t>
      </w:r>
    </w:p>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86"/>
        <w:gridCol w:w="4986"/>
      </w:tblGrid>
      <w:tr w:rsidR="009D6A06" w14:paraId="199C6194" w14:textId="77777777">
        <w:tblPrEx>
          <w:tblCellMar>
            <w:top w:w="0" w:type="dxa"/>
            <w:bottom w:w="0" w:type="dxa"/>
          </w:tblCellMar>
        </w:tblPrEx>
        <w:tc>
          <w:tcPr>
            <w:tcW w:w="4986" w:type="dxa"/>
            <w:tcBorders>
              <w:top w:val="single" w:sz="4" w:space="0" w:color="CCCCCC"/>
              <w:left w:val="single" w:sz="4" w:space="0" w:color="CCCCCC"/>
              <w:bottom w:val="single" w:sz="4" w:space="0" w:color="CCCCCC"/>
              <w:right w:val="single" w:sz="4" w:space="0" w:color="CCCCCC"/>
            </w:tcBorders>
            <w:shd w:val="clear" w:color="auto" w:fill="009FE3"/>
            <w:tcMar>
              <w:top w:w="80" w:type="dxa"/>
              <w:left w:w="100" w:type="dxa"/>
              <w:bottom w:w="80" w:type="dxa"/>
              <w:right w:w="100" w:type="dxa"/>
            </w:tcMar>
            <w:vAlign w:val="center"/>
          </w:tcPr>
          <w:p w14:paraId="07C4697E" w14:textId="77777777" w:rsidR="009D6A06" w:rsidRDefault="00000000">
            <w:r>
              <w:rPr>
                <w:b/>
                <w:bCs/>
                <w:color w:val="FFFFFF"/>
                <w:sz w:val="20"/>
                <w:szCs w:val="20"/>
              </w:rPr>
              <w:t>Question</w:t>
            </w:r>
          </w:p>
        </w:tc>
        <w:tc>
          <w:tcPr>
            <w:tcW w:w="4986" w:type="dxa"/>
            <w:tcBorders>
              <w:top w:val="single" w:sz="4" w:space="0" w:color="CCCCCC"/>
              <w:left w:val="single" w:sz="4" w:space="0" w:color="CCCCCC"/>
              <w:bottom w:val="single" w:sz="4" w:space="0" w:color="CCCCCC"/>
              <w:right w:val="single" w:sz="4" w:space="0" w:color="CCCCCC"/>
            </w:tcBorders>
            <w:shd w:val="clear" w:color="auto" w:fill="009FE3"/>
            <w:tcMar>
              <w:top w:w="80" w:type="dxa"/>
              <w:left w:w="100" w:type="dxa"/>
              <w:bottom w:w="80" w:type="dxa"/>
              <w:right w:w="100" w:type="dxa"/>
            </w:tcMar>
            <w:vAlign w:val="center"/>
          </w:tcPr>
          <w:p w14:paraId="150FC8F0" w14:textId="77777777" w:rsidR="009D6A06" w:rsidRDefault="00000000">
            <w:r>
              <w:rPr>
                <w:b/>
                <w:bCs/>
                <w:color w:val="FFFFFF"/>
                <w:sz w:val="20"/>
                <w:szCs w:val="20"/>
              </w:rPr>
              <w:t>What a strong answer looks like</w:t>
            </w:r>
          </w:p>
        </w:tc>
      </w:tr>
      <w:tr w:rsidR="009D6A06" w14:paraId="21400146" w14:textId="77777777">
        <w:tblPrEx>
          <w:tblCellMar>
            <w:top w:w="0" w:type="dxa"/>
            <w:bottom w:w="0" w:type="dxa"/>
          </w:tblCellMar>
        </w:tblPrEx>
        <w:tc>
          <w:tcPr>
            <w:tcW w:w="498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1F581BB2" w14:textId="77777777" w:rsidR="009D6A06" w:rsidRDefault="00000000">
            <w:r>
              <w:rPr>
                <w:sz w:val="20"/>
                <w:szCs w:val="20"/>
              </w:rPr>
              <w:t>What would you do if you saw someone doing something that did not look safe?</w:t>
            </w:r>
          </w:p>
        </w:tc>
        <w:tc>
          <w:tcPr>
            <w:tcW w:w="498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122B4698" w14:textId="77777777" w:rsidR="009D6A06" w:rsidRDefault="00000000">
            <w:r>
              <w:rPr>
                <w:sz w:val="20"/>
                <w:szCs w:val="20"/>
              </w:rPr>
              <w:t>A specific, confident answer describing what they would do: stop the person, raise it with a supervisor, log it as a near miss.</w:t>
            </w:r>
          </w:p>
        </w:tc>
      </w:tr>
      <w:tr w:rsidR="009D6A06" w14:paraId="46B49996" w14:textId="77777777">
        <w:tblPrEx>
          <w:tblCellMar>
            <w:top w:w="0" w:type="dxa"/>
            <w:bottom w:w="0" w:type="dxa"/>
          </w:tblCellMar>
        </w:tblPrEx>
        <w:tc>
          <w:tcPr>
            <w:tcW w:w="498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2F7D9BEB" w14:textId="77777777" w:rsidR="009D6A06" w:rsidRDefault="00000000">
            <w:r>
              <w:rPr>
                <w:sz w:val="20"/>
                <w:szCs w:val="20"/>
              </w:rPr>
              <w:t>When did you last raise a concern or near miss? What happened as a result?</w:t>
            </w:r>
          </w:p>
        </w:tc>
        <w:tc>
          <w:tcPr>
            <w:tcW w:w="498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00D356C6" w14:textId="77777777" w:rsidR="009D6A06" w:rsidRDefault="00000000">
            <w:r>
              <w:rPr>
                <w:sz w:val="20"/>
                <w:szCs w:val="20"/>
              </w:rPr>
              <w:t>A real example, not a general statement. The person knows what happened to the issue they raised.</w:t>
            </w:r>
          </w:p>
        </w:tc>
      </w:tr>
      <w:tr w:rsidR="009D6A06" w14:paraId="48E96081" w14:textId="77777777">
        <w:tblPrEx>
          <w:tblCellMar>
            <w:top w:w="0" w:type="dxa"/>
            <w:bottom w:w="0" w:type="dxa"/>
          </w:tblCellMar>
        </w:tblPrEx>
        <w:tc>
          <w:tcPr>
            <w:tcW w:w="498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1974D70D" w14:textId="77777777" w:rsidR="009D6A06" w:rsidRDefault="00000000">
            <w:r>
              <w:rPr>
                <w:sz w:val="20"/>
                <w:szCs w:val="20"/>
              </w:rPr>
              <w:t>What would happen if you stopped work because you were unsure about something?</w:t>
            </w:r>
          </w:p>
        </w:tc>
        <w:tc>
          <w:tcPr>
            <w:tcW w:w="498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326ADE92" w14:textId="77777777" w:rsidR="009D6A06" w:rsidRDefault="00000000">
            <w:r>
              <w:rPr>
                <w:sz w:val="20"/>
                <w:szCs w:val="20"/>
              </w:rPr>
              <w:t>'My supervisor would support me' or 'I would fill in a near miss form.' Not 'I would probably just carry on.'</w:t>
            </w:r>
          </w:p>
        </w:tc>
      </w:tr>
      <w:tr w:rsidR="009D6A06" w14:paraId="6B6156FA" w14:textId="77777777">
        <w:tblPrEx>
          <w:tblCellMar>
            <w:top w:w="0" w:type="dxa"/>
            <w:bottom w:w="0" w:type="dxa"/>
          </w:tblCellMar>
        </w:tblPrEx>
        <w:tc>
          <w:tcPr>
            <w:tcW w:w="498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3C280A0F" w14:textId="77777777" w:rsidR="009D6A06" w:rsidRDefault="00000000">
            <w:r>
              <w:rPr>
                <w:sz w:val="20"/>
                <w:szCs w:val="20"/>
              </w:rPr>
              <w:t>Can you tell me about a time when something was changed because of a near miss or concern that was raised?</w:t>
            </w:r>
          </w:p>
        </w:tc>
        <w:tc>
          <w:tcPr>
            <w:tcW w:w="498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6716A914" w14:textId="77777777" w:rsidR="009D6A06" w:rsidRDefault="00000000">
            <w:r>
              <w:rPr>
                <w:sz w:val="20"/>
                <w:szCs w:val="20"/>
              </w:rPr>
              <w:t>A specific example showing that reporting leads to action, not just filing.</w:t>
            </w:r>
          </w:p>
        </w:tc>
      </w:tr>
      <w:tr w:rsidR="009D6A06" w14:paraId="22D74D30" w14:textId="77777777">
        <w:tblPrEx>
          <w:tblCellMar>
            <w:top w:w="0" w:type="dxa"/>
            <w:bottom w:w="0" w:type="dxa"/>
          </w:tblCellMar>
        </w:tblPrEx>
        <w:tc>
          <w:tcPr>
            <w:tcW w:w="498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1052B88C" w14:textId="77777777" w:rsidR="009D6A06" w:rsidRDefault="00000000">
            <w:r>
              <w:rPr>
                <w:sz w:val="20"/>
                <w:szCs w:val="20"/>
              </w:rPr>
              <w:t>What does the QHSE policy say and what does it mean for your job?</w:t>
            </w:r>
          </w:p>
        </w:tc>
        <w:tc>
          <w:tcPr>
            <w:tcW w:w="498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507E92EC" w14:textId="77777777" w:rsidR="009D6A06" w:rsidRDefault="00000000">
            <w:r>
              <w:rPr>
                <w:sz w:val="20"/>
                <w:szCs w:val="20"/>
              </w:rPr>
              <w:t>Not a verbatim recitation, but an understanding of what it means in practice for their specific role.</w:t>
            </w:r>
          </w:p>
        </w:tc>
      </w:tr>
    </w:tbl>
    <w:p w14:paraId="38B90208" w14:textId="77777777" w:rsidR="009D6A06" w:rsidRDefault="00000000">
      <w:r>
        <w:br w:type="page"/>
      </w:r>
    </w:p>
    <w:p w14:paraId="2C8FAD59" w14:textId="77777777" w:rsidR="009D6A06" w:rsidRDefault="00000000">
      <w:pPr>
        <w:pStyle w:val="Heading1"/>
      </w:pPr>
      <w:bookmarkStart w:id="26" w:name="_Toc232492708"/>
      <w:r>
        <w:rPr>
          <w:color w:val="29ABE2"/>
        </w:rPr>
        <w:lastRenderedPageBreak/>
        <w:t>Using the companion self-assessment and action log</w:t>
      </w:r>
      <w:bookmarkEnd w:id="26"/>
    </w:p>
    <w:p w14:paraId="1EF9EAE7" w14:textId="77777777" w:rsidR="009D6A06" w:rsidRDefault="00000000">
      <w:pPr>
        <w:spacing w:after="160"/>
      </w:pPr>
      <w:r>
        <w:t>This guide is accompanied by the QHSE-04a Safety Culture Self-Assessment and Action Log (Excel). The workbook is designed to support an honest, structured assessment of safety culture against the ten traits in Section 3, and to generate an action plan for improvement.</w:t>
      </w:r>
    </w:p>
    <w:p w14:paraId="74B562E7" w14:textId="77777777" w:rsidR="009D6A06" w:rsidRDefault="00000000">
      <w:pPr>
        <w:pStyle w:val="Heading2"/>
      </w:pPr>
      <w:bookmarkStart w:id="27" w:name="_Toc232492709"/>
      <w:r>
        <w:rPr>
          <w:color w:val="7B2D8B"/>
        </w:rPr>
        <w:t>How the workbook is structured</w:t>
      </w:r>
      <w:bookmarkEnd w:id="27"/>
    </w:p>
    <w:p w14:paraId="6DA02097" w14:textId="77777777" w:rsidR="009D6A06" w:rsidRDefault="00000000">
      <w:pPr>
        <w:pStyle w:val="ListParagraph"/>
        <w:numPr>
          <w:ilvl w:val="0"/>
          <w:numId w:val="3"/>
        </w:numPr>
        <w:spacing w:after="80"/>
      </w:pPr>
      <w:r>
        <w:t>Self-Assessment: one page per trait. For each trait, record a maturity level (1 to 5 from Section 4), the evidence you have for that rating, and any gaps.</w:t>
      </w:r>
    </w:p>
    <w:p w14:paraId="330F379E" w14:textId="77777777" w:rsidR="009D6A06" w:rsidRDefault="00000000">
      <w:pPr>
        <w:pStyle w:val="ListParagraph"/>
        <w:numPr>
          <w:ilvl w:val="0"/>
          <w:numId w:val="3"/>
        </w:numPr>
        <w:spacing w:after="80"/>
      </w:pPr>
      <w:r>
        <w:t>Action Log: a live register of improvement actions arising from the self-assessment, with owners, due dates, and status.</w:t>
      </w:r>
    </w:p>
    <w:p w14:paraId="69D57E7D" w14:textId="77777777" w:rsidR="009D6A06" w:rsidRDefault="00000000">
      <w:pPr>
        <w:pStyle w:val="ListParagraph"/>
        <w:numPr>
          <w:ilvl w:val="0"/>
          <w:numId w:val="3"/>
        </w:numPr>
        <w:spacing w:after="80"/>
      </w:pPr>
      <w:r>
        <w:t>Summary Dashboard: an overall view of maturity ratings across all ten traits, for use in SLT QHSE reviews.</w:t>
      </w:r>
    </w:p>
    <w:p w14:paraId="3E62764C" w14:textId="77777777" w:rsidR="009D6A06" w:rsidRDefault="00000000">
      <w:pPr>
        <w:pStyle w:val="Heading2"/>
      </w:pPr>
      <w:bookmarkStart w:id="28" w:name="_Toc232492710"/>
      <w:r>
        <w:rPr>
          <w:color w:val="7B2D8B"/>
        </w:rPr>
        <w:t>How to run the self-assessment</w:t>
      </w:r>
      <w:bookmarkEnd w:id="28"/>
    </w:p>
    <w:p w14:paraId="6261293C" w14:textId="77777777" w:rsidR="009D6A06" w:rsidRDefault="00000000">
      <w:pPr>
        <w:pStyle w:val="ListParagraph"/>
        <w:numPr>
          <w:ilvl w:val="0"/>
          <w:numId w:val="2"/>
        </w:numPr>
        <w:spacing w:after="80"/>
      </w:pPr>
      <w:r>
        <w:t>Gather a small group representing different levels and functions: this should not be a management-only exercise.</w:t>
      </w:r>
    </w:p>
    <w:p w14:paraId="4477C4A7" w14:textId="77777777" w:rsidR="009D6A06" w:rsidRDefault="00000000">
      <w:pPr>
        <w:pStyle w:val="ListParagraph"/>
        <w:numPr>
          <w:ilvl w:val="0"/>
          <w:numId w:val="2"/>
        </w:numPr>
        <w:spacing w:after="80"/>
      </w:pPr>
      <w:r>
        <w:t>Work through each of the ten traits in turn. For each trait, discuss what you actually observe in practice, not what you aspire to or what policy says.</w:t>
      </w:r>
    </w:p>
    <w:p w14:paraId="41C01D0D" w14:textId="77777777" w:rsidR="009D6A06" w:rsidRDefault="00000000">
      <w:pPr>
        <w:pStyle w:val="ListParagraph"/>
        <w:numPr>
          <w:ilvl w:val="0"/>
          <w:numId w:val="2"/>
        </w:numPr>
        <w:spacing w:after="80"/>
      </w:pPr>
      <w:r>
        <w:t>Agree a maturity rating for each trait and record the specific evidence for it.</w:t>
      </w:r>
    </w:p>
    <w:p w14:paraId="02274229" w14:textId="77777777" w:rsidR="009D6A06" w:rsidRDefault="00000000">
      <w:pPr>
        <w:pStyle w:val="ListParagraph"/>
        <w:numPr>
          <w:ilvl w:val="0"/>
          <w:numId w:val="2"/>
        </w:numPr>
        <w:spacing w:after="80"/>
      </w:pPr>
      <w:r>
        <w:t>Identify the one or two most important actions for each trait where the rating is 1, 2 or 3.</w:t>
      </w:r>
    </w:p>
    <w:p w14:paraId="3721C87B" w14:textId="77777777" w:rsidR="009D6A06" w:rsidRDefault="00000000">
      <w:pPr>
        <w:pStyle w:val="ListParagraph"/>
        <w:numPr>
          <w:ilvl w:val="0"/>
          <w:numId w:val="2"/>
        </w:numPr>
        <w:spacing w:after="80"/>
      </w:pPr>
      <w:r>
        <w:t>Transfer actions to the Action Log, assign owners and due dates, and review progress at the next SLT QHSE meeting.</w:t>
      </w:r>
    </w:p>
    <w:p w14:paraId="2614E942" w14:textId="77777777" w:rsidR="009D6A06" w:rsidRDefault="00000000">
      <w:pPr>
        <w:pStyle w:val="Heading2"/>
      </w:pPr>
      <w:bookmarkStart w:id="29" w:name="_Toc232492711"/>
      <w:r>
        <w:rPr>
          <w:color w:val="7B2D8B"/>
        </w:rPr>
        <w:t>How often to repeat the assessment</w:t>
      </w:r>
      <w:bookmarkEnd w:id="29"/>
    </w:p>
    <w:p w14:paraId="0B4559E7" w14:textId="77777777" w:rsidR="009D6A06" w:rsidRDefault="00000000">
      <w:pPr>
        <w:spacing w:after="160"/>
      </w:pPr>
      <w:r>
        <w:t>Run the full self-assessment annually, ideally as part of the annual QHSE policy and strategy review (see QHSE-01, Section 5). Track changes in maturity ratings over time: a rising profile across multiple traits is the evidence that safety culture is genuinely improving. In between formal assessments, use the site walk questions in Section 5 and near miss data to monitor progress informally.</w:t>
      </w:r>
    </w:p>
    <w:sectPr w:rsidR="009D6A06">
      <w:headerReference w:type="default" r:id="rId8"/>
      <w:footerReference w:type="default" r:id="rId9"/>
      <w:pgSz w:w="12240" w:h="15840"/>
      <w:pgMar w:top="1134" w:right="1134" w:bottom="1134" w:left="1134" w:header="283"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62489" w14:textId="77777777" w:rsidR="00273F5C" w:rsidRDefault="00273F5C">
      <w:r>
        <w:separator/>
      </w:r>
    </w:p>
  </w:endnote>
  <w:endnote w:type="continuationSeparator" w:id="0">
    <w:p w14:paraId="30F5446A" w14:textId="77777777" w:rsidR="00273F5C" w:rsidRDefault="00273F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jc w:val="center"/>
      <w:spacing w:before="60" w:after="0"/>
      <w:pBdr>
        <w:top w:val="single" w:sz="6" w:space="1" w:color="29ABE2"/>
      </w:pBdr>
    </w:pPr>
    <w:r>
      <w:rPr>
        <w:rFonts w:ascii="Calibri" w:hAnsi="Calibri"/>
        <w:sz w:val="14"/>
        <w:color w:val="58595B"/>
      </w:rPr>
      <w:t xml:space="preserve">NucCol | Nuclear Collaboration Ltd  ·  Fit For Nuclear Programme  ·  Commercial in Confidence    |    Page </w:t>
    </w:r>
    <w:r>
      <w:rPr>
        <w:rFonts w:ascii="Calibri" w:hAnsi="Calibri"/>
        <w:sz w:val="14"/>
        <w:color w:val="58595B"/>
      </w:rPr>
      <w:fldChar w:fldCharType="begin"/>
      <w:instrText> PAGE </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CBEE67" w14:textId="77777777" w:rsidR="00273F5C" w:rsidRDefault="00273F5C">
      <w:r>
        <w:separator/>
      </w:r>
    </w:p>
  </w:footnote>
  <w:footnote w:type="continuationSeparator" w:id="0">
    <w:p w14:paraId="10BC3081" w14:textId="77777777" w:rsidR="00273F5C" w:rsidRDefault="00273F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spacing w:before="0" w:after="0"/>
      <w:pBdr>
        <w:bottom w:val="single" w:sz="12" w:space="1" w:color="29ABE2"/>
      </w:pBdr>
    </w:pP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5400"/>
      <w:gridCol w:w="5400"/>
    </w:tblGrid>
    <w:tr>
      <w:tc>
        <w:tcPr>
          <w:tcW w:type="dxa" w:w="1440"/>
          <w:tcBorders>
            <w:top w:val="none" w:sz="0" w:color="auto"/>
            <w:left w:val="none" w:sz="0" w:color="auto"/>
            <w:bottom w:val="none" w:sz="0" w:color="auto"/>
            <w:right w:val="none" w:sz="0" w:color="auto"/>
            <w:insideH w:val="none" w:sz="0" w:color="auto"/>
            <w:insideV w:val="none" w:sz="0" w:color="auto"/>
          </w:tcBorders>
        </w:tcPr>
        <w:p>
          <w:pPr>
            <w:spacing w:before="0" w:after="0"/>
            <w:jc w:val="left"/>
          </w:pPr>
          <w:r>
            <w:drawing>
              <wp:inline xmlns:a="http://schemas.openxmlformats.org/drawingml/2006/main" xmlns:pic="http://schemas.openxmlformats.org/drawingml/2006/picture">
                <wp:extent cx="475488" cy="475488"/>
                <wp:docPr id="1" name="Picture 1"/>
                <wp:cNvGraphicFramePr>
                  <a:graphicFrameLocks noChangeAspect="1"/>
                </wp:cNvGraphicFramePr>
                <a:graphic>
                  <a:graphicData uri="http://schemas.openxmlformats.org/drawingml/2006/picture">
                    <pic:pic>
                      <pic:nvPicPr>
                        <pic:cNvPr id="0" name="nuccol_logo.png"/>
                        <pic:cNvPicPr/>
                      </pic:nvPicPr>
                      <pic:blipFill>
                        <a:blip r:embed="rId2"/>
                        <a:stretch>
                          <a:fillRect/>
                        </a:stretch>
                      </pic:blipFill>
                      <pic:spPr>
                        <a:xfrm>
                          <a:off x="0" y="0"/>
                          <a:ext cx="475488" cy="475488"/>
                        </a:xfrm>
                        <a:prstGeom prst="rect"/>
                      </pic:spPr>
                    </pic:pic>
                  </a:graphicData>
                </a:graphic>
              </wp:inline>
            </w:drawing>
          </w:r>
        </w:p>
      </w:tc>
      <w:tc>
        <w:tcPr>
          <w:tcW w:type="dxa" w:w="9360"/>
          <w:tcBorders>
            <w:top w:val="none" w:sz="0" w:color="auto"/>
            <w:left w:val="none" w:sz="0" w:color="auto"/>
            <w:bottom w:val="none" w:sz="0" w:color="auto"/>
            <w:right w:val="none" w:sz="0" w:color="auto"/>
            <w:insideH w:val="none" w:sz="0" w:color="auto"/>
            <w:insideV w:val="none" w:sz="0" w:color="auto"/>
          </w:tcBorders>
        </w:tcPr>
        <w:p>
          <w:pPr>
            <w:spacing w:before="0" w:after="0"/>
            <w:jc w:val="right"/>
          </w:pPr>
          <w:r>
            <w:drawing>
              <wp:inline xmlns:a="http://schemas.openxmlformats.org/drawingml/2006/main" xmlns:pic="http://schemas.openxmlformats.org/drawingml/2006/picture">
                <wp:extent cx="472561" cy="320040"/>
                <wp:docPr id="2" name="Picture 2"/>
                <wp:cNvGraphicFramePr>
                  <a:graphicFrameLocks noChangeAspect="1"/>
                </wp:cNvGraphicFramePr>
                <a:graphic>
                  <a:graphicData uri="http://schemas.openxmlformats.org/drawingml/2006/picture">
                    <pic:pic>
                      <pic:nvPicPr>
                        <pic:cNvPr id="0" name="f4n_logo.png"/>
                        <pic:cNvPicPr/>
                      </pic:nvPicPr>
                      <pic:blipFill>
                        <a:blip r:embed="rId3"/>
                        <a:stretch>
                          <a:fillRect/>
                        </a:stretch>
                      </pic:blipFill>
                      <pic:spPr>
                        <a:xfrm>
                          <a:off x="0" y="0"/>
                          <a:ext cx="472561" cy="320040"/>
                        </a:xfrm>
                        <a:prstGeom prst="rect"/>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610260"/>
    <w:multiLevelType w:val="hybridMultilevel"/>
    <w:tmpl w:val="8DD0FAEA"/>
    <w:lvl w:ilvl="0" w:tplc="66402E36">
      <w:start w:val="1"/>
      <w:numFmt w:val="bullet"/>
      <w:lvlText w:val="•"/>
      <w:lvlJc w:val="left"/>
      <w:pPr>
        <w:ind w:left="720" w:hanging="360"/>
      </w:pPr>
    </w:lvl>
    <w:lvl w:ilvl="1" w:tplc="2226904E">
      <w:numFmt w:val="decimal"/>
      <w:lvlText w:val=""/>
      <w:lvlJc w:val="left"/>
    </w:lvl>
    <w:lvl w:ilvl="2" w:tplc="6DDC00CC">
      <w:numFmt w:val="decimal"/>
      <w:lvlText w:val=""/>
      <w:lvlJc w:val="left"/>
    </w:lvl>
    <w:lvl w:ilvl="3" w:tplc="ECD42E50">
      <w:numFmt w:val="decimal"/>
      <w:lvlText w:val=""/>
      <w:lvlJc w:val="left"/>
    </w:lvl>
    <w:lvl w:ilvl="4" w:tplc="01709DF8">
      <w:numFmt w:val="decimal"/>
      <w:lvlText w:val=""/>
      <w:lvlJc w:val="left"/>
    </w:lvl>
    <w:lvl w:ilvl="5" w:tplc="C5C2263C">
      <w:numFmt w:val="decimal"/>
      <w:lvlText w:val=""/>
      <w:lvlJc w:val="left"/>
    </w:lvl>
    <w:lvl w:ilvl="6" w:tplc="426461D2">
      <w:numFmt w:val="decimal"/>
      <w:lvlText w:val=""/>
      <w:lvlJc w:val="left"/>
    </w:lvl>
    <w:lvl w:ilvl="7" w:tplc="33EC3042">
      <w:numFmt w:val="decimal"/>
      <w:lvlText w:val=""/>
      <w:lvlJc w:val="left"/>
    </w:lvl>
    <w:lvl w:ilvl="8" w:tplc="A61CF3E0">
      <w:numFmt w:val="decimal"/>
      <w:lvlText w:val=""/>
      <w:lvlJc w:val="left"/>
    </w:lvl>
  </w:abstractNum>
  <w:abstractNum w:abstractNumId="1" w15:restartNumberingAfterBreak="0">
    <w:nsid w:val="340F579D"/>
    <w:multiLevelType w:val="hybridMultilevel"/>
    <w:tmpl w:val="E662D3F2"/>
    <w:lvl w:ilvl="0" w:tplc="ABFEC176">
      <w:start w:val="1"/>
      <w:numFmt w:val="decimal"/>
      <w:lvlText w:val="%1."/>
      <w:lvlJc w:val="left"/>
      <w:pPr>
        <w:ind w:left="720" w:hanging="360"/>
      </w:pPr>
    </w:lvl>
    <w:lvl w:ilvl="1" w:tplc="79B0D6D2">
      <w:numFmt w:val="decimal"/>
      <w:lvlText w:val=""/>
      <w:lvlJc w:val="left"/>
    </w:lvl>
    <w:lvl w:ilvl="2" w:tplc="CCBA9E4E">
      <w:numFmt w:val="decimal"/>
      <w:lvlText w:val=""/>
      <w:lvlJc w:val="left"/>
    </w:lvl>
    <w:lvl w:ilvl="3" w:tplc="A6466B2A">
      <w:numFmt w:val="decimal"/>
      <w:lvlText w:val=""/>
      <w:lvlJc w:val="left"/>
    </w:lvl>
    <w:lvl w:ilvl="4" w:tplc="CB180320">
      <w:numFmt w:val="decimal"/>
      <w:lvlText w:val=""/>
      <w:lvlJc w:val="left"/>
    </w:lvl>
    <w:lvl w:ilvl="5" w:tplc="42FE942C">
      <w:numFmt w:val="decimal"/>
      <w:lvlText w:val=""/>
      <w:lvlJc w:val="left"/>
    </w:lvl>
    <w:lvl w:ilvl="6" w:tplc="DC5AE88A">
      <w:numFmt w:val="decimal"/>
      <w:lvlText w:val=""/>
      <w:lvlJc w:val="left"/>
    </w:lvl>
    <w:lvl w:ilvl="7" w:tplc="A56CD072">
      <w:numFmt w:val="decimal"/>
      <w:lvlText w:val=""/>
      <w:lvlJc w:val="left"/>
    </w:lvl>
    <w:lvl w:ilvl="8" w:tplc="5FFCE260">
      <w:numFmt w:val="decimal"/>
      <w:lvlText w:val=""/>
      <w:lvlJc w:val="left"/>
    </w:lvl>
  </w:abstractNum>
  <w:abstractNum w:abstractNumId="2" w15:restartNumberingAfterBreak="0">
    <w:nsid w:val="3F945799"/>
    <w:multiLevelType w:val="hybridMultilevel"/>
    <w:tmpl w:val="8DA68526"/>
    <w:lvl w:ilvl="0" w:tplc="8B221B6C">
      <w:start w:val="1"/>
      <w:numFmt w:val="bullet"/>
      <w:lvlText w:val="●"/>
      <w:lvlJc w:val="left"/>
      <w:pPr>
        <w:ind w:left="720" w:hanging="360"/>
      </w:pPr>
    </w:lvl>
    <w:lvl w:ilvl="1" w:tplc="48240514">
      <w:start w:val="1"/>
      <w:numFmt w:val="bullet"/>
      <w:lvlText w:val="○"/>
      <w:lvlJc w:val="left"/>
      <w:pPr>
        <w:ind w:left="1440" w:hanging="360"/>
      </w:pPr>
    </w:lvl>
    <w:lvl w:ilvl="2" w:tplc="51B8845E">
      <w:start w:val="1"/>
      <w:numFmt w:val="bullet"/>
      <w:lvlText w:val="■"/>
      <w:lvlJc w:val="left"/>
      <w:pPr>
        <w:ind w:left="2160" w:hanging="360"/>
      </w:pPr>
    </w:lvl>
    <w:lvl w:ilvl="3" w:tplc="701C4EC0">
      <w:start w:val="1"/>
      <w:numFmt w:val="bullet"/>
      <w:lvlText w:val="●"/>
      <w:lvlJc w:val="left"/>
      <w:pPr>
        <w:ind w:left="2880" w:hanging="360"/>
      </w:pPr>
    </w:lvl>
    <w:lvl w:ilvl="4" w:tplc="6A04ADE8">
      <w:start w:val="1"/>
      <w:numFmt w:val="bullet"/>
      <w:lvlText w:val="○"/>
      <w:lvlJc w:val="left"/>
      <w:pPr>
        <w:ind w:left="3600" w:hanging="360"/>
      </w:pPr>
    </w:lvl>
    <w:lvl w:ilvl="5" w:tplc="2C2040EC">
      <w:start w:val="1"/>
      <w:numFmt w:val="bullet"/>
      <w:lvlText w:val="■"/>
      <w:lvlJc w:val="left"/>
      <w:pPr>
        <w:ind w:left="4320" w:hanging="360"/>
      </w:pPr>
    </w:lvl>
    <w:lvl w:ilvl="6" w:tplc="F22AE98A">
      <w:start w:val="1"/>
      <w:numFmt w:val="bullet"/>
      <w:lvlText w:val="●"/>
      <w:lvlJc w:val="left"/>
      <w:pPr>
        <w:ind w:left="5040" w:hanging="360"/>
      </w:pPr>
    </w:lvl>
    <w:lvl w:ilvl="7" w:tplc="DC82E564">
      <w:start w:val="1"/>
      <w:numFmt w:val="bullet"/>
      <w:lvlText w:val="●"/>
      <w:lvlJc w:val="left"/>
      <w:pPr>
        <w:ind w:left="5760" w:hanging="360"/>
      </w:pPr>
    </w:lvl>
    <w:lvl w:ilvl="8" w:tplc="F1F4CCA8">
      <w:start w:val="1"/>
      <w:numFmt w:val="bullet"/>
      <w:lvlText w:val="●"/>
      <w:lvlJc w:val="left"/>
      <w:pPr>
        <w:ind w:left="6480" w:hanging="360"/>
      </w:pPr>
    </w:lvl>
  </w:abstractNum>
  <w:abstractNum w:abstractNumId="3" w15:restartNumberingAfterBreak="0">
    <w:nsid w:val="42D530F6"/>
    <w:multiLevelType w:val="hybridMultilevel"/>
    <w:tmpl w:val="EF9CF24C"/>
    <w:lvl w:ilvl="0" w:tplc="FE269E52">
      <w:start w:val="1"/>
      <w:numFmt w:val="decimal"/>
      <w:lvlText w:val="%1."/>
      <w:lvlJc w:val="left"/>
      <w:pPr>
        <w:ind w:left="720" w:hanging="360"/>
      </w:pPr>
    </w:lvl>
    <w:lvl w:ilvl="1" w:tplc="222A2138">
      <w:numFmt w:val="decimal"/>
      <w:lvlText w:val=""/>
      <w:lvlJc w:val="left"/>
    </w:lvl>
    <w:lvl w:ilvl="2" w:tplc="BCD6E420">
      <w:numFmt w:val="decimal"/>
      <w:lvlText w:val=""/>
      <w:lvlJc w:val="left"/>
    </w:lvl>
    <w:lvl w:ilvl="3" w:tplc="447232DC">
      <w:numFmt w:val="decimal"/>
      <w:lvlText w:val=""/>
      <w:lvlJc w:val="left"/>
    </w:lvl>
    <w:lvl w:ilvl="4" w:tplc="8A149090">
      <w:numFmt w:val="decimal"/>
      <w:lvlText w:val=""/>
      <w:lvlJc w:val="left"/>
    </w:lvl>
    <w:lvl w:ilvl="5" w:tplc="67105D5C">
      <w:numFmt w:val="decimal"/>
      <w:lvlText w:val=""/>
      <w:lvlJc w:val="left"/>
    </w:lvl>
    <w:lvl w:ilvl="6" w:tplc="0624CFF8">
      <w:numFmt w:val="decimal"/>
      <w:lvlText w:val=""/>
      <w:lvlJc w:val="left"/>
    </w:lvl>
    <w:lvl w:ilvl="7" w:tplc="EC2E47AC">
      <w:numFmt w:val="decimal"/>
      <w:lvlText w:val=""/>
      <w:lvlJc w:val="left"/>
    </w:lvl>
    <w:lvl w:ilvl="8" w:tplc="EA4613DE">
      <w:numFmt w:val="decimal"/>
      <w:lvlText w:val=""/>
      <w:lvlJc w:val="left"/>
    </w:lvl>
  </w:abstractNum>
  <w:num w:numId="1" w16cid:durableId="1992053238">
    <w:abstractNumId w:val="2"/>
    <w:lvlOverride w:ilvl="0">
      <w:startOverride w:val="1"/>
    </w:lvlOverride>
  </w:num>
  <w:num w:numId="2" w16cid:durableId="1697850291">
    <w:abstractNumId w:val="1"/>
    <w:lvlOverride w:ilvl="0">
      <w:startOverride w:val="1"/>
    </w:lvlOverride>
  </w:num>
  <w:num w:numId="3" w16cid:durableId="7441092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6A06"/>
    <w:rsid w:val="00273F5C"/>
    <w:rsid w:val="009D59F9"/>
    <w:rsid w:val="009D6A06"/>
    <w:rsid w:val="00AC2FB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10C1C"/>
  <w15:docId w15:val="{CD4F3771-F1AD-445A-81EB-0833A7BB7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rFonts w:ascii="Calibri" w:hAnsi="Calibri"/>
      <w:b/>
      <w:bCs/>
      <w:color w:val="29ABE2"/>
      <w:sz w:val="30"/>
      <w:szCs w:val="30"/>
    </w:rPr>
  </w:style>
  <w:style w:type="paragraph" w:styleId="Heading2">
    <w:name w:val="heading 2"/>
    <w:uiPriority w:val="9"/>
    <w:unhideWhenUsed/>
    <w:qFormat/>
    <w:pPr>
      <w:spacing w:before="200" w:after="120"/>
      <w:outlineLvl w:val="1"/>
    </w:pPr>
    <w:rPr>
      <w:rFonts w:ascii="Calibri" w:hAnsi="Calibri"/>
      <w:b/>
      <w:bCs/>
      <w:color w:val="7B2D8B"/>
      <w:sz w:val="26"/>
      <w:szCs w:val="26"/>
    </w:rPr>
  </w:style>
  <w:style w:type="paragraph" w:styleId="Heading3">
    <w:name w:val="heading 3"/>
    <w:uiPriority w:val="9"/>
    <w:semiHidden/>
    <w:unhideWhenUsed/>
    <w:qFormat/>
    <w:pPr>
      <w:spacing w:before="160" w:after="80"/>
      <w:outlineLvl w:val="2"/>
    </w:pPr>
    <w:rPr>
      <w:rFonts w:ascii="Calibri" w:hAnsi="Calibri"/>
      <w:b/>
      <w:bCs/>
      <w:color w:val="29ABE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D59F9"/>
    <w:pPr>
      <w:spacing w:after="100"/>
    </w:pPr>
  </w:style>
  <w:style w:type="paragraph" w:styleId="TOC2">
    <w:name w:val="toc 2"/>
    <w:basedOn w:val="Normal"/>
    <w:next w:val="Normal"/>
    <w:autoRedefine/>
    <w:uiPriority w:val="39"/>
    <w:unhideWhenUsed/>
    <w:rsid w:val="009D59F9"/>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2.pn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53F6056AA6464A99729F79B34ECED9" ma:contentTypeVersion="15" ma:contentTypeDescription="Create a new document." ma:contentTypeScope="" ma:versionID="5f61f7f6e9ac7af992ae58f204f4a905">
  <xsd:schema xmlns:xsd="http://www.w3.org/2001/XMLSchema" xmlns:xs="http://www.w3.org/2001/XMLSchema" xmlns:p="http://schemas.microsoft.com/office/2006/metadata/properties" xmlns:ns2="ecb9c8fd-b149-4da5-ae47-4cb2a6f921f7" xmlns:ns3="a57c75ee-0d51-4c06-b83a-21883992ef88" targetNamespace="http://schemas.microsoft.com/office/2006/metadata/properties" ma:root="true" ma:fieldsID="5bd49160a10d99efc7c2a57519ff9fe8" ns2:_="" ns3:_="">
    <xsd:import namespace="ecb9c8fd-b149-4da5-ae47-4cb2a6f921f7"/>
    <xsd:import namespace="a57c75ee-0d51-4c06-b83a-21883992ef88"/>
    <xsd:element name="properties">
      <xsd:complexType>
        <xsd:sequence>
          <xsd:element name="documentManagement">
            <xsd:complexType>
              <xsd:all>
                <xsd:element ref="ns2:MigrationSourceID"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MediaServiceBillingMetadata"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b9c8fd-b149-4da5-ae47-4cb2a6f921f7" elementFormDefault="qualified">
    <xsd:import namespace="http://schemas.microsoft.com/office/2006/documentManagement/types"/>
    <xsd:import namespace="http://schemas.microsoft.com/office/infopath/2007/PartnerControls"/>
    <xsd:element name="MigrationSourceID" ma:index="8" nillable="true" ma:displayName="MigrationSourceID" ma:internalName="MigrationSourceID" ma:readOnly="true">
      <xsd:simpleType>
        <xsd:restriction base="dms:Text"/>
      </xsd:simpleType>
    </xsd:element>
    <xsd:element name="TaxCatchAll" ma:index="20" nillable="true" ma:displayName="Taxonomy Catch All Column" ma:hidden="true" ma:list="{3bbffa37-1fb4-4f8b-a66f-2651692f13f0}" ma:internalName="TaxCatchAll" ma:showField="CatchAllData" ma:web="ecb9c8fd-b149-4da5-ae47-4cb2a6f921f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57c75ee-0d51-4c06-b83a-21883992ef88"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BillingMetadata" ma:index="17" nillable="true" ma:displayName="MediaServiceBillingMetadata" ma:hidden="true" ma:internalName="MediaServiceBillingMetadata"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c323488a-041b-479c-b98c-53326eeb9fc5"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cb9c8fd-b149-4da5-ae47-4cb2a6f921f7" xsi:nil="true"/>
    <lcf76f155ced4ddcb4097134ff3c332f xmlns="a57c75ee-0d51-4c06-b83a-21883992ef8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E59AA56-58F3-46D6-8B1E-B428BAED9360}"/>
</file>

<file path=customXml/itemProps2.xml><?xml version="1.0" encoding="utf-8"?>
<ds:datastoreItem xmlns:ds="http://schemas.openxmlformats.org/officeDocument/2006/customXml" ds:itemID="{6D4E937F-EB49-48A3-A521-E2CD8B090467}"/>
</file>

<file path=customXml/itemProps3.xml><?xml version="1.0" encoding="utf-8"?>
<ds:datastoreItem xmlns:ds="http://schemas.openxmlformats.org/officeDocument/2006/customXml" ds:itemID="{D8DE7114-A8F3-46E3-A7FD-5AAF1861DF98}"/>
</file>

<file path=docProps/app.xml><?xml version="1.0" encoding="utf-8"?>
<Properties xmlns="http://schemas.openxmlformats.org/officeDocument/2006/extended-properties" xmlns:vt="http://schemas.openxmlformats.org/officeDocument/2006/docPropsVTypes">
  <Template>Normal</Template>
  <TotalTime>0</TotalTime>
  <Pages>13</Pages>
  <Words>4118</Words>
  <Characters>23477</Characters>
  <Application>Microsoft Office Word</Application>
  <DocSecurity>0</DocSecurity>
  <Lines>195</Lines>
  <Paragraphs>55</Paragraphs>
  <ScaleCrop>false</ScaleCrop>
  <Company/>
  <LinksUpToDate>false</LinksUpToDate>
  <CharactersWithSpaces>27540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QHSE-04a Safety Culture Guide 1</dc:title>
  <dc:creator>John Hilton-Brammer</dc:creator>
  <cp:lastModifiedBy>John Hilton-Brammer</cp:lastModifiedBy>
  <dcterms:created xsi:type="dcterms:W3CDTF">2026-07-01T07:45:32Z</dcterms:created>
  <dcterms:modified xsi:type="dcterms:W3CDTF">2026-07-01T07:45:32Z</dcterms:modified>
  <cp:category>Fit For Nuclear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0x0101002453F6056AA6464A99729F79B34ECED9</vt:lpwstr>
  </property>
</Properties>
</file>