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800"/>
        <w:jc w:val="center"/>
      </w:pPr>
      <w:r>
        <w:rPr>
          <w:rFonts w:ascii="Arial" w:hAnsi="Arial"/>
          <w:b/>
          <w:color w:val="009FE3"/>
          <w:sz w:val="44"/>
        </w:rPr>
        <w:t>MATERIAL AND PRODUCT TRACEABILITY PROCEDURE</w:t>
      </w:r>
    </w:p>
    <w:p>
      <w:pPr>
        <w:jc w:val="center"/>
      </w:pPr>
      <w:r>
        <w:rPr>
          <w:rFonts w:ascii="Arial" w:hAnsi="Arial"/>
          <w:color w:val="5B595A"/>
          <w:sz w:val="28"/>
        </w:rPr>
        <w:t>[Company Name]</w:t>
      </w:r>
    </w:p>
    <w:p>
      <w:pPr>
        <w:spacing w:after="40"/>
      </w:pPr>
    </w:p>
    <w:tbl>
      <w:tblPr>
        <w:tblW w:type="auto" w:w="0"/>
        <w:jc w:val="left"/>
        <w:tblLook w:firstColumn="1" w:firstRow="1" w:lastColumn="0" w:lastRow="0" w:noHBand="0" w:noVBand="1" w:val="04A0"/>
        <w:tblW w:w="9070" w:type="dxa"/>
      </w:tblPr>
      <w:tblGrid>
        <w:gridCol w:w="3118"/>
        <w:gridCol w:w="5952"/>
      </w:tblGrid>
      <w:tblGrid>
        <w:gridCol w:w="4513"/>
        <w:gridCol w:w="4513"/>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QMS-TRACE-001</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Version: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1.0</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Issue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Owner:</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Quality Manager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Approved By: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Managing Director</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Classification:</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Commercial in Confidence</w:t>
            </w:r>
          </w:p>
        </w:tc>
      </w:tr>
    </w:tbl>
    <w:p>
      <w:pPr>
        <w:spacing w:after="40"/>
      </w:pPr>
    </w:p>
    <w:p>
      <w:r>
        <w:br w:type="page"/>
      </w:r>
    </w:p>
    <w:p>
      <w:pPr>
        <w:shd w:val="clear" w:color="auto" w:fill="009FE3"/>
        <w:spacing w:before="280" w:after="120"/>
      </w:pPr>
      <w:r>
        <w:rPr>
          <w:rFonts w:ascii="Arial" w:hAnsi="Arial"/>
          <w:b/>
          <w:color w:val="FFFFFF"/>
          <w:sz w:val="28"/>
        </w:rPr>
        <w:t>1. Purpose and Scope</w:t>
      </w:r>
    </w:p>
    <w:p>
      <w:pPr>
        <w:spacing w:before="200" w:after="80"/>
      </w:pPr>
      <w:r>
        <w:rPr>
          <w:rFonts w:ascii="Arial" w:hAnsi="Arial"/>
          <w:b/>
          <w:color w:val="83348F"/>
          <w:sz w:val="24"/>
        </w:rPr>
        <w:t>1.1 Purpose</w:t>
      </w:r>
    </w:p>
    <w:p>
      <w:pPr>
        <w:spacing w:before="40" w:after="40"/>
      </w:pPr>
      <w:r>
        <w:rPr>
          <w:rFonts w:ascii="Arial" w:hAnsi="Arial"/>
          <w:b w:val="0"/>
          <w:i w:val="0"/>
          <w:color w:val="5B595A"/>
          <w:sz w:val="20"/>
        </w:rPr>
        <w:t>This procedure defines how [Company Name] establishes and maintains traceability for all materials, components, and products throughout the manufacturing and supply process, from receipt of raw materials through to delivery to the customer.</w:t>
      </w:r>
    </w:p>
    <w:p>
      <w:pPr>
        <w:spacing w:before="40" w:after="40"/>
      </w:pPr>
      <w:r>
        <w:rPr>
          <w:rFonts w:ascii="Arial" w:hAnsi="Arial"/>
          <w:b w:val="0"/>
          <w:i w:val="0"/>
          <w:color w:val="5B595A"/>
          <w:sz w:val="20"/>
        </w:rPr>
        <w:t>Traceability is a fundamental requirement of nuclear supply chain quality management. It enables the complete history of any item to be reconstructed: from the original material certificate, through every manufacturing process, inspection, and test, to the final delivered product. In the nuclear sector, this record may need to be maintained for the operational life of the facility, which can exceed 60 years.</w:t>
      </w:r>
    </w:p>
    <w:p>
      <w:pPr>
        <w:spacing w:after="40"/>
      </w:pPr>
    </w:p>
    <w:p>
      <w:pPr>
        <w:spacing w:before="200" w:after="80"/>
      </w:pPr>
      <w:r>
        <w:rPr>
          <w:rFonts w:ascii="Arial" w:hAnsi="Arial"/>
          <w:b/>
          <w:color w:val="83348F"/>
          <w:sz w:val="24"/>
        </w:rPr>
        <w:t>1.2 Scope</w:t>
      </w:r>
    </w:p>
    <w:p>
      <w:pPr>
        <w:spacing w:before="40" w:after="40"/>
      </w:pPr>
      <w:r>
        <w:rPr>
          <w:rFonts w:ascii="Arial" w:hAnsi="Arial"/>
          <w:b w:val="0"/>
          <w:i w:val="0"/>
          <w:color w:val="5B595A"/>
          <w:sz w:val="20"/>
        </w:rPr>
        <w:t>This procedure applies to:</w:t>
      </w:r>
    </w:p>
    <w:p>
      <w:pPr>
        <w:pStyle w:val="ListBullet"/>
        <w:spacing w:before="20" w:after="20"/>
      </w:pPr>
      <w:r>
        <w:rPr>
          <w:rFonts w:ascii="Arial" w:hAnsi="Arial"/>
          <w:color w:val="5B595A"/>
          <w:sz w:val="20"/>
        </w:rPr>
        <w:t>All raw materials, bar stock, plate, forgings, castings, and purchased components received into the company.</w:t>
      </w:r>
    </w:p>
    <w:p>
      <w:pPr>
        <w:pStyle w:val="ListBullet"/>
        <w:spacing w:before="20" w:after="20"/>
      </w:pPr>
      <w:r>
        <w:rPr>
          <w:rFonts w:ascii="Arial" w:hAnsi="Arial"/>
          <w:color w:val="5B595A"/>
          <w:sz w:val="20"/>
        </w:rPr>
        <w:t>All work in progress (WIP) at every stage of manufacture, fabrication, or assembly.</w:t>
      </w:r>
    </w:p>
    <w:p>
      <w:pPr>
        <w:pStyle w:val="ListBullet"/>
        <w:spacing w:before="20" w:after="20"/>
      </w:pPr>
      <w:r>
        <w:rPr>
          <w:rFonts w:ascii="Arial" w:hAnsi="Arial"/>
          <w:color w:val="5B595A"/>
          <w:sz w:val="20"/>
        </w:rPr>
        <w:t>All finished products prior to and during despatch.</w:t>
      </w:r>
    </w:p>
    <w:p>
      <w:pPr>
        <w:pStyle w:val="ListBullet"/>
        <w:spacing w:before="20" w:after="20"/>
      </w:pPr>
      <w:r>
        <w:rPr>
          <w:rFonts w:ascii="Arial" w:hAnsi="Arial"/>
          <w:color w:val="5B595A"/>
          <w:sz w:val="20"/>
        </w:rPr>
        <w:t>All offcuts and remnant materials retained for further use.</w:t>
      </w:r>
    </w:p>
    <w:p>
      <w:pPr>
        <w:pStyle w:val="ListBullet"/>
        <w:spacing w:before="20" w:after="20"/>
      </w:pPr>
      <w:r>
        <w:rPr>
          <w:rFonts w:ascii="Arial" w:hAnsi="Arial"/>
          <w:color w:val="5B595A"/>
          <w:sz w:val="20"/>
        </w:rPr>
        <w:t>All sub-contracted materials or components that are incorporated into products.</w:t>
      </w:r>
    </w:p>
    <w:p>
      <w:pPr>
        <w:spacing w:before="40" w:after="40"/>
      </w:pPr>
      <w:r>
        <w:rPr>
          <w:rFonts w:ascii="Arial" w:hAnsi="Arial"/>
          <w:b w:val="0"/>
          <w:i w:val="0"/>
          <w:color w:val="5B595A"/>
          <w:sz w:val="20"/>
        </w:rPr>
        <w:t>This procedure applies regardless of the nuclear safety classification of the items. The depth of traceability records will be proportionate to the classification (see Section 4).</w:t>
      </w:r>
    </w:p>
    <w:p>
      <w:pPr>
        <w:spacing w:after="40"/>
      </w:pPr>
    </w:p>
    <w:p>
      <w:pPr>
        <w:spacing w:before="200" w:after="80"/>
      </w:pPr>
      <w:r>
        <w:rPr>
          <w:rFonts w:ascii="Arial" w:hAnsi="Arial"/>
          <w:b/>
          <w:color w:val="83348F"/>
          <w:sz w:val="24"/>
        </w:rPr>
        <w:t>1.3 Related Documents</w:t>
      </w:r>
    </w:p>
    <w:tbl>
      <w:tblPr>
        <w:tblW w:type="auto" w:w="0"/>
        <w:jc w:val="left"/>
        <w:tblLook w:firstColumn="1" w:firstRow="1" w:lastColumn="0" w:lastRow="0" w:noHBand="0" w:noVBand="1" w:val="04A0"/>
        <w:tblW w:w="9070" w:type="dxa"/>
      </w:tblPr>
      <w:tblGrid>
        <w:gridCol w:w="4535"/>
        <w:gridCol w:w="4535"/>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b/>
                <w:color w:val="FFFFFF"/>
                <w:sz w:val="18"/>
              </w:rPr>
              <w:t>Document</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b/>
                <w:color w:val="FFFFFF"/>
                <w:sz w:val="18"/>
              </w:rPr>
              <w:t>Reference</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Inspection and Test Plan Template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QHSE-QP-02</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Non-Conformance Report and Log</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QHSE-TNC-03</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CFSI Procedure and Awareness Guide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QHSE-TNC-04</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Traceability and WIP Control Register</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QHSE-TNC-02</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Goods Receipt Inspection Procedure</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[Company Ref]</w:t>
            </w:r>
          </w:p>
        </w:tc>
      </w:tr>
      <w:tr>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Approved Supplier List</w:t>
            </w:r>
          </w:p>
        </w:tc>
        <w:tc>
          <w:tcPr>
            <w:tcW w:type="dxa" w:w="4535"/>
            <w:tcBorders>
              <w:top w:val="single" w:sz="4" w:space="0" w:color="CCCCCC"/>
              <w:left w:val="single" w:sz="4" w:space="0" w:color="CCCCCC"/>
              <w:bottom w:val="single" w:sz="4" w:space="0" w:color="CCCCCC"/>
              <w:right w:val="single" w:sz="4" w:space="0" w:color="CCCCCC"/>
            </w:tcBorders>
            <w:tcW w:w="4535" w:type="dxa"/>
          </w:tcPr>
          <w:p>
            <w:pPr>
              <w:spacing w:before="40" w:after="40"/>
            </w:pPr>
            <w:r>
              <w:rPr>
                <w:rFonts w:ascii="Arial" w:hAnsi="Arial"/>
                <w:color w:val="5B595A"/>
                <w:sz w:val="18"/>
              </w:rPr>
              <w:t>[Company Ref]</w:t>
            </w:r>
          </w:p>
        </w:tc>
      </w:tr>
    </w:tbl>
    <w:p>
      <w:pPr>
        <w:spacing w:after="40"/>
      </w:pPr>
    </w:p>
    <w:p>
      <w:r>
        <w:br w:type="page"/>
      </w:r>
    </w:p>
    <w:p>
      <w:pPr>
        <w:shd w:val="clear" w:color="auto" w:fill="009FE3"/>
        <w:spacing w:before="280" w:after="120"/>
      </w:pPr>
      <w:r>
        <w:rPr>
          <w:rFonts w:ascii="Arial" w:hAnsi="Arial"/>
          <w:b/>
          <w:color w:val="FFFFFF"/>
          <w:sz w:val="28"/>
        </w:rPr>
        <w:t>2. Responsibilities</w:t>
      </w:r>
    </w:p>
    <w:tbl>
      <w:tblPr>
        <w:tblW w:type="auto" w:w="0"/>
        <w:jc w:val="left"/>
        <w:tblLook w:firstColumn="1" w:firstRow="1" w:lastColumn="0" w:lastRow="0" w:noHBand="0" w:noVBand="1" w:val="04A0"/>
        <w:tblW w:w="9070" w:type="dxa"/>
      </w:tblPr>
      <w:tblGrid>
        <w:gridCol w:w="2551"/>
        <w:gridCol w:w="6519"/>
      </w:tblGrid>
      <w:tblGrid>
        <w:gridCol w:w="4513"/>
        <w:gridCol w:w="4513"/>
      </w:tblGrid>
      <w:tr>
        <w:tc>
          <w:tcPr>
            <w:tcW w:type="dxa" w:w="4513"/>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Role</w:t>
            </w:r>
          </w:p>
        </w:tc>
        <w:tc>
          <w:tcPr>
            <w:tcW w:type="dxa" w:w="4513"/>
            <w:shd w:val="clear" w:color="auto" w:fill="009FE3"/>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b/>
                <w:color w:val="FFFFFF"/>
                <w:sz w:val="18"/>
              </w:rPr>
              <w:t>Traceability Responsibilities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Quality Manager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Owns this procedure. Maintains the traceability system. Reviews traceability compliance during internal audits. Signs off Lifetime Quality Record packages.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Goods In / Stores Operative</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Verifies material certificates at receipt. Applies traceability identification to all incoming materials. Updates the material register. Segregates non-conforming or suspect materials.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Production Supervisor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Ensures traceability identification is maintained throughout manufacture. Ensures travellers and job cards are completed at each stage. Ensures offcuts are correctly identified.</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Quality Inspector</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Verifies traceability at each ITP inspection point. Signs off traceability records. Identifies and quarantines non-traceable or suspect materials.</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Despatch</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Confirms traceability records are complete before release. Includes traceability documentation in the delivery pack.</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All Manufacturing Personnel</w:t>
            </w:r>
          </w:p>
        </w:tc>
        <w:tc>
          <w:tcPr>
            <w:tcW w:type="dxa" w:w="6519"/>
            <w:tcBorders>
              <w:top w:val="single" w:sz="4" w:space="0" w:color="CCCCCC"/>
              <w:left w:val="single" w:sz="4" w:space="0" w:color="CCCCCC"/>
              <w:bottom w:val="single" w:sz="4" w:space="0" w:color="CCCCCC"/>
              <w:right w:val="single" w:sz="4" w:space="0" w:color="CCCCCC"/>
            </w:tcBorders>
            <w:tcW w:w="6519" w:type="dxa"/>
          </w:tcPr>
          <w:p>
            <w:pPr>
              <w:spacing w:before="40" w:after="40"/>
            </w:pPr>
            <w:r>
              <w:rPr>
                <w:rFonts w:ascii="Arial" w:hAnsi="Arial"/>
                <w:color w:val="5B595A"/>
                <w:sz w:val="18"/>
              </w:rPr>
              <w:t>Maintain identification on all materials and WIP at all times. Never remove or deface identification marks. Report any loss of traceability to the supervisor immediately.</w:t>
            </w:r>
          </w:p>
        </w:tc>
      </w:tr>
    </w:tbl>
    <w:p>
      <w:pPr>
        <w:spacing w:after="40"/>
      </w:pPr>
    </w:p>
    <w:p>
      <w:r>
        <w:br w:type="page"/>
      </w:r>
    </w:p>
    <w:p>
      <w:pPr>
        <w:shd w:val="clear" w:color="auto" w:fill="009FE3"/>
        <w:spacing w:before="280" w:after="120"/>
      </w:pPr>
      <w:r>
        <w:rPr>
          <w:rFonts w:ascii="Arial" w:hAnsi="Arial"/>
          <w:b/>
          <w:color w:val="FFFFFF"/>
          <w:sz w:val="28"/>
        </w:rPr>
        <w:t>3. Material Receipt and Incoming Traceability</w:t>
      </w:r>
    </w:p>
    <w:p>
      <w:pPr>
        <w:spacing w:before="200" w:after="80"/>
      </w:pPr>
      <w:r>
        <w:rPr>
          <w:rFonts w:ascii="Arial" w:hAnsi="Arial"/>
          <w:b/>
          <w:color w:val="83348F"/>
          <w:sz w:val="24"/>
        </w:rPr>
        <w:t>3.1 Incoming Material Inspection</w:t>
      </w:r>
    </w:p>
    <w:p>
      <w:pPr>
        <w:spacing w:before="40" w:after="40"/>
      </w:pPr>
      <w:r>
        <w:rPr>
          <w:rFonts w:ascii="Arial" w:hAnsi="Arial"/>
          <w:b w:val="0"/>
          <w:i w:val="0"/>
          <w:color w:val="5B595A"/>
          <w:sz w:val="20"/>
        </w:rPr>
        <w:t>All materials and components received into the company must be inspected at goods receipt before being accepted into stock or released for use. The following checks must be completed for every delivery:</w:t>
      </w:r>
    </w:p>
    <w:p>
      <w:pPr>
        <w:pStyle w:val="ListNumber"/>
        <w:spacing w:before="20" w:after="20"/>
      </w:pPr>
      <w:r>
        <w:rPr>
          <w:rFonts w:ascii="Arial" w:hAnsi="Arial"/>
          <w:color w:val="5B595A"/>
          <w:sz w:val="20"/>
        </w:rPr>
        <w:t>Verify the delivery note matches the purchase order: correct item, quantity, specification, and supplier.</w:t>
      </w:r>
    </w:p>
    <w:p>
      <w:pPr>
        <w:pStyle w:val="ListNumber"/>
        <w:spacing w:before="20" w:after="20"/>
      </w:pPr>
      <w:r>
        <w:rPr>
          <w:rFonts w:ascii="Arial" w:hAnsi="Arial"/>
          <w:color w:val="5B595A"/>
          <w:sz w:val="20"/>
        </w:rPr>
        <w:t>Inspect the material certificate(s) for completeness: grade, heat or batch number, mechanical properties, chemical composition, and test results as required by the specification.</w:t>
      </w:r>
    </w:p>
    <w:p>
      <w:pPr>
        <w:pStyle w:val="ListNumber"/>
        <w:spacing w:before="20" w:after="20"/>
      </w:pPr>
      <w:r>
        <w:rPr>
          <w:rFonts w:ascii="Arial" w:hAnsi="Arial"/>
          <w:color w:val="5B595A"/>
          <w:sz w:val="20"/>
        </w:rPr>
        <w:t>Verify the certificate meets the required standard (e.g. BS EN 10204 Type 3.1, Type 3.2, or as specified in the contract or purchase order).</w:t>
      </w:r>
    </w:p>
    <w:p>
      <w:pPr>
        <w:pStyle w:val="ListNumber"/>
        <w:spacing w:before="20" w:after="20"/>
      </w:pPr>
      <w:r>
        <w:rPr>
          <w:rFonts w:ascii="Arial" w:hAnsi="Arial"/>
          <w:color w:val="5B595A"/>
          <w:sz w:val="20"/>
        </w:rPr>
        <w:t>Carry out a CFSI inspection in accordance with the CFSI Procedure (QHSE-TNC-04). Check packaging, marking, appearance, and documentation for signs of counterfeit or fraudulent items.</w:t>
      </w:r>
    </w:p>
    <w:p>
      <w:pPr>
        <w:pStyle w:val="ListNumber"/>
        <w:spacing w:before="20" w:after="20"/>
      </w:pPr>
      <w:r>
        <w:rPr>
          <w:rFonts w:ascii="Arial" w:hAnsi="Arial"/>
          <w:color w:val="5B595A"/>
          <w:sz w:val="20"/>
        </w:rPr>
        <w:t>Check the physical condition of the materials: no damage, correct surface condition, no signs of contamination or unauthorised rework.</w:t>
      </w:r>
    </w:p>
    <w:p>
      <w:pPr>
        <w:pStyle w:val="ListNumber"/>
        <w:spacing w:before="20" w:after="20"/>
      </w:pPr>
      <w:r>
        <w:rPr>
          <w:rFonts w:ascii="Arial" w:hAnsi="Arial"/>
          <w:color w:val="5B595A"/>
          <w:sz w:val="20"/>
        </w:rPr>
        <w:t>Record all findings on the Goods Receipt Inspection Record (see QHSE-TNC-02).</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IMPORTANT: Materials must not be released for use until the goods receipt inspection is complete and the material certificate has been verified against the specification. Do not allow production pressure to override this requirement.</w:t>
            </w:r>
          </w:p>
        </w:tc>
      </w:tr>
    </w:tbl>
    <w:p>
      <w:pPr>
        <w:spacing w:after="40"/>
      </w:pPr>
    </w:p>
    <w:p>
      <w:pPr>
        <w:spacing w:before="200" w:after="80"/>
      </w:pPr>
      <w:r>
        <w:rPr>
          <w:rFonts w:ascii="Arial" w:hAnsi="Arial"/>
          <w:b/>
          <w:color w:val="83348F"/>
          <w:sz w:val="24"/>
        </w:rPr>
        <w:t>3.2 Material Identification</w:t>
      </w:r>
    </w:p>
    <w:p>
      <w:pPr>
        <w:spacing w:before="40" w:after="40"/>
      </w:pPr>
      <w:r>
        <w:rPr>
          <w:rFonts w:ascii="Arial" w:hAnsi="Arial"/>
          <w:b w:val="0"/>
          <w:i w:val="0"/>
          <w:color w:val="5B595A"/>
          <w:sz w:val="20"/>
        </w:rPr>
        <w:t>All incoming materials must be marked with a unique identification that links the physical material to its certificate and purchase order. The following identification method applies:</w:t>
      </w:r>
    </w:p>
    <w:tbl>
      <w:tblPr>
        <w:tblW w:type="auto" w:w="0"/>
        <w:jc w:val="left"/>
        <w:tblLook w:firstColumn="1" w:firstRow="1" w:lastColumn="0" w:lastRow="0" w:noHBand="0" w:noVBand="1" w:val="04A0"/>
        <w:tblW w:w="9070" w:type="dxa"/>
      </w:tblPr>
      <w:tblGrid>
        <w:gridCol w:w="2267"/>
        <w:gridCol w:w="2551"/>
        <w:gridCol w:w="3118"/>
        <w:gridCol w:w="1133"/>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Material Type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Identification Method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What Must Be Marked</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Who Applies Marking</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Bar stock / plate / sections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Permanent marker or low-stress stamp (confirm with QM for nuclear-classified items)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Heat / batch number; material grade; certificate reference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Goods In operative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Small components / fasteners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Tag attached to bag or container; or sticker on container</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Batch number; part number; certificate reference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Goods In operative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Purchased sub-assemblies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Label or tag affixed to item</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Part number; serial number; certificate reference; supplier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Goods In operative</w:t>
            </w:r>
          </w:p>
        </w:tc>
      </w:tr>
      <w:tr>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Offcuts retained for use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Yellow 'Retained Offcut' tag (see Section 6)</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Original heat number; material grade; cert ref; original item ref</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Production Supervisor</w:t>
            </w:r>
          </w:p>
        </w:tc>
      </w:tr>
    </w:tbl>
    <w:p>
      <w:pPr>
        <w:spacing w:after="40"/>
      </w:pP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For nuclear QC1 and QC2 items: the identification method must be agreed with the customer before work begins. Stamping or marking on safety-classified materials may require a defined method to avoid introducing stress risers. Confirm with the Quality Manager.</w:t>
            </w:r>
          </w:p>
        </w:tc>
      </w:tr>
    </w:tbl>
    <w:p>
      <w:pPr>
        <w:spacing w:after="40"/>
      </w:pPr>
    </w:p>
    <w:p>
      <w:pPr>
        <w:spacing w:before="200" w:after="80"/>
      </w:pPr>
      <w:r>
        <w:rPr>
          <w:rFonts w:ascii="Arial" w:hAnsi="Arial"/>
          <w:b/>
          <w:color w:val="83348F"/>
          <w:sz w:val="24"/>
        </w:rPr>
        <w:t>3.3 Material Register</w:t>
      </w:r>
    </w:p>
    <w:p>
      <w:pPr>
        <w:spacing w:before="40" w:after="40"/>
      </w:pPr>
      <w:r>
        <w:rPr>
          <w:rFonts w:ascii="Arial" w:hAnsi="Arial"/>
          <w:b w:val="0"/>
          <w:i w:val="0"/>
          <w:color w:val="5B595A"/>
          <w:sz w:val="20"/>
        </w:rPr>
        <w:t>All received materials must be logged in the Material Register (QHSE-TNC-02, Sheet 1) at the time of receipt. The register must record:</w:t>
      </w:r>
    </w:p>
    <w:p>
      <w:pPr>
        <w:pStyle w:val="ListBullet"/>
        <w:spacing w:before="20" w:after="20"/>
      </w:pPr>
      <w:r>
        <w:rPr>
          <w:rFonts w:ascii="Arial" w:hAnsi="Arial"/>
          <w:color w:val="5B595A"/>
          <w:sz w:val="20"/>
        </w:rPr>
        <w:t>Unique item reference number assigned by the company.</w:t>
      </w:r>
    </w:p>
    <w:p>
      <w:pPr>
        <w:pStyle w:val="ListBullet"/>
        <w:spacing w:before="20" w:after="20"/>
      </w:pPr>
      <w:r>
        <w:rPr>
          <w:rFonts w:ascii="Arial" w:hAnsi="Arial"/>
          <w:color w:val="5B595A"/>
          <w:sz w:val="20"/>
        </w:rPr>
        <w:t>Supplier name and delivery note / purchase order number.</w:t>
      </w:r>
    </w:p>
    <w:p>
      <w:pPr>
        <w:pStyle w:val="ListBullet"/>
        <w:spacing w:before="20" w:after="20"/>
      </w:pPr>
      <w:r>
        <w:rPr>
          <w:rFonts w:ascii="Arial" w:hAnsi="Arial"/>
          <w:color w:val="5B595A"/>
          <w:sz w:val="20"/>
        </w:rPr>
        <w:t>Material description, grade, and specification.</w:t>
      </w:r>
    </w:p>
    <w:p>
      <w:pPr>
        <w:pStyle w:val="ListBullet"/>
        <w:spacing w:before="20" w:after="20"/>
      </w:pPr>
      <w:r>
        <w:rPr>
          <w:rFonts w:ascii="Arial" w:hAnsi="Arial"/>
          <w:color w:val="5B595A"/>
          <w:sz w:val="20"/>
        </w:rPr>
        <w:t>Heat or batch number from the certificate.</w:t>
      </w:r>
    </w:p>
    <w:p>
      <w:pPr>
        <w:pStyle w:val="ListBullet"/>
        <w:spacing w:before="20" w:after="20"/>
      </w:pPr>
      <w:r>
        <w:rPr>
          <w:rFonts w:ascii="Arial" w:hAnsi="Arial"/>
          <w:color w:val="5B595A"/>
          <w:sz w:val="20"/>
        </w:rPr>
        <w:t>Certificate reference number and type (e.g. EN 10204 Type 3.1).</w:t>
      </w:r>
    </w:p>
    <w:p>
      <w:pPr>
        <w:pStyle w:val="ListBullet"/>
        <w:spacing w:before="20" w:after="20"/>
      </w:pPr>
      <w:r>
        <w:rPr>
          <w:rFonts w:ascii="Arial" w:hAnsi="Arial"/>
          <w:color w:val="5B595A"/>
          <w:sz w:val="20"/>
        </w:rPr>
        <w:t>Date of receipt and name of the receiving inspector.</w:t>
      </w:r>
    </w:p>
    <w:p>
      <w:pPr>
        <w:pStyle w:val="ListBullet"/>
        <w:spacing w:before="20" w:after="20"/>
      </w:pPr>
      <w:r>
        <w:rPr>
          <w:rFonts w:ascii="Arial" w:hAnsi="Arial"/>
          <w:color w:val="5B595A"/>
          <w:sz w:val="20"/>
        </w:rPr>
        <w:t>Inspection result (Pass / Fail / Quarantine).</w:t>
      </w:r>
    </w:p>
    <w:p>
      <w:pPr>
        <w:pStyle w:val="ListBullet"/>
        <w:spacing w:before="20" w:after="20"/>
      </w:pPr>
      <w:r>
        <w:rPr>
          <w:rFonts w:ascii="Arial" w:hAnsi="Arial"/>
          <w:color w:val="5B595A"/>
          <w:sz w:val="20"/>
        </w:rPr>
        <w:t>Storage location.</w:t>
      </w:r>
    </w:p>
    <w:p>
      <w:r>
        <w:br w:type="page"/>
      </w:r>
    </w:p>
    <w:p>
      <w:pPr>
        <w:shd w:val="clear" w:color="auto" w:fill="009FE3"/>
        <w:spacing w:before="280" w:after="120"/>
      </w:pPr>
      <w:r>
        <w:rPr>
          <w:rFonts w:ascii="Arial" w:hAnsi="Arial"/>
          <w:b/>
          <w:color w:val="FFFFFF"/>
          <w:sz w:val="28"/>
        </w:rPr>
        <w:t>4. In-Process Traceability</w:t>
      </w:r>
    </w:p>
    <w:p>
      <w:pPr>
        <w:spacing w:before="200" w:after="80"/>
      </w:pPr>
      <w:r>
        <w:rPr>
          <w:rFonts w:ascii="Arial" w:hAnsi="Arial"/>
          <w:b/>
          <w:color w:val="83348F"/>
          <w:sz w:val="24"/>
        </w:rPr>
        <w:t>4.1 Travellers and Job Cards</w:t>
      </w:r>
    </w:p>
    <w:p>
      <w:pPr>
        <w:spacing w:before="40" w:after="40"/>
      </w:pPr>
      <w:r>
        <w:rPr>
          <w:rFonts w:ascii="Arial" w:hAnsi="Arial"/>
          <w:b w:val="0"/>
          <w:i w:val="0"/>
          <w:color w:val="5B595A"/>
          <w:sz w:val="20"/>
        </w:rPr>
        <w:t>A manufacturing traveller or job card must accompany every job from material release through to final inspection. The traveller is the primary in-process traceability document. It must record:</w:t>
      </w:r>
    </w:p>
    <w:p>
      <w:pPr>
        <w:pStyle w:val="ListBullet"/>
        <w:spacing w:before="20" w:after="20"/>
      </w:pPr>
      <w:r>
        <w:rPr>
          <w:rFonts w:ascii="Arial" w:hAnsi="Arial"/>
          <w:color w:val="5B595A"/>
          <w:sz w:val="20"/>
        </w:rPr>
        <w:t>Job number and customer order reference.</w:t>
      </w:r>
    </w:p>
    <w:p>
      <w:pPr>
        <w:pStyle w:val="ListBullet"/>
        <w:spacing w:before="20" w:after="20"/>
      </w:pPr>
      <w:r>
        <w:rPr>
          <w:rFonts w:ascii="Arial" w:hAnsi="Arial"/>
          <w:color w:val="5B595A"/>
          <w:sz w:val="20"/>
        </w:rPr>
        <w:t>Part number, drawing number, and revision.</w:t>
      </w:r>
    </w:p>
    <w:p>
      <w:pPr>
        <w:pStyle w:val="ListBullet"/>
        <w:spacing w:before="20" w:after="20"/>
      </w:pPr>
      <w:r>
        <w:rPr>
          <w:rFonts w:ascii="Arial" w:hAnsi="Arial"/>
          <w:color w:val="5B595A"/>
          <w:sz w:val="20"/>
        </w:rPr>
        <w:t>Material reference number (linking to the material register entry).</w:t>
      </w:r>
    </w:p>
    <w:p>
      <w:pPr>
        <w:pStyle w:val="ListBullet"/>
        <w:spacing w:before="20" w:after="20"/>
      </w:pPr>
      <w:r>
        <w:rPr>
          <w:rFonts w:ascii="Arial" w:hAnsi="Arial"/>
          <w:color w:val="5B595A"/>
          <w:sz w:val="20"/>
        </w:rPr>
        <w:t>Each manufacturing operation to be carried out, with space for the operative to sign and date on completion.</w:t>
      </w:r>
    </w:p>
    <w:p>
      <w:pPr>
        <w:pStyle w:val="ListBullet"/>
        <w:spacing w:before="20" w:after="20"/>
      </w:pPr>
      <w:r>
        <w:rPr>
          <w:rFonts w:ascii="Arial" w:hAnsi="Arial"/>
          <w:color w:val="5B595A"/>
          <w:sz w:val="20"/>
        </w:rPr>
        <w:t>Each inspection point from the ITP, with space for the inspector to sign and date.</w:t>
      </w:r>
    </w:p>
    <w:p>
      <w:pPr>
        <w:pStyle w:val="ListBullet"/>
        <w:spacing w:before="20" w:after="20"/>
      </w:pPr>
      <w:r>
        <w:rPr>
          <w:rFonts w:ascii="Arial" w:hAnsi="Arial"/>
          <w:color w:val="5B595A"/>
          <w:sz w:val="20"/>
        </w:rPr>
        <w:t>Any non-conformances raised during manufacture, with the NCR reference number.</w:t>
      </w:r>
    </w:p>
    <w:p>
      <w:pPr>
        <w:pStyle w:val="ListBullet"/>
        <w:spacing w:before="20" w:after="20"/>
      </w:pPr>
      <w:r>
        <w:rPr>
          <w:rFonts w:ascii="Arial" w:hAnsi="Arial"/>
          <w:color w:val="5B595A"/>
          <w:sz w:val="20"/>
        </w:rPr>
        <w:t>Disposition of the finished part (pass, fail, rework, scrap).</w:t>
      </w:r>
    </w:p>
    <w:p>
      <w:pPr>
        <w:spacing w:before="40" w:after="40"/>
      </w:pPr>
      <w:r>
        <w:rPr>
          <w:rFonts w:ascii="Arial" w:hAnsi="Arial"/>
          <w:b w:val="0"/>
          <w:i w:val="0"/>
          <w:color w:val="5B595A"/>
          <w:sz w:val="20"/>
        </w:rPr>
        <w:t>The traveller must travel with the part at all times during manufacture. It must not be separated from the part.</w:t>
      </w:r>
    </w:p>
    <w:p>
      <w:pPr>
        <w:spacing w:after="40"/>
      </w:pPr>
    </w:p>
    <w:p>
      <w:pPr>
        <w:spacing w:before="200" w:after="80"/>
      </w:pPr>
      <w:r>
        <w:rPr>
          <w:rFonts w:ascii="Arial" w:hAnsi="Arial"/>
          <w:b/>
          <w:color w:val="83348F"/>
          <w:sz w:val="24"/>
        </w:rPr>
        <w:t>4.2 WIP Identification and Segregation</w:t>
      </w:r>
    </w:p>
    <w:p>
      <w:pPr>
        <w:spacing w:before="40" w:after="40"/>
      </w:pPr>
      <w:r>
        <w:rPr>
          <w:rFonts w:ascii="Arial" w:hAnsi="Arial"/>
          <w:b w:val="0"/>
          <w:i w:val="0"/>
          <w:color w:val="5B595A"/>
          <w:sz w:val="20"/>
        </w:rPr>
        <w:t>Work in progress must be clearly identified at all times. The following rules apply:</w:t>
      </w:r>
    </w:p>
    <w:p>
      <w:pPr>
        <w:pStyle w:val="ListBullet"/>
        <w:spacing w:before="20" w:after="20"/>
      </w:pPr>
      <w:r>
        <w:rPr>
          <w:rFonts w:ascii="Arial" w:hAnsi="Arial"/>
          <w:color w:val="5B595A"/>
          <w:sz w:val="20"/>
        </w:rPr>
        <w:t>Every WIP item must carry its job card or a tag showing the job number, part number, and current stage.</w:t>
      </w:r>
    </w:p>
    <w:p>
      <w:pPr>
        <w:pStyle w:val="ListBullet"/>
        <w:spacing w:before="20" w:after="20"/>
      </w:pPr>
      <w:r>
        <w:rPr>
          <w:rFonts w:ascii="Arial" w:hAnsi="Arial"/>
          <w:color w:val="5B595A"/>
          <w:sz w:val="20"/>
        </w:rPr>
        <w:t>WIP must be physically segregated from raw material and from finished goods at all times.</w:t>
      </w:r>
    </w:p>
    <w:p>
      <w:pPr>
        <w:pStyle w:val="ListBullet"/>
        <w:spacing w:before="20" w:after="20"/>
      </w:pPr>
      <w:r>
        <w:rPr>
          <w:rFonts w:ascii="Arial" w:hAnsi="Arial"/>
          <w:color w:val="5B595A"/>
          <w:sz w:val="20"/>
        </w:rPr>
        <w:t>WIP that has failed an inspection must be immediately tagged as NON-CONFORMING (red tag) and moved to the quarantine area.</w:t>
      </w:r>
    </w:p>
    <w:p>
      <w:pPr>
        <w:pStyle w:val="ListBullet"/>
        <w:spacing w:before="20" w:after="20"/>
      </w:pPr>
      <w:r>
        <w:rPr>
          <w:rFonts w:ascii="Arial" w:hAnsi="Arial"/>
          <w:color w:val="5B595A"/>
          <w:sz w:val="20"/>
        </w:rPr>
        <w:t>WIP awaiting further processing or inspection must not be placed in the shipping or finished goods area under any circumstances.</w:t>
      </w:r>
    </w:p>
    <w:p>
      <w:pPr>
        <w:pStyle w:val="ListBullet"/>
        <w:spacing w:before="20" w:after="20"/>
      </w:pPr>
      <w:r>
        <w:rPr>
          <w:rFonts w:ascii="Arial" w:hAnsi="Arial"/>
          <w:color w:val="5B595A"/>
          <w:sz w:val="20"/>
        </w:rPr>
        <w:t>At the end of each shift, the Production Supervisor must confirm that all WIP is correctly identified and located.</w:t>
      </w:r>
    </w:p>
    <w:p>
      <w:pPr>
        <w:spacing w:after="40"/>
      </w:pPr>
    </w:p>
    <w:p>
      <w:pPr>
        <w:spacing w:before="200" w:after="80"/>
      </w:pPr>
      <w:r>
        <w:rPr>
          <w:rFonts w:ascii="Arial" w:hAnsi="Arial"/>
          <w:b/>
          <w:color w:val="83348F"/>
          <w:sz w:val="24"/>
        </w:rPr>
        <w:t>4.3 Traceability by Nuclear Safety Classification</w:t>
      </w:r>
    </w:p>
    <w:tbl>
      <w:tblPr>
        <w:tblW w:type="auto" w:w="0"/>
        <w:jc w:val="left"/>
        <w:tblLook w:firstColumn="1" w:firstRow="1" w:lastColumn="0" w:lastRow="0" w:noHBand="0" w:noVBand="1" w:val="04A0"/>
        <w:tblW w:w="11338" w:type="dxa"/>
      </w:tblPr>
      <w:tblGrid>
        <w:gridCol w:w="1700"/>
        <w:gridCol w:w="2834"/>
        <w:gridCol w:w="2551"/>
        <w:gridCol w:w="4251"/>
      </w:tblGrid>
      <w:tblGrid>
        <w:gridCol w:w="2256"/>
        <w:gridCol w:w="2256"/>
        <w:gridCol w:w="2256"/>
        <w:gridCol w:w="2256"/>
      </w:tblGrid>
      <w:tr>
        <w:tc>
          <w:tcPr>
            <w:tcW w:type="dxa" w:w="225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Classification</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Traceability Requirement</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Material Certificate</w:t>
            </w:r>
          </w:p>
        </w:tc>
        <w:tc>
          <w:tcPr>
            <w:tcW w:type="dxa" w:w="2256"/>
            <w:shd w:val="clear" w:color="auto" w:fill="009FE3"/>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b/>
                <w:color w:val="FFFFFF"/>
                <w:sz w:val="18"/>
              </w:rPr>
              <w:t>In-Process Records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QC1</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Full traceability from raw material source to finished product at every operation. Heat number traceable on every component.</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BS EN 10204 Type 3.2 (witnessed by accredited body). No substitution permitted.</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Signed traveller at every operation. Weld map with individual weld records. 100% dimensional inspection records. NDT reports.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QC2</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Full traceability of material to heat/batch number. Signed traveller at key operations.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BS EN 10204 Type 3.1 minimum. Certificates verified by Quality Manager.</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Signed traveller at key operations. Weld records. NDT and dimensional records at specified points.</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QC3</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Material traceability to batch/specification. Job card signed at major operations.</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BS EN 10204 Type 2.2 minimum. Certificates filed and checked.</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Job card record. Key inspection records at final stage.</w:t>
            </w:r>
          </w:p>
        </w:tc>
      </w:tr>
      <w:tr>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QC4 / Non-Nuclear</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Standard commercial traceability: delivery note linked to job.</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BS EN 10204 Type 2.1 minimum (declaration of conformity).</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t>Delivery note and certificate of conformity at despatch.</w:t>
            </w:r>
          </w:p>
        </w:tc>
      </w:tr>
    </w:tbl>
    <w:p>
      <w:pPr>
        <w:spacing w:after="40"/>
      </w:pPr>
    </w:p>
    <w:p>
      <w:r>
        <w:br w:type="page"/>
      </w:r>
    </w:p>
    <w:p>
      <w:pPr>
        <w:shd w:val="clear" w:color="auto" w:fill="009FE3"/>
        <w:spacing w:before="280" w:after="120"/>
      </w:pPr>
      <w:r>
        <w:rPr>
          <w:rFonts w:ascii="Arial" w:hAnsi="Arial"/>
          <w:b/>
          <w:color w:val="FFFFFF"/>
          <w:sz w:val="28"/>
        </w:rPr>
        <w:t>5. Offcut and Remnant Material Control</w:t>
      </w:r>
    </w:p>
    <w:p>
      <w:pPr>
        <w:spacing w:before="200" w:after="80"/>
      </w:pPr>
      <w:r>
        <w:rPr>
          <w:rFonts w:ascii="Arial" w:hAnsi="Arial"/>
          <w:b/>
          <w:color w:val="83348F"/>
          <w:sz w:val="24"/>
        </w:rPr>
        <w:t>5.1 Why Offcut Control Matters</w:t>
      </w:r>
    </w:p>
    <w:p>
      <w:pPr>
        <w:spacing w:before="40" w:after="40"/>
      </w:pPr>
      <w:r>
        <w:rPr>
          <w:rFonts w:ascii="Arial" w:hAnsi="Arial"/>
          <w:b w:val="0"/>
          <w:i w:val="0"/>
          <w:color w:val="5B595A"/>
          <w:sz w:val="20"/>
        </w:rPr>
        <w:t>A significant source of mix-up and traceability loss in manufacturing is the mismanagement of offcuts and remnant materials. An offcut that loses its identification becomes an unknown material. If it is subsequently used in a nuclear-classified application, the consequences can be severe: a component manufactured from unverifiable material may be rejected, quarantined, or require destructive testing at significant cost and programme impact.</w:t>
      </w:r>
    </w:p>
    <w:p>
      <w:pPr>
        <w:spacing w:after="40"/>
      </w:pPr>
    </w:p>
    <w:p>
      <w:pPr>
        <w:spacing w:before="200" w:after="80"/>
      </w:pPr>
      <w:r>
        <w:rPr>
          <w:rFonts w:ascii="Arial" w:hAnsi="Arial"/>
          <w:b/>
          <w:color w:val="83348F"/>
          <w:sz w:val="24"/>
        </w:rPr>
        <w:t>5.2 Offcut Control Rules</w:t>
      </w:r>
    </w:p>
    <w:p>
      <w:pPr>
        <w:pStyle w:val="ListNumber"/>
        <w:spacing w:before="20" w:after="20"/>
      </w:pPr>
      <w:r>
        <w:rPr>
          <w:rFonts w:ascii="Arial" w:hAnsi="Arial"/>
          <w:color w:val="5B595A"/>
          <w:sz w:val="20"/>
        </w:rPr>
        <w:t>When a bar, plate, or section is cut, the offcut must be identified immediately before the original identification is disturbed or removed.</w:t>
      </w:r>
    </w:p>
    <w:p>
      <w:pPr>
        <w:pStyle w:val="ListNumber"/>
        <w:spacing w:before="20" w:after="20"/>
      </w:pPr>
      <w:r>
        <w:rPr>
          <w:rFonts w:ascii="Arial" w:hAnsi="Arial"/>
          <w:color w:val="5B595A"/>
          <w:sz w:val="20"/>
        </w:rPr>
        <w:t>The offcut must be tagged with a yellow Retained Offcut tag showing: original heat number; material grade and specification; certificate reference; original item reference; date cut; operative name.</w:t>
      </w:r>
    </w:p>
    <w:p>
      <w:pPr>
        <w:pStyle w:val="ListNumber"/>
        <w:spacing w:before="20" w:after="20"/>
      </w:pPr>
      <w:r>
        <w:rPr>
          <w:rFonts w:ascii="Arial" w:hAnsi="Arial"/>
          <w:color w:val="5B595A"/>
          <w:sz w:val="20"/>
        </w:rPr>
        <w:t>The tag must be physically attached to the offcut before it is moved from the cutting area.</w:t>
      </w:r>
    </w:p>
    <w:p>
      <w:pPr>
        <w:pStyle w:val="ListNumber"/>
        <w:spacing w:before="20" w:after="20"/>
      </w:pPr>
      <w:r>
        <w:rPr>
          <w:rFonts w:ascii="Arial" w:hAnsi="Arial"/>
          <w:color w:val="5B595A"/>
          <w:sz w:val="20"/>
        </w:rPr>
        <w:t>Offcuts that are too small to be useful must be disposed of as scrap immediately. They must not be placed in the material store without identification.</w:t>
      </w:r>
    </w:p>
    <w:p>
      <w:pPr>
        <w:pStyle w:val="ListNumber"/>
        <w:spacing w:before="20" w:after="20"/>
      </w:pPr>
      <w:r>
        <w:rPr>
          <w:rFonts w:ascii="Arial" w:hAnsi="Arial"/>
          <w:color w:val="5B595A"/>
          <w:sz w:val="20"/>
        </w:rPr>
        <w:t>Offcuts placed in the material store must be recorded in the material register as a separate entry, cross-referenced to the original material entry.</w:t>
      </w:r>
    </w:p>
    <w:p>
      <w:pPr>
        <w:pStyle w:val="ListNumber"/>
        <w:spacing w:before="20" w:after="20"/>
      </w:pPr>
      <w:r>
        <w:rPr>
          <w:rFonts w:ascii="Arial" w:hAnsi="Arial"/>
          <w:color w:val="5B595A"/>
          <w:sz w:val="20"/>
        </w:rPr>
        <w:t>Unidentified offcuts discovered in the material store must be quarantined and treated as unknown material. They may not be used for any nuclear-classified application without investigation and verification by the Quality Manager.</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Zero tolerance applies to unidentified materials in the store. During the F4N verification visit and during any customer or nuclear authority audit, the site inspector will walk the production area and stores. Unidentified materials are an immediate non-conformance.</w:t>
            </w:r>
          </w:p>
        </w:tc>
      </w:tr>
    </w:tbl>
    <w:p>
      <w:pPr>
        <w:spacing w:after="40"/>
      </w:pPr>
    </w:p>
    <w:p>
      <w:r>
        <w:br w:type="page"/>
      </w:r>
    </w:p>
    <w:p>
      <w:pPr>
        <w:shd w:val="clear" w:color="auto" w:fill="009FE3"/>
        <w:spacing w:before="280" w:after="120"/>
      </w:pPr>
      <w:r>
        <w:rPr>
          <w:rFonts w:ascii="Arial" w:hAnsi="Arial"/>
          <w:b/>
          <w:color w:val="FFFFFF"/>
          <w:sz w:val="28"/>
        </w:rPr>
        <w:t>6. Finished Goods and Despatch</w:t>
      </w:r>
    </w:p>
    <w:p>
      <w:pPr>
        <w:spacing w:before="200" w:after="80"/>
      </w:pPr>
      <w:r>
        <w:rPr>
          <w:rFonts w:ascii="Arial" w:hAnsi="Arial"/>
          <w:b/>
          <w:color w:val="83348F"/>
          <w:sz w:val="24"/>
        </w:rPr>
        <w:t>6.1 Final Identification</w:t>
      </w:r>
    </w:p>
    <w:p>
      <w:pPr>
        <w:spacing w:before="40" w:after="40"/>
      </w:pPr>
      <w:r>
        <w:rPr>
          <w:rFonts w:ascii="Arial" w:hAnsi="Arial"/>
          <w:b w:val="0"/>
          <w:i w:val="0"/>
          <w:color w:val="5B595A"/>
          <w:sz w:val="20"/>
        </w:rPr>
        <w:t>Before any product is released for despatch, the following traceability checks must be completed by the Quality Inspector and signed off on the traveller:</w:t>
      </w:r>
    </w:p>
    <w:p>
      <w:pPr>
        <w:pStyle w:val="ListBullet"/>
        <w:spacing w:before="20" w:after="20"/>
      </w:pPr>
      <w:r>
        <w:rPr>
          <w:rFonts w:ascii="Arial" w:hAnsi="Arial"/>
          <w:color w:val="5B595A"/>
          <w:sz w:val="20"/>
        </w:rPr>
        <w:t>The part number, drawing number, and revision are correct and legibly marked on the item.</w:t>
      </w:r>
    </w:p>
    <w:p>
      <w:pPr>
        <w:pStyle w:val="ListBullet"/>
        <w:spacing w:before="20" w:after="20"/>
      </w:pPr>
      <w:r>
        <w:rPr>
          <w:rFonts w:ascii="Arial" w:hAnsi="Arial"/>
          <w:color w:val="5B595A"/>
          <w:sz w:val="20"/>
        </w:rPr>
        <w:t>The heat or batch number (where required by the specification) is traceable and legibly marked or referenced in the traveller.</w:t>
      </w:r>
    </w:p>
    <w:p>
      <w:pPr>
        <w:pStyle w:val="ListBullet"/>
        <w:spacing w:before="20" w:after="20"/>
      </w:pPr>
      <w:r>
        <w:rPr>
          <w:rFonts w:ascii="Arial" w:hAnsi="Arial"/>
          <w:color w:val="5B595A"/>
          <w:sz w:val="20"/>
        </w:rPr>
        <w:t>All ITP inspection and test activities are complete and signed off.</w:t>
      </w:r>
    </w:p>
    <w:p>
      <w:pPr>
        <w:pStyle w:val="ListBullet"/>
        <w:spacing w:before="20" w:after="20"/>
      </w:pPr>
      <w:r>
        <w:rPr>
          <w:rFonts w:ascii="Arial" w:hAnsi="Arial"/>
          <w:color w:val="5B595A"/>
          <w:sz w:val="20"/>
        </w:rPr>
        <w:t>All NCRs are closed or subject to approved customer concessions.</w:t>
      </w:r>
    </w:p>
    <w:p>
      <w:pPr>
        <w:pStyle w:val="ListBullet"/>
        <w:spacing w:before="20" w:after="20"/>
      </w:pPr>
      <w:r>
        <w:rPr>
          <w:rFonts w:ascii="Arial" w:hAnsi="Arial"/>
          <w:color w:val="5B595A"/>
          <w:sz w:val="20"/>
        </w:rPr>
        <w:t>The Lifetime Quality Record (LQR) package is complete and has been reviewed against the LQR checklist.</w:t>
      </w:r>
    </w:p>
    <w:p>
      <w:pPr>
        <w:pStyle w:val="ListBullet"/>
        <w:spacing w:before="20" w:after="20"/>
      </w:pPr>
      <w:r>
        <w:rPr>
          <w:rFonts w:ascii="Arial" w:hAnsi="Arial"/>
          <w:color w:val="5B595A"/>
          <w:sz w:val="20"/>
        </w:rPr>
        <w:t>The Certificate of Conformity (CoC) has been prepared and signed by the Quality Manager.</w:t>
      </w:r>
    </w:p>
    <w:p>
      <w:pPr>
        <w:spacing w:after="40"/>
      </w:pPr>
    </w:p>
    <w:p>
      <w:pPr>
        <w:spacing w:before="200" w:after="80"/>
      </w:pPr>
      <w:r>
        <w:rPr>
          <w:rFonts w:ascii="Arial" w:hAnsi="Arial"/>
          <w:b/>
          <w:color w:val="83348F"/>
          <w:sz w:val="24"/>
        </w:rPr>
        <w:t>6.2 Certificate of Conformity</w:t>
      </w:r>
    </w:p>
    <w:p>
      <w:pPr>
        <w:spacing w:before="40" w:after="40"/>
      </w:pPr>
      <w:r>
        <w:rPr>
          <w:rFonts w:ascii="Arial" w:hAnsi="Arial"/>
          <w:b w:val="0"/>
          <w:i w:val="0"/>
          <w:color w:val="5B595A"/>
          <w:sz w:val="20"/>
        </w:rPr>
        <w:t>A Certificate of Conformity must be issued with every delivery. The CoC must state:</w:t>
      </w:r>
    </w:p>
    <w:p>
      <w:pPr>
        <w:pStyle w:val="ListBullet"/>
        <w:spacing w:before="20" w:after="20"/>
      </w:pPr>
      <w:r>
        <w:rPr>
          <w:rFonts w:ascii="Arial" w:hAnsi="Arial"/>
          <w:color w:val="5B595A"/>
          <w:sz w:val="20"/>
        </w:rPr>
        <w:t>The company name and address.</w:t>
      </w:r>
    </w:p>
    <w:p>
      <w:pPr>
        <w:pStyle w:val="ListBullet"/>
        <w:spacing w:before="20" w:after="20"/>
      </w:pPr>
      <w:r>
        <w:rPr>
          <w:rFonts w:ascii="Arial" w:hAnsi="Arial"/>
          <w:color w:val="5B595A"/>
          <w:sz w:val="20"/>
        </w:rPr>
        <w:t>The customer name and purchase order / contract reference.</w:t>
      </w:r>
    </w:p>
    <w:p>
      <w:pPr>
        <w:pStyle w:val="ListBullet"/>
        <w:spacing w:before="20" w:after="20"/>
      </w:pPr>
      <w:r>
        <w:rPr>
          <w:rFonts w:ascii="Arial" w:hAnsi="Arial"/>
          <w:color w:val="5B595A"/>
          <w:sz w:val="20"/>
        </w:rPr>
        <w:t>The part number, description, quantity, and drawing revision.</w:t>
      </w:r>
    </w:p>
    <w:p>
      <w:pPr>
        <w:pStyle w:val="ListBullet"/>
        <w:spacing w:before="20" w:after="20"/>
      </w:pPr>
      <w:r>
        <w:rPr>
          <w:rFonts w:ascii="Arial" w:hAnsi="Arial"/>
          <w:color w:val="5B595A"/>
          <w:sz w:val="20"/>
        </w:rPr>
        <w:t>The applicable standards and specifications to which the item conforms.</w:t>
      </w:r>
    </w:p>
    <w:p>
      <w:pPr>
        <w:pStyle w:val="ListBullet"/>
        <w:spacing w:before="20" w:after="20"/>
      </w:pPr>
      <w:r>
        <w:rPr>
          <w:rFonts w:ascii="Arial" w:hAnsi="Arial"/>
          <w:color w:val="5B595A"/>
          <w:sz w:val="20"/>
        </w:rPr>
        <w:t>Material certificate references (heat number / batch number).</w:t>
      </w:r>
    </w:p>
    <w:p>
      <w:pPr>
        <w:pStyle w:val="ListBullet"/>
        <w:spacing w:before="20" w:after="20"/>
      </w:pPr>
      <w:r>
        <w:rPr>
          <w:rFonts w:ascii="Arial" w:hAnsi="Arial"/>
          <w:color w:val="5B595A"/>
          <w:sz w:val="20"/>
        </w:rPr>
        <w:t>The name and signature of the authorised signatory (Quality Manager).</w:t>
      </w:r>
    </w:p>
    <w:p>
      <w:pPr>
        <w:pStyle w:val="ListBullet"/>
        <w:spacing w:before="20" w:after="20"/>
      </w:pPr>
      <w:r>
        <w:rPr>
          <w:rFonts w:ascii="Arial" w:hAnsi="Arial"/>
          <w:color w:val="5B595A"/>
          <w:sz w:val="20"/>
        </w:rPr>
        <w:t>The date of issue.</w:t>
      </w:r>
    </w:p>
    <w:p>
      <w:pPr>
        <w:spacing w:after="40"/>
      </w:pPr>
    </w:p>
    <w:p>
      <w:pPr>
        <w:spacing w:before="200" w:after="80"/>
      </w:pPr>
      <w:r>
        <w:rPr>
          <w:rFonts w:ascii="Arial" w:hAnsi="Arial"/>
          <w:b/>
          <w:color w:val="83348F"/>
          <w:sz w:val="24"/>
        </w:rPr>
        <w:t>6.3 Despatch Documentation Pack</w:t>
      </w:r>
    </w:p>
    <w:p>
      <w:pPr>
        <w:spacing w:before="40" w:after="40"/>
      </w:pPr>
      <w:r>
        <w:rPr>
          <w:rFonts w:ascii="Arial" w:hAnsi="Arial"/>
          <w:b w:val="0"/>
          <w:i w:val="0"/>
          <w:color w:val="5B595A"/>
          <w:sz w:val="20"/>
        </w:rPr>
        <w:t>The following documents must be included with or accompany every delivery:</w:t>
      </w:r>
    </w:p>
    <w:tbl>
      <w:tblPr>
        <w:tblW w:type="auto" w:w="0"/>
        <w:jc w:val="left"/>
        <w:tblLook w:firstColumn="1" w:firstRow="1" w:lastColumn="0" w:lastRow="0" w:noHBand="0" w:noVBand="1" w:val="04A0"/>
        <w:tblW w:w="9070" w:type="dxa"/>
      </w:tblPr>
      <w:tblGrid>
        <w:gridCol w:w="3118"/>
        <w:gridCol w:w="2834"/>
        <w:gridCol w:w="3118"/>
      </w:tblGrid>
      <w:tblGrid>
        <w:gridCol w:w="3009"/>
        <w:gridCol w:w="3009"/>
        <w:gridCol w:w="3009"/>
      </w:tblGrid>
      <w:tr>
        <w:tc>
          <w:tcPr>
            <w:tcW w:type="dxa" w:w="3009"/>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Document</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Required For</w:t>
            </w:r>
          </w:p>
        </w:tc>
        <w:tc>
          <w:tcPr>
            <w:tcW w:type="dxa" w:w="3009"/>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Provided With Delivery?</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Delivery Note</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All deliveries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Certificate of Conformity</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All deliveries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Material Certificates (BS EN 10204)</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All metal items; level as specified</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Completed ITP (signed)</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QC1, QC2, QC3 contracts</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 or at contract close per QP</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NDT Reports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Where NDT was specified</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Dimensional Inspection Reports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Where specified by customer or QP</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Test Certificates (pressure test, etc.)</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Where specified</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Weld Records</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Where welding was carried out</w:t>
            </w:r>
          </w:p>
        </w:tc>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Yes</w:t>
            </w:r>
          </w:p>
        </w:tc>
      </w:tr>
    </w:tbl>
    <w:p>
      <w:pPr>
        <w:spacing w:after="40"/>
      </w:pPr>
    </w:p>
    <w:p>
      <w:r>
        <w:br w:type="page"/>
      </w:r>
    </w:p>
    <w:p>
      <w:pPr>
        <w:shd w:val="clear" w:color="auto" w:fill="009FE3"/>
        <w:spacing w:before="280" w:after="120"/>
      </w:pPr>
      <w:r>
        <w:rPr>
          <w:rFonts w:ascii="Arial" w:hAnsi="Arial"/>
          <w:b/>
          <w:color w:val="FFFFFF"/>
          <w:sz w:val="28"/>
        </w:rPr>
        <w:t>7. Cross-Contamination and Mix-Up Prevention</w:t>
      </w:r>
    </w:p>
    <w:p>
      <w:pPr>
        <w:spacing w:before="40" w:after="40"/>
      </w:pPr>
      <w:r>
        <w:rPr>
          <w:rFonts w:ascii="Arial" w:hAnsi="Arial"/>
          <w:b w:val="0"/>
          <w:i w:val="0"/>
          <w:color w:val="5B595A"/>
          <w:sz w:val="20"/>
        </w:rPr>
        <w:t>Cross-contamination of materials (for example, mixing stainless steel and carbon steel, or mixing different alloy grades) can have serious consequences in nuclear applications. The following controls must be in place at all times:</w:t>
      </w:r>
    </w:p>
    <w:p>
      <w:pPr>
        <w:pStyle w:val="ListBullet"/>
        <w:spacing w:before="20" w:after="20"/>
      </w:pPr>
      <w:r>
        <w:rPr>
          <w:rFonts w:ascii="Arial" w:hAnsi="Arial"/>
          <w:color w:val="5B595A"/>
          <w:sz w:val="20"/>
        </w:rPr>
        <w:t>Different material grades must be stored in clearly labelled, physically separate storage locations.</w:t>
      </w:r>
    </w:p>
    <w:p>
      <w:pPr>
        <w:pStyle w:val="ListBullet"/>
        <w:spacing w:before="20" w:after="20"/>
      </w:pPr>
      <w:r>
        <w:rPr>
          <w:rFonts w:ascii="Arial" w:hAnsi="Arial"/>
          <w:color w:val="5B595A"/>
          <w:sz w:val="20"/>
        </w:rPr>
        <w:t>Stainless steel must be stored and processed separately from carbon steel at all times. Grinding discs, wire brushes, and tooling used on carbon steel must not be used on stainless steel.</w:t>
      </w:r>
    </w:p>
    <w:p>
      <w:pPr>
        <w:pStyle w:val="ListBullet"/>
        <w:spacing w:before="20" w:after="20"/>
      </w:pPr>
      <w:r>
        <w:rPr>
          <w:rFonts w:ascii="Arial" w:hAnsi="Arial"/>
          <w:color w:val="5B595A"/>
          <w:sz w:val="20"/>
        </w:rPr>
        <w:t>Titanium, aluminium, and other special alloys must have designated storage areas clearly identified.</w:t>
      </w:r>
    </w:p>
    <w:p>
      <w:pPr>
        <w:pStyle w:val="ListBullet"/>
        <w:spacing w:before="20" w:after="20"/>
      </w:pPr>
      <w:r>
        <w:rPr>
          <w:rFonts w:ascii="Arial" w:hAnsi="Arial"/>
          <w:color w:val="5B595A"/>
          <w:sz w:val="20"/>
        </w:rPr>
        <w:t>Tools and equipment used with one material grade must not be used with another grade without cleaning and authorisation from the Quality Manager.</w:t>
      </w:r>
    </w:p>
    <w:p>
      <w:pPr>
        <w:pStyle w:val="ListBullet"/>
        <w:spacing w:before="20" w:after="20"/>
      </w:pPr>
      <w:r>
        <w:rPr>
          <w:rFonts w:ascii="Arial" w:hAnsi="Arial"/>
          <w:color w:val="5B595A"/>
          <w:sz w:val="20"/>
        </w:rPr>
        <w:t>Positive Material Identification (PMI) may be required for high-risk materials. Confirm with the Quality Manager whether PMI is specified in the contract.</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Material mix-up is one of the most common causes of quality failures in engineering manufacturing. A single mixed material can result in the rejection of an entire batch and significant programme and cost impact. The investment in disciplined storage and identification is far less than the cost of a material mix-up investigation.</w:t>
            </w:r>
          </w:p>
        </w:tc>
      </w:tr>
    </w:tbl>
    <w:p>
      <w:pPr>
        <w:spacing w:after="40"/>
      </w:pPr>
    </w:p>
    <w:p>
      <w:pPr>
        <w:shd w:val="clear" w:color="auto" w:fill="009FE3"/>
        <w:spacing w:before="280" w:after="120"/>
      </w:pPr>
      <w:r>
        <w:rPr>
          <w:rFonts w:ascii="Arial" w:hAnsi="Arial"/>
          <w:b/>
          <w:color w:val="FFFFFF"/>
          <w:sz w:val="28"/>
        </w:rPr>
        <w:t>8. Procedure Review and Improvement</w:t>
      </w:r>
    </w:p>
    <w:p>
      <w:pPr>
        <w:spacing w:before="40" w:after="40"/>
      </w:pPr>
      <w:r>
        <w:rPr>
          <w:rFonts w:ascii="Arial" w:hAnsi="Arial"/>
          <w:b w:val="0"/>
          <w:i w:val="0"/>
          <w:color w:val="5B595A"/>
          <w:sz w:val="20"/>
        </w:rPr>
        <w:t>This procedure is reviewed annually by the Quality Manager, or following any traceability failure, customer complaint, or audit finding. Lessons learned from traceability events are recorded in the NCR log and fed into the next review.</w:t>
      </w:r>
    </w:p>
    <w:p>
      <w:pPr>
        <w:spacing w:before="40" w:after="40"/>
      </w:pPr>
      <w:r>
        <w:rPr>
          <w:rFonts w:ascii="Arial" w:hAnsi="Arial"/>
          <w:b w:val="0"/>
          <w:i w:val="0"/>
          <w:color w:val="5B595A"/>
          <w:sz w:val="20"/>
        </w:rPr>
        <w:t>Evidence of traceability system compliance is reviewed at every internal QMS audit. Any audit findings relating to traceability must be corrected within the timescale agreed at the audit.</w:t>
      </w:r>
    </w:p>
    <w:p>
      <w:pPr>
        <w:spacing w:after="40"/>
      </w:pPr>
    </w:p>
    <w:tbl>
      <w:tblPr>
        <w:tblW w:type="auto" w:w="0"/>
        <w:jc w:val="left"/>
        <w:tblLook w:firstColumn="1" w:firstRow="1" w:lastColumn="0" w:lastRow="0" w:noHBand="0" w:noVBand="1" w:val="04A0"/>
        <w:tblW w:w="8640" w:type="dxa"/>
      </w:tblPr>
      <w:tblGrid>
        <w:gridCol w:w="9026"/>
      </w:tblGrid>
      <w:tr>
        <w:tc>
          <w:tcPr>
            <w:tcW w:type="dxa" w:w="9026"/>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This document is the property of [Company Name] and is classified as Commercial in Confidence. It must not be shared externally without written authorisation from the Quality Manager.</w:t>
            </w:r>
          </w:p>
        </w:tc>
      </w:tr>
    </w:tbl>
    <w:p>
      <w:pPr>
        <w:spacing w:after="40"/>
      </w:pPr>
    </w:p>
    <w:sectPr w:rsidR="00FC693F" w:rsidRPr="0006063C" w:rsidSect="00034616">
      <w:headerReference w:type="default" r:id="rId9"/>
      <w:footerReference w:type="default" r:id="rId10"/>
      <w:pgSz w:w="11906" w:h="16838"/>
      <w:pgMar w:top="1440" w:right="1440" w:bottom="1440" w:left="144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48FF03F-5234-4418-8907-63F835EEF3E6}"/>
</file>

<file path=customXml/itemProps3.xml><?xml version="1.0" encoding="utf-8"?>
<ds:datastoreItem xmlns:ds="http://schemas.openxmlformats.org/officeDocument/2006/customXml" ds:itemID="{E5B1A77C-AB4D-48C9-B1B9-56A73CE0412F}"/>
</file>

<file path=customXml/itemProps4.xml><?xml version="1.0" encoding="utf-8"?>
<ds:datastoreItem xmlns:ds="http://schemas.openxmlformats.org/officeDocument/2006/customXml" ds:itemID="{11E493D5-39E7-4528-82C9-2115126094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QHSE-TNC-01 Traceability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