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09FE3"/>
        <w:spacing w:before="80" w:after="40"/>
        <w:jc w:val="center"/>
      </w:pPr>
      <w:r>
        <w:rPr>
          <w:rFonts w:ascii="Arial" w:hAnsi="Arial"/>
          <w:b/>
          <w:color w:val="FFFFFF"/>
          <w:sz w:val="32"/>
        </w:rPr>
        <w:t>QUALITY AND HSE DOCUMENT QUICK REFERENCE GUIDE</w:t>
      </w:r>
    </w:p>
    <w:p>
      <w:pPr>
        <w:shd w:val="clear" w:color="auto" w:fill="83348F"/>
        <w:spacing w:before="0" w:after="120"/>
        <w:jc w:val="center"/>
      </w:pPr>
      <w:r>
        <w:rPr>
          <w:rFonts w:ascii="Arial" w:hAnsi="Arial"/>
          <w:color w:val="FFFFFF"/>
          <w:sz w:val="20"/>
        </w:rPr>
        <w:t>Which document do I use, and when?  |  For every stage from goods receipt to despatch</w:t>
      </w:r>
    </w:p>
    <w:tbl>
      <w:tblPr>
        <w:tblW w:type="auto" w:w="0"/>
        <w:jc w:val="left"/>
        <w:tblLook w:firstColumn="1" w:firstRow="1" w:lastColumn="0" w:lastRow="0" w:noHBand="0" w:noVBand="1" w:val="04A0"/>
        <w:tblW w:w="15023" w:type="dxa"/>
      </w:tblPr>
      <w:tblGrid>
        <w:gridCol w:w="2503"/>
        <w:gridCol w:w="2503"/>
        <w:gridCol w:w="2503"/>
        <w:gridCol w:w="2503"/>
        <w:gridCol w:w="2503"/>
        <w:gridCol w:w="2503"/>
      </w:tblGrid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2523"/>
            <w:shd w:val="clear" w:color="auto" w:fill="009FE3"/>
            <w:tcBorders>
              <w:top w:val="single" w:sz="6" w:space="0" w:color="009FE3"/>
              <w:left w:val="single" w:sz="6" w:space="0" w:color="009FE3"/>
              <w:bottom w:val="single" w:sz="6" w:space="0" w:color="009FE3"/>
              <w:right w:val="single" w:sz="6" w:space="0" w:color="009FE3"/>
            </w:tcBorders>
            <w:tcW w:w="2503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GOODS RECEIPT</w:t>
            </w:r>
          </w:p>
        </w:tc>
        <w:tc>
          <w:tcPr>
            <w:tcW w:type="dxa" w:w="2523"/>
            <w:shd w:val="clear" w:color="auto" w:fill="83348F"/>
            <w:tcBorders>
              <w:top w:val="single" w:sz="6" w:space="0" w:color="83348F"/>
              <w:left w:val="single" w:sz="6" w:space="0" w:color="83348F"/>
              <w:bottom w:val="single" w:sz="6" w:space="0" w:color="83348F"/>
              <w:right w:val="single" w:sz="6" w:space="0" w:color="83348F"/>
            </w:tcBorders>
            <w:tcW w:w="2503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MANUFACTURE</w:t>
            </w:r>
          </w:p>
        </w:tc>
        <w:tc>
          <w:tcPr>
            <w:tcW w:type="dxa" w:w="2523"/>
            <w:shd w:val="clear" w:color="auto" w:fill="009FE3"/>
            <w:tcBorders>
              <w:top w:val="single" w:sz="6" w:space="0" w:color="009FE3"/>
              <w:left w:val="single" w:sz="6" w:space="0" w:color="009FE3"/>
              <w:bottom w:val="single" w:sz="6" w:space="0" w:color="009FE3"/>
              <w:right w:val="single" w:sz="6" w:space="0" w:color="009FE3"/>
            </w:tcBorders>
            <w:tcW w:w="2503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INSPECTION</w:t>
            </w:r>
          </w:p>
        </w:tc>
        <w:tc>
          <w:tcPr>
            <w:tcW w:type="dxa" w:w="2523"/>
            <w:shd w:val="clear" w:color="auto" w:fill="83348F"/>
            <w:tcBorders>
              <w:top w:val="single" w:sz="6" w:space="0" w:color="83348F"/>
              <w:left w:val="single" w:sz="6" w:space="0" w:color="83348F"/>
              <w:bottom w:val="single" w:sz="6" w:space="0" w:color="83348F"/>
              <w:right w:val="single" w:sz="6" w:space="0" w:color="83348F"/>
            </w:tcBorders>
            <w:tcW w:w="2503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NON-CONFORMANCE</w:t>
            </w:r>
          </w:p>
        </w:tc>
        <w:tc>
          <w:tcPr>
            <w:tcW w:type="dxa" w:w="2523"/>
            <w:shd w:val="clear" w:color="auto" w:fill="009FE3"/>
            <w:tcBorders>
              <w:top w:val="single" w:sz="6" w:space="0" w:color="009FE3"/>
              <w:left w:val="single" w:sz="6" w:space="0" w:color="009FE3"/>
              <w:bottom w:val="single" w:sz="6" w:space="0" w:color="009FE3"/>
              <w:right w:val="single" w:sz="6" w:space="0" w:color="009FE3"/>
            </w:tcBorders>
            <w:tcW w:w="2503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DESPATCH</w:t>
            </w:r>
          </w:p>
        </w:tc>
        <w:tc>
          <w:tcPr>
            <w:tcW w:type="dxa" w:w="2523"/>
            <w:shd w:val="clear" w:color="auto" w:fill="83348F"/>
            <w:tcBorders>
              <w:top w:val="single" w:sz="6" w:space="0" w:color="83348F"/>
              <w:left w:val="single" w:sz="6" w:space="0" w:color="83348F"/>
              <w:bottom w:val="single" w:sz="6" w:space="0" w:color="83348F"/>
              <w:right w:val="single" w:sz="6" w:space="0" w:color="83348F"/>
            </w:tcBorders>
            <w:tcW w:w="2503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CFSI / TRACEABILITY</w:t>
            </w:r>
          </w:p>
        </w:tc>
      </w:tr>
      <w:tr>
        <w:tc>
          <w:tcPr>
            <w:tcW w:type="dxa" w:w="2503"/>
            <w:tcW w:w="2503" w:type="dxa"/>
            <w:shd w:val="clear" w:color="auto" w:fill="E6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09FE3"/>
                <w:sz w:val="18"/>
              </w:rPr>
              <w:t>SUPP-03</w:t>
              <w:br/>
            </w:r>
            <w:r>
              <w:rPr>
                <w:rFonts w:ascii="Arial" w:hAnsi="Arial"/>
                <w:b/>
                <w:color w:val="5B595A"/>
                <w:sz w:val="18"/>
              </w:rPr>
              <w:t>Goods Receipt Inspection Checklist</w:t>
              <w:br/>
            </w:r>
            <w:r>
              <w:rPr>
                <w:rFonts w:ascii="Arial" w:hAnsi="Arial"/>
                <w:i/>
                <w:color w:val="808080"/>
                <w:sz w:val="16"/>
              </w:rPr>
              <w:t>Complete for every incoming delivery</w:t>
            </w:r>
          </w:p>
        </w:tc>
        <w:tc>
          <w:tcPr>
            <w:tcW w:type="dxa" w:w="2503"/>
            <w:tcW w:w="2503" w:type="dxa"/>
            <w:shd w:val="clear" w:color="auto" w:fill="F5EB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09FE3"/>
                <w:sz w:val="18"/>
              </w:rPr>
              <w:t>QHSE-QP-02</w:t>
              <w:br/>
            </w:r>
            <w:r>
              <w:rPr>
                <w:rFonts w:ascii="Arial" w:hAnsi="Arial"/>
                <w:b/>
                <w:color w:val="5B595A"/>
                <w:sz w:val="18"/>
              </w:rPr>
              <w:t>Inspection and Test Plan (ITP)</w:t>
              <w:br/>
            </w:r>
            <w:r>
              <w:rPr>
                <w:rFonts w:ascii="Arial" w:hAnsi="Arial"/>
                <w:i/>
                <w:color w:val="808080"/>
                <w:sz w:val="16"/>
              </w:rPr>
              <w:t>Follow for every nuclear-classified job</w:t>
            </w:r>
          </w:p>
        </w:tc>
        <w:tc>
          <w:tcPr>
            <w:tcW w:type="dxa" w:w="2503"/>
            <w:tcW w:w="2503" w:type="dxa"/>
            <w:shd w:val="clear" w:color="auto" w:fill="E6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09FE3"/>
                <w:sz w:val="18"/>
              </w:rPr>
              <w:t>QHSE-QP-02</w:t>
              <w:br/>
            </w:r>
            <w:r>
              <w:rPr>
                <w:rFonts w:ascii="Arial" w:hAnsi="Arial"/>
                <w:b/>
                <w:color w:val="5B595A"/>
                <w:sz w:val="18"/>
              </w:rPr>
              <w:t>ITP Activity Sheet</w:t>
              <w:br/>
            </w:r>
            <w:r>
              <w:rPr>
                <w:rFonts w:ascii="Arial" w:hAnsi="Arial"/>
                <w:i/>
                <w:color w:val="808080"/>
                <w:sz w:val="16"/>
              </w:rPr>
              <w:t>Sign off hold / witness points</w:t>
            </w:r>
          </w:p>
        </w:tc>
        <w:tc>
          <w:tcPr>
            <w:tcW w:type="dxa" w:w="2503"/>
            <w:tcW w:w="2503" w:type="dxa"/>
            <w:shd w:val="clear" w:color="auto" w:fill="F5EB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09FE3"/>
                <w:sz w:val="18"/>
              </w:rPr>
              <w:t>QHSE-TNC-03 Sheet 1</w:t>
              <w:br/>
            </w:r>
            <w:r>
              <w:rPr>
                <w:rFonts w:ascii="Arial" w:hAnsi="Arial"/>
                <w:b/>
                <w:color w:val="5B595A"/>
                <w:sz w:val="18"/>
              </w:rPr>
              <w:t>NCR Log</w:t>
              <w:br/>
            </w:r>
            <w:r>
              <w:rPr>
                <w:rFonts w:ascii="Arial" w:hAnsi="Arial"/>
                <w:i/>
                <w:color w:val="808080"/>
                <w:sz w:val="16"/>
              </w:rPr>
              <w:t>Log every non-conformance raised</w:t>
            </w:r>
          </w:p>
        </w:tc>
        <w:tc>
          <w:tcPr>
            <w:tcW w:type="dxa" w:w="2503"/>
            <w:tcW w:w="2503" w:type="dxa"/>
            <w:shd w:val="clear" w:color="auto" w:fill="E6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09FE3"/>
                <w:sz w:val="18"/>
              </w:rPr>
              <w:t>SUPP-05</w:t>
              <w:br/>
            </w:r>
            <w:r>
              <w:rPr>
                <w:rFonts w:ascii="Arial" w:hAnsi="Arial"/>
                <w:b/>
                <w:color w:val="5B595A"/>
                <w:sz w:val="18"/>
              </w:rPr>
              <w:t>Certificate of Conformity</w:t>
              <w:br/>
            </w:r>
            <w:r>
              <w:rPr>
                <w:rFonts w:ascii="Arial" w:hAnsi="Arial"/>
                <w:i/>
                <w:color w:val="808080"/>
                <w:sz w:val="16"/>
              </w:rPr>
              <w:t>Issue with every delivery</w:t>
            </w:r>
          </w:p>
        </w:tc>
        <w:tc>
          <w:tcPr>
            <w:tcW w:type="dxa" w:w="2503"/>
            <w:tcW w:w="2503" w:type="dxa"/>
            <w:shd w:val="clear" w:color="auto" w:fill="F5EB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09FE3"/>
                <w:sz w:val="18"/>
              </w:rPr>
              <w:t>QHSE-TNC-04</w:t>
              <w:br/>
            </w:r>
            <w:r>
              <w:rPr>
                <w:rFonts w:ascii="Arial" w:hAnsi="Arial"/>
                <w:b/>
                <w:color w:val="5B595A"/>
                <w:sz w:val="18"/>
              </w:rPr>
              <w:t>CFSI Procedure</w:t>
              <w:br/>
            </w:r>
            <w:r>
              <w:rPr>
                <w:rFonts w:ascii="Arial" w:hAnsi="Arial"/>
                <w:i/>
                <w:color w:val="808080"/>
                <w:sz w:val="16"/>
              </w:rPr>
              <w:t>Follow if CFSI is suspected</w:t>
            </w:r>
          </w:p>
        </w:tc>
      </w:tr>
      <w:tr>
        <w:tc>
          <w:tcPr>
            <w:tcW w:type="dxa" w:w="2503"/>
            <w:tcW w:w="2503" w:type="dxa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09FE3"/>
                <w:sz w:val="18"/>
              </w:rPr>
              <w:t>QHSE-TNC-02 Sheet 1</w:t>
              <w:br/>
            </w:r>
            <w:r>
              <w:rPr>
                <w:rFonts w:ascii="Arial" w:hAnsi="Arial"/>
                <w:b/>
                <w:color w:val="5B595A"/>
                <w:sz w:val="18"/>
              </w:rPr>
              <w:t>Material Register</w:t>
              <w:br/>
            </w:r>
            <w:r>
              <w:rPr>
                <w:rFonts w:ascii="Arial" w:hAnsi="Arial"/>
                <w:i/>
                <w:color w:val="808080"/>
                <w:sz w:val="16"/>
              </w:rPr>
              <w:t>Log every material received</w:t>
            </w:r>
          </w:p>
        </w:tc>
        <w:tc>
          <w:tcPr>
            <w:tcW w:type="dxa" w:w="2503"/>
            <w:tcW w:w="2503" w:type="dxa"/>
            <w:shd w:val="clear" w:color="auto" w:fill="EEEE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09FE3"/>
                <w:sz w:val="18"/>
              </w:rPr>
              <w:t>QHSE-TNC-02 Sheet 2</w:t>
              <w:br/>
            </w:r>
            <w:r>
              <w:rPr>
                <w:rFonts w:ascii="Arial" w:hAnsi="Arial"/>
                <w:b/>
                <w:color w:val="5B595A"/>
                <w:sz w:val="18"/>
              </w:rPr>
              <w:t>WIP Traveller Log</w:t>
              <w:br/>
            </w:r>
            <w:r>
              <w:rPr>
                <w:rFonts w:ascii="Arial" w:hAnsi="Arial"/>
                <w:i/>
                <w:color w:val="808080"/>
                <w:sz w:val="16"/>
              </w:rPr>
              <w:t>Track every job through manufacture</w:t>
            </w:r>
          </w:p>
        </w:tc>
        <w:tc>
          <w:tcPr>
            <w:tcW w:type="dxa" w:w="2503"/>
            <w:tcW w:w="2503" w:type="dxa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09FE3"/>
                <w:sz w:val="18"/>
              </w:rPr>
              <w:t>QHSE-TNC-02 Sheet 4</w:t>
              <w:br/>
            </w:r>
            <w:r>
              <w:rPr>
                <w:rFonts w:ascii="Arial" w:hAnsi="Arial"/>
                <w:b/>
                <w:color w:val="5B595A"/>
                <w:sz w:val="18"/>
              </w:rPr>
              <w:t>Quarantine Log</w:t>
              <w:br/>
            </w:r>
            <w:r>
              <w:rPr>
                <w:rFonts w:ascii="Arial" w:hAnsi="Arial"/>
                <w:i/>
                <w:color w:val="808080"/>
                <w:sz w:val="16"/>
              </w:rPr>
              <w:t>Log any quarantined item</w:t>
            </w:r>
          </w:p>
        </w:tc>
        <w:tc>
          <w:tcPr>
            <w:tcW w:type="dxa" w:w="2503"/>
            <w:tcW w:w="2503" w:type="dxa"/>
            <w:shd w:val="clear" w:color="auto" w:fill="EEEE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09FE3"/>
                <w:sz w:val="18"/>
              </w:rPr>
              <w:t>QHSE-TNC-03 Sheet 2</w:t>
              <w:br/>
            </w:r>
            <w:r>
              <w:rPr>
                <w:rFonts w:ascii="Arial" w:hAnsi="Arial"/>
                <w:b/>
                <w:color w:val="5B595A"/>
                <w:sz w:val="18"/>
              </w:rPr>
              <w:t>NCR Form</w:t>
              <w:br/>
            </w:r>
            <w:r>
              <w:rPr>
                <w:rFonts w:ascii="Arial" w:hAnsi="Arial"/>
                <w:i/>
                <w:color w:val="808080"/>
                <w:sz w:val="16"/>
              </w:rPr>
              <w:t>Complete for every NCR</w:t>
            </w:r>
          </w:p>
        </w:tc>
        <w:tc>
          <w:tcPr>
            <w:tcW w:type="dxa" w:w="2503"/>
            <w:tcW w:w="2503" w:type="dxa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09FE3"/>
                <w:sz w:val="18"/>
              </w:rPr>
              <w:t>QHSE-QP-01 Section 12</w:t>
              <w:br/>
            </w:r>
            <w:r>
              <w:rPr>
                <w:rFonts w:ascii="Arial" w:hAnsi="Arial"/>
                <w:b/>
                <w:color w:val="5B595A"/>
                <w:sz w:val="18"/>
              </w:rPr>
              <w:t>LQR Checklist</w:t>
              <w:br/>
            </w:r>
            <w:r>
              <w:rPr>
                <w:rFonts w:ascii="Arial" w:hAnsi="Arial"/>
                <w:i/>
                <w:color w:val="808080"/>
                <w:sz w:val="16"/>
              </w:rPr>
              <w:t>Confirm records complete before release</w:t>
            </w:r>
          </w:p>
        </w:tc>
        <w:tc>
          <w:tcPr>
            <w:tcW w:type="dxa" w:w="2503"/>
            <w:tcW w:w="2503" w:type="dxa"/>
            <w:shd w:val="clear" w:color="auto" w:fill="EEEE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09FE3"/>
                <w:sz w:val="18"/>
              </w:rPr>
              <w:t>QHSE-TNC-01</w:t>
              <w:br/>
            </w:r>
            <w:r>
              <w:rPr>
                <w:rFonts w:ascii="Arial" w:hAnsi="Arial"/>
                <w:b/>
                <w:color w:val="5B595A"/>
                <w:sz w:val="18"/>
              </w:rPr>
              <w:t>Traceability Procedure</w:t>
              <w:br/>
            </w:r>
            <w:r>
              <w:rPr>
                <w:rFonts w:ascii="Arial" w:hAnsi="Arial"/>
                <w:i/>
                <w:color w:val="808080"/>
                <w:sz w:val="16"/>
              </w:rPr>
              <w:t>Reference for all traceability rules</w:t>
            </w:r>
          </w:p>
        </w:tc>
      </w:tr>
      <w:tr>
        <w:tc>
          <w:tcPr>
            <w:tcW w:type="dxa" w:w="2503"/>
            <w:tcW w:w="2503" w:type="dxa"/>
            <w:shd w:val="clear" w:color="auto" w:fill="E6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09FE3"/>
                <w:sz w:val="18"/>
              </w:rPr>
              <w:t>QHSE-TNC-02 Sheet 5</w:t>
              <w:br/>
            </w:r>
            <w:r>
              <w:rPr>
                <w:rFonts w:ascii="Arial" w:hAnsi="Arial"/>
                <w:b/>
                <w:color w:val="5B595A"/>
                <w:sz w:val="18"/>
              </w:rPr>
              <w:t>GR Inspection Record</w:t>
              <w:br/>
            </w:r>
            <w:r>
              <w:rPr>
                <w:rFonts w:ascii="Arial" w:hAnsi="Arial"/>
                <w:i/>
                <w:color w:val="808080"/>
                <w:sz w:val="16"/>
              </w:rPr>
              <w:t>Record cert verification and CFSI check</w:t>
            </w:r>
          </w:p>
        </w:tc>
        <w:tc>
          <w:tcPr>
            <w:tcW w:type="dxa" w:w="2503"/>
            <w:tcW w:w="2503" w:type="dxa"/>
            <w:shd w:val="clear" w:color="auto" w:fill="F5EB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09FE3"/>
                <w:sz w:val="18"/>
              </w:rPr>
              <w:t>QHSE-TNC-02 Sheet 3</w:t>
              <w:br/>
            </w:r>
            <w:r>
              <w:rPr>
                <w:rFonts w:ascii="Arial" w:hAnsi="Arial"/>
                <w:b/>
                <w:color w:val="5B595A"/>
                <w:sz w:val="18"/>
              </w:rPr>
              <w:t>Offcut Register</w:t>
              <w:br/>
            </w:r>
            <w:r>
              <w:rPr>
                <w:rFonts w:ascii="Arial" w:hAnsi="Arial"/>
                <w:i/>
                <w:color w:val="808080"/>
                <w:sz w:val="16"/>
              </w:rPr>
              <w:t>Log every offcut kept for reuse</w:t>
            </w:r>
          </w:p>
        </w:tc>
        <w:tc>
          <w:tcPr>
            <w:tcW w:type="dxa" w:w="2503"/>
            <w:tcW w:w="2503" w:type="dxa"/>
            <w:shd w:val="clear" w:color="auto" w:fill="E6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09FE3"/>
                <w:sz w:val="18"/>
              </w:rPr>
              <w:t>SUPP-01</w:t>
              <w:br/>
            </w:r>
            <w:r>
              <w:rPr>
                <w:rFonts w:ascii="Arial" w:hAnsi="Arial"/>
                <w:b/>
                <w:color w:val="5B595A"/>
                <w:sz w:val="18"/>
              </w:rPr>
              <w:t>Status Tags</w:t>
              <w:br/>
            </w:r>
            <w:r>
              <w:rPr>
                <w:rFonts w:ascii="Arial" w:hAnsi="Arial"/>
                <w:i/>
                <w:color w:val="808080"/>
                <w:sz w:val="16"/>
              </w:rPr>
              <w:t>Apply correct tag to every item</w:t>
            </w:r>
          </w:p>
        </w:tc>
        <w:tc>
          <w:tcPr>
            <w:tcW w:type="dxa" w:w="2503"/>
            <w:tcW w:w="2503" w:type="dxa"/>
            <w:shd w:val="clear" w:color="auto" w:fill="F5EB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09FE3"/>
                <w:sz w:val="18"/>
              </w:rPr>
              <w:t>QHSE-TNC-03 Sheet 3</w:t>
              <w:br/>
            </w:r>
            <w:r>
              <w:rPr>
                <w:rFonts w:ascii="Arial" w:hAnsi="Arial"/>
                <w:b/>
                <w:color w:val="5B595A"/>
                <w:sz w:val="18"/>
              </w:rPr>
              <w:t>RCA and Corrective Action Tracker</w:t>
              <w:br/>
            </w:r>
            <w:r>
              <w:rPr>
                <w:rFonts w:ascii="Arial" w:hAnsi="Arial"/>
                <w:i/>
                <w:color w:val="808080"/>
                <w:sz w:val="16"/>
              </w:rPr>
              <w:t>Track root cause and actions</w:t>
            </w:r>
          </w:p>
        </w:tc>
        <w:tc>
          <w:tcPr>
            <w:tcW w:type="dxa" w:w="2503"/>
            <w:tcW w:w="2503" w:type="dxa"/>
            <w:shd w:val="clear" w:color="auto" w:fill="E6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09FE3"/>
                <w:sz w:val="18"/>
              </w:rPr>
              <w:t>SUPP-07</w:t>
              <w:br/>
            </w:r>
            <w:r>
              <w:rPr>
                <w:rFonts w:ascii="Arial" w:hAnsi="Arial"/>
                <w:b/>
                <w:color w:val="5B595A"/>
                <w:sz w:val="18"/>
              </w:rPr>
              <w:t>Operative Briefing Record</w:t>
              <w:br/>
            </w:r>
            <w:r>
              <w:rPr>
                <w:rFonts w:ascii="Arial" w:hAnsi="Arial"/>
                <w:i/>
                <w:color w:val="808080"/>
                <w:sz w:val="16"/>
              </w:rPr>
              <w:t>File as part of the job record</w:t>
            </w:r>
          </w:p>
        </w:tc>
        <w:tc>
          <w:tcPr>
            <w:tcW w:type="dxa" w:w="2503"/>
            <w:tcW w:w="2503" w:type="dxa"/>
            <w:shd w:val="clear" w:color="auto" w:fill="F5EB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09FE3"/>
                <w:sz w:val="18"/>
              </w:rPr>
              <w:t>SUPP-06</w:t>
              <w:br/>
            </w:r>
            <w:r>
              <w:rPr>
                <w:rFonts w:ascii="Arial" w:hAnsi="Arial"/>
                <w:b/>
                <w:color w:val="5B595A"/>
                <w:sz w:val="18"/>
              </w:rPr>
              <w:t>Supplier CAR (SCAR)</w:t>
              <w:br/>
            </w:r>
            <w:r>
              <w:rPr>
                <w:rFonts w:ascii="Arial" w:hAnsi="Arial"/>
                <w:i/>
                <w:color w:val="808080"/>
                <w:sz w:val="16"/>
              </w:rPr>
              <w:t>Issue to supplier for quality failures</w:t>
            </w:r>
          </w:p>
        </w:tc>
      </w:tr>
    </w:tbl>
    <w:p>
      <w:pPr>
        <w:spacing w:after="60"/>
      </w:pPr>
    </w:p>
    <w:p>
      <w:pPr>
        <w:shd w:val="clear" w:color="auto" w:fill="009FE3"/>
        <w:spacing w:before="80" w:after="40"/>
      </w:pPr>
      <w:r>
        <w:rPr>
          <w:rFonts w:ascii="Arial" w:hAnsi="Arial"/>
          <w:b/>
          <w:color w:val="FFFFFF"/>
          <w:sz w:val="22"/>
        </w:rPr>
        <w:t>STATUS TAGS QUICK REFERENCE</w:t>
      </w:r>
    </w:p>
    <w:tbl>
      <w:tblPr>
        <w:tblW w:type="auto" w:w="0"/>
        <w:jc w:val="left"/>
        <w:tblLook w:firstColumn="1" w:firstRow="1" w:lastColumn="0" w:lastRow="0" w:noHBand="0" w:noVBand="1" w:val="04A0"/>
        <w:tblW w:w="15023" w:type="dxa"/>
      </w:tblPr>
      <w:tblGrid>
        <w:gridCol w:w="3004"/>
        <w:gridCol w:w="3004"/>
        <w:gridCol w:w="3004"/>
        <w:gridCol w:w="3004"/>
        <w:gridCol w:w="3004"/>
      </w:tblGrid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CC0000"/>
            <w:tcBorders>
              <w:top w:val="single" w:sz="6" w:space="0" w:color="CC0000"/>
              <w:left w:val="single" w:sz="6" w:space="0" w:color="CC0000"/>
              <w:bottom w:val="single" w:sz="6" w:space="0" w:color="CC0000"/>
              <w:right w:val="single" w:sz="6" w:space="0" w:color="CC0000"/>
            </w:tcBorders>
            <w:tcW w:w="3004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RED TAG</w:t>
              <w:br/>
            </w:r>
            <w:r>
              <w:rPr>
                <w:rFonts w:ascii="Arial" w:hAnsi="Arial"/>
                <w:b/>
                <w:color w:val="FFFFFF"/>
                <w:sz w:val="18"/>
              </w:rPr>
              <w:t>NON-CONFORMING ITEM</w:t>
              <w:br/>
            </w:r>
            <w:r>
              <w:rPr>
                <w:rFonts w:ascii="Arial" w:hAnsi="Arial"/>
                <w:i/>
                <w:color w:val="FFFFFF"/>
                <w:sz w:val="16"/>
              </w:rPr>
              <w:t>Apply immediately. No work without QM disposition.</w:t>
            </w:r>
          </w:p>
        </w:tc>
        <w:tc>
          <w:tcPr>
            <w:tcW w:type="dxa" w:w="3028"/>
            <w:shd w:val="clear" w:color="auto" w:fill="CC8800"/>
            <w:tcBorders>
              <w:top w:val="single" w:sz="6" w:space="0" w:color="CC8800"/>
              <w:left w:val="single" w:sz="6" w:space="0" w:color="CC8800"/>
              <w:bottom w:val="single" w:sz="6" w:space="0" w:color="CC8800"/>
              <w:right w:val="single" w:sz="6" w:space="0" w:color="CC8800"/>
            </w:tcBorders>
            <w:tcW w:w="3004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YELLOW TAG</w:t>
              <w:br/>
            </w:r>
            <w:r>
              <w:rPr>
                <w:rFonts w:ascii="Arial" w:hAnsi="Arial"/>
                <w:b/>
                <w:color w:val="FFFFFF"/>
                <w:sz w:val="18"/>
              </w:rPr>
              <w:t>RETAINED OFFCUT</w:t>
              <w:br/>
            </w:r>
            <w:r>
              <w:rPr>
                <w:rFonts w:ascii="Arial" w:hAnsi="Arial"/>
                <w:i/>
                <w:color w:val="FFFFFF"/>
                <w:sz w:val="16"/>
              </w:rPr>
              <w:t>Heat no., grade, cert ref, date, name. Before moving.</w:t>
            </w:r>
          </w:p>
        </w:tc>
        <w:tc>
          <w:tcPr>
            <w:tcW w:type="dxa" w:w="3028"/>
            <w:shd w:val="clear" w:color="auto" w:fill="CC4400"/>
            <w:tcBorders>
              <w:top w:val="single" w:sz="6" w:space="0" w:color="CC4400"/>
              <w:left w:val="single" w:sz="6" w:space="0" w:color="CC4400"/>
              <w:bottom w:val="single" w:sz="6" w:space="0" w:color="CC4400"/>
              <w:right w:val="single" w:sz="6" w:space="0" w:color="CC4400"/>
            </w:tcBorders>
            <w:tcW w:w="3004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ORANGE TAG</w:t>
              <w:br/>
            </w:r>
            <w:r>
              <w:rPr>
                <w:rFonts w:ascii="Arial" w:hAnsi="Arial"/>
                <w:b/>
                <w:color w:val="FFFFFF"/>
                <w:sz w:val="18"/>
              </w:rPr>
              <w:t>CFSI SUSPECT</w:t>
              <w:br/>
            </w:r>
            <w:r>
              <w:rPr>
                <w:rFonts w:ascii="Arial" w:hAnsi="Arial"/>
                <w:i/>
                <w:color w:val="FFFFFF"/>
                <w:sz w:val="16"/>
              </w:rPr>
              <w:t>Quarantine. Notify QM within 30 mins. Lock away.</w:t>
            </w:r>
          </w:p>
        </w:tc>
        <w:tc>
          <w:tcPr>
            <w:tcW w:type="dxa" w:w="3028"/>
            <w:shd w:val="clear" w:color="auto" w:fill="005B8E"/>
            <w:tcBorders>
              <w:top w:val="single" w:sz="6" w:space="0" w:color="005B8E"/>
              <w:left w:val="single" w:sz="6" w:space="0" w:color="005B8E"/>
              <w:bottom w:val="single" w:sz="6" w:space="0" w:color="005B8E"/>
              <w:right w:val="single" w:sz="6" w:space="0" w:color="005B8E"/>
            </w:tcBorders>
            <w:tcW w:w="3004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BLUE TAG</w:t>
              <w:br/>
            </w:r>
            <w:r>
              <w:rPr>
                <w:rFonts w:ascii="Arial" w:hAnsi="Arial"/>
                <w:b/>
                <w:color w:val="FFFFFF"/>
                <w:sz w:val="18"/>
              </w:rPr>
              <w:t>AWAITING INSPECTION</w:t>
              <w:br/>
            </w:r>
            <w:r>
              <w:rPr>
                <w:rFonts w:ascii="Arial" w:hAnsi="Arial"/>
                <w:i/>
                <w:color w:val="FFFFFF"/>
                <w:sz w:val="16"/>
              </w:rPr>
              <w:t>Do not use until inspector signs release.</w:t>
            </w:r>
          </w:p>
        </w:tc>
        <w:tc>
          <w:tcPr>
            <w:tcW w:type="dxa" w:w="3028"/>
            <w:shd w:val="clear" w:color="auto" w:fill="2E7D32"/>
            <w:tcBorders>
              <w:top w:val="single" w:sz="6" w:space="0" w:color="2E7D32"/>
              <w:left w:val="single" w:sz="6" w:space="0" w:color="2E7D32"/>
              <w:bottom w:val="single" w:sz="6" w:space="0" w:color="2E7D32"/>
              <w:right w:val="single" w:sz="6" w:space="0" w:color="2E7D32"/>
            </w:tcBorders>
            <w:tcW w:w="3004" w:type="dxa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GREEN TAG</w:t>
              <w:br/>
            </w:r>
            <w:r>
              <w:rPr>
                <w:rFonts w:ascii="Arial" w:hAnsi="Arial"/>
                <w:b/>
                <w:color w:val="FFFFFF"/>
                <w:sz w:val="18"/>
              </w:rPr>
              <w:t>INSPECTED AND RELEASED</w:t>
              <w:br/>
            </w:r>
            <w:r>
              <w:rPr>
                <w:rFonts w:ascii="Arial" w:hAnsi="Arial"/>
                <w:i/>
                <w:color w:val="FFFFFF"/>
                <w:sz w:val="16"/>
              </w:rPr>
              <w:t>Cleared by Quality Inspector. Safe to proceed.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/>
      <w:pgMar w:top="1020" w:right="850" w:bottom="1020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spacing w:before="60" w:after="0"/>
      <w:pBdr>
        <w:top w:val="single" w:sz="6" w:space="1" w:color="29ABE2"/>
      </w:pBdr>
    </w:pPr>
    <w:r>
      <w:rPr>
        <w:rFonts w:ascii="Calibri" w:hAnsi="Calibri"/>
        <w:sz w:val="14"/>
        <w:color w:val="58595B"/>
      </w:rPr>
      <w:t xml:space="preserve">NucCol | Nuclear Collaboration Ltd  ·  Fit For Nuclear Programme  ·  Commercial in Confidence    |    Page </w:t>
    </w:r>
    <w:r>
      <w:rPr>
        <w:rFonts w:ascii="Calibri" w:hAnsi="Calibri"/>
        <w:sz w:val="14"/>
        <w:color w:val="58595B"/>
      </w:rPr>
      <w:fldChar w:fldCharType="begin"/>
      <w:instrText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pBdr>
        <w:bottom w:val="single" w:sz="12" w:space="1" w:color="29ABE2"/>
      </w:pBdr>
    </w:pPr>
  </w:p>
  <w:tbl>
    <w:tblPr>
      <w:tblW w:type="auto" w:w="0"/>
      <w:tblLook w:firstColumn="1" w:firstRow="1" w:lastColumn="0" w:lastRow="0" w:noHBand="0" w:noVBand="1" w:val="04A0"/>
      <w:tblBorders>
        <w:top w:val="none" w:sz="0" w:color="auto"/>
        <w:left w:val="none" w:sz="0" w:color="auto"/>
        <w:bottom w:val="none" w:sz="0" w:color="auto"/>
        <w:right w:val="none" w:sz="0" w:color="auto"/>
        <w:insideH w:val="none" w:sz="0" w:color="auto"/>
        <w:insideV w:val="none" w:sz="0" w:color="auto"/>
      </w:tblBorders>
    </w:tblPr>
    <w:tblGrid>
      <w:gridCol w:w="5400"/>
      <w:gridCol w:w="5400"/>
    </w:tblGrid>
    <w:tr>
      <w:tc>
        <w:tcPr>
          <w:tcW w:type="dxa" w:w="1440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</w:tcPr>
        <w:p>
          <w:pPr>
            <w:spacing w:before="0"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75488" cy="47548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nuccol_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5488" cy="47548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9360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</w:tcPr>
        <w:p>
          <w:pPr>
            <w:spacing w:before="0" w:after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72561" cy="32004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f4n_logo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2561" cy="32004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9ABE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7B2D8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9ABE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53F6056AA6464A99729F79B34ECED9" ma:contentTypeVersion="15" ma:contentTypeDescription="Create a new document." ma:contentTypeScope="" ma:versionID="5f61f7f6e9ac7af992ae58f204f4a905">
  <xsd:schema xmlns:xsd="http://www.w3.org/2001/XMLSchema" xmlns:xs="http://www.w3.org/2001/XMLSchema" xmlns:p="http://schemas.microsoft.com/office/2006/metadata/properties" xmlns:ns2="ecb9c8fd-b149-4da5-ae47-4cb2a6f921f7" xmlns:ns3="a57c75ee-0d51-4c06-b83a-21883992ef88" targetNamespace="http://schemas.microsoft.com/office/2006/metadata/properties" ma:root="true" ma:fieldsID="5bd49160a10d99efc7c2a57519ff9fe8" ns2:_="" ns3:_="">
    <xsd:import namespace="ecb9c8fd-b149-4da5-ae47-4cb2a6f921f7"/>
    <xsd:import namespace="a57c75ee-0d51-4c06-b83a-21883992ef88"/>
    <xsd:element name="properties">
      <xsd:complexType>
        <xsd:sequence>
          <xsd:element name="documentManagement">
            <xsd:complexType>
              <xsd:all>
                <xsd:element ref="ns2:MigrationSource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Billing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b9c8fd-b149-4da5-ae47-4cb2a6f921f7" elementFormDefault="qualified">
    <xsd:import namespace="http://schemas.microsoft.com/office/2006/documentManagement/types"/>
    <xsd:import namespace="http://schemas.microsoft.com/office/infopath/2007/PartnerControls"/>
    <xsd:element name="MigrationSourceID" ma:index="8" nillable="true" ma:displayName="MigrationSourceID" ma:internalName="MigrationSourceID" ma:readOnly="true">
      <xsd:simpleType>
        <xsd:restriction base="dms:Text"/>
      </xsd:simpleType>
    </xsd:element>
    <xsd:element name="TaxCatchAll" ma:index="20" nillable="true" ma:displayName="Taxonomy Catch All Column" ma:hidden="true" ma:list="{3bbffa37-1fb4-4f8b-a66f-2651692f13f0}" ma:internalName="TaxCatchAll" ma:showField="CatchAllData" ma:web="ecb9c8fd-b149-4da5-ae47-4cb2a6f921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7c75ee-0d51-4c06-b83a-21883992ef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323488a-041b-479c-b98c-53326eeb9f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cb9c8fd-b149-4da5-ae47-4cb2a6f921f7" xsi:nil="true"/>
    <lcf76f155ced4ddcb4097134ff3c332f xmlns="a57c75ee-0d51-4c06-b83a-21883992ef8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B0A0D8D-2171-42CB-91B9-BD63891005DB}"/>
</file>

<file path=customXml/itemProps3.xml><?xml version="1.0" encoding="utf-8"?>
<ds:datastoreItem xmlns:ds="http://schemas.openxmlformats.org/officeDocument/2006/customXml" ds:itemID="{04477153-9BF1-4C90-A9D7-7E626BE29F9F}"/>
</file>

<file path=customXml/itemProps4.xml><?xml version="1.0" encoding="utf-8"?>
<ds:datastoreItem xmlns:ds="http://schemas.openxmlformats.org/officeDocument/2006/customXml" ds:itemID="{24F165B9-7741-4742-85BA-38E1B2F75B8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SUPP-08 Quick Reference Guide</dc:title>
  <dc:creator>John Hilton-Brammer</dc:creator>
  <cp:lastModifiedBy>John Hilton-Brammer</cp:lastModifiedBy>
  <dcterms:created xsi:type="dcterms:W3CDTF">2026-07-01T07:45:32Z</dcterms:created>
  <dcterms:modified xsi:type="dcterms:W3CDTF">2026-07-01T07:45:32Z</dcterms:modified>
  <cp:category>Fit For Nuclear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0x0101002453F6056AA6464A99729F79B34ECED9</vt:lpwstr>
  </property>
</Properties>
</file>