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80" w:before="80"/>
      </w:pPr>
      <w:r>
        <w:t xml:space="preserve"/>
      </w:r>
    </w:p>
    <w:p>
      <w:pPr>
        <w:spacing w:after="80" w:before="8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600"/>
        <w:jc w:val="center"/>
      </w:pPr>
      <w:r>
        <w:rPr>
          <w:rFonts w:ascii="Arial" w:cs="Arial" w:eastAsia="Arial" w:hAnsi="Arial"/>
          <w:b/>
          <w:bCs/>
          <w:color w:val="FFFFFF"/>
          <w:sz w:val="40"/>
          <w:szCs w:val="40"/>
        </w:rPr>
        <w:t xml:space="preserve">NUCLEAR HUMAN PERFORMANCE</w:t>
      </w:r>
    </w:p>
    <w:p>
      <w:pPr>
        <w:shd w:fill="83348F" w:val="clear"/>
        <w:spacing w:after="0" w:before="0"/>
        <w:jc w:val="center"/>
      </w:pPr>
      <w:r>
        <w:rPr>
          <w:rFonts w:ascii="Arial" w:cs="Arial" w:eastAsia="Arial" w:hAnsi="Arial"/>
          <w:b/>
          <w:bCs/>
          <w:color w:val="FFFFFF"/>
          <w:sz w:val="30"/>
          <w:szCs w:val="30"/>
        </w:rPr>
        <w:t xml:space="preserve">Training Guide</w:t>
      </w:r>
    </w:p>
    <w:p>
      <w:pPr>
        <w:spacing w:after="80" w:before="80"/>
      </w:pPr>
      <w:r>
        <w:t xml:space="preserve"/>
      </w:r>
    </w:p>
    <w:p>
      <w:pPr>
        <w:spacing w:after="80" w:before="80"/>
      </w:pPr>
      <w:r>
        <w:t xml:space="preserve"/>
      </w:r>
    </w:p>
    <w:p>
      <w:pPr>
        <w:spacing w:after="80" w:before="360"/>
        <w:jc w:val="center"/>
      </w:pPr>
      <w:r>
        <w:rPr>
          <w:rFonts w:ascii="Arial" w:cs="Arial" w:eastAsia="Arial" w:hAnsi="Arial"/>
          <w:b/>
          <w:bCs/>
          <w:color w:val="5B595A"/>
          <w:sz w:val="24"/>
          <w:szCs w:val="24"/>
        </w:rPr>
        <w:t xml:space="preserve">NSS-05a</w:t>
      </w:r>
    </w:p>
    <w:p>
      <w:pPr>
        <w:spacing w:after="80" w:before="0"/>
        <w:jc w:val="center"/>
      </w:pPr>
      <w:r>
        <w:rPr>
          <w:rFonts w:ascii="Arial" w:cs="Arial" w:eastAsia="Arial" w:hAnsi="Arial"/>
          <w:color w:val="5B595A"/>
          <w:sz w:val="22"/>
          <w:szCs w:val="22"/>
        </w:rPr>
        <w:t xml:space="preserve">Nuclear Sector Specific Programme</w:t>
      </w:r>
    </w:p>
    <w:p>
      <w:pPr>
        <w:spacing w:after="80" w:before="0"/>
        <w:jc w:val="center"/>
      </w:pPr>
      <w:r>
        <w:rPr>
          <w:rFonts w:ascii="Arial" w:cs="Arial" w:eastAsia="Arial" w:hAnsi="Arial"/>
          <w:b/>
          <w:bCs/>
          <w:color w:val="009FE3"/>
          <w:sz w:val="22"/>
          <w:szCs w:val="22"/>
        </w:rPr>
        <w:t xml:space="preserve">Delivered by NucCol</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p>
      <w:pPr>
        <w:pStyle w:val="Heading1"/>
        <w:spacing w:after="120" w:before="320"/>
      </w:pPr>
      <w:r>
        <w:rPr>
          <w:rFonts w:ascii="Arial" w:cs="Arial" w:eastAsia="Arial" w:hAnsi="Arial"/>
          <w:b/>
          <w:bCs/>
          <w:color w:val="29ABE2"/>
          <w:sz w:val="36"/>
          <w:szCs w:val="36"/>
        </w:rPr>
        <w:t xml:space="preserve">Introduction</w:t>
      </w:r>
    </w:p>
    <w:p>
      <w:pPr>
        <w:spacing w:after="80" w:before="60"/>
      </w:pPr>
      <w:r>
        <w:rPr>
          <w:rFonts w:ascii="Arial" w:cs="Arial" w:eastAsia="Arial" w:hAnsi="Arial"/>
          <w:color w:val="5B595A"/>
          <w:sz w:val="22"/>
          <w:szCs w:val="22"/>
        </w:rPr>
        <w:t xml:space="preserve">This guide provides a comprehensive introduction to Human Performance (HP) in the nuclear supply chain. It covers what HP means, why it matters, how the nuclear sector thinks about human error, the error traps that make mistakes more likely, and the seven core HP tools that supply chain organisations are expected to understand and apply on nuclear work.</w:t>
      </w:r>
    </w:p>
    <w:p>
      <w:pPr>
        <w:spacing w:after="80" w:before="60"/>
      </w:pPr>
      <w:r>
        <w:rPr>
          <w:rFonts w:ascii="Arial" w:cs="Arial" w:eastAsia="Arial" w:hAnsi="Arial"/>
          <w:color w:val="5B595A"/>
          <w:sz w:val="22"/>
          <w:szCs w:val="22"/>
        </w:rPr>
        <w:t xml:space="preserve">Human performance is not a soft topic. It is one of the most rigorously assessed areas in the F4N Nuclear Sector Specific element because nuclear clients and ONR know from decades of operating experience that the majority of significant nuclear events involve a human performance failure at some point in the causal chain. Understanding and managing that risk is a core expectation of every organisation working in the nuclear supply chain, not just nuclear operators.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THIS RELATES TO BE PEOPLE EXCELLENCE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The BE People Excellence suite covers generic training records, skills matrices, appraisals, employee development, and general SQEP awareness. This guide does not repeat that content. It covers what the nuclear sector specifically adds: the HP tools framework from INPO 12-012, nuclear error precursors, pre-job briefing for safety-significant tasks, authorisation processes for nuclear activities, and fatigue and fitness for duty. Use both suites together.</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Learning Outcomes</w:t>
      </w:r>
    </w:p>
    <w:p>
      <w:pPr>
        <w:pStyle w:val="ListParagraph"/>
        <w:numPr>
          <w:ilvl w:val="0"/>
          <w:numId w:val="2"/>
        </w:numPr>
        <w:spacing w:after="40" w:before="40"/>
      </w:pPr>
      <w:r>
        <w:rPr>
          <w:rFonts w:ascii="Arial" w:cs="Arial" w:eastAsia="Arial" w:hAnsi="Arial"/>
          <w:b w:val="false"/>
          <w:bCs w:val="false"/>
          <w:color w:val="5B595A"/>
          <w:sz w:val="22"/>
          <w:szCs w:val="22"/>
        </w:rPr>
        <w:t xml:space="preserve">Explain what Human Performance means in a nuclear supply chain context and why it differs from generic H&amp;S</w:t>
      </w:r>
    </w:p>
    <w:p>
      <w:pPr>
        <w:pStyle w:val="ListParagraph"/>
        <w:numPr>
          <w:ilvl w:val="0"/>
          <w:numId w:val="2"/>
        </w:numPr>
        <w:spacing w:after="40" w:before="40"/>
      </w:pPr>
      <w:r>
        <w:rPr>
          <w:rFonts w:ascii="Arial" w:cs="Arial" w:eastAsia="Arial" w:hAnsi="Arial"/>
          <w:b w:val="false"/>
          <w:bCs w:val="false"/>
          <w:color w:val="5B595A"/>
          <w:sz w:val="22"/>
          <w:szCs w:val="22"/>
        </w:rPr>
        <w:t xml:space="preserve">Describe the three levels at which HP is managed: individual, leader, and organisation</w:t>
      </w:r>
    </w:p>
    <w:p>
      <w:pPr>
        <w:pStyle w:val="ListParagraph"/>
        <w:numPr>
          <w:ilvl w:val="0"/>
          <w:numId w:val="2"/>
        </w:numPr>
        <w:spacing w:after="40" w:before="40"/>
      </w:pPr>
      <w:r>
        <w:rPr>
          <w:rFonts w:ascii="Arial" w:cs="Arial" w:eastAsia="Arial" w:hAnsi="Arial"/>
          <w:b w:val="false"/>
          <w:bCs w:val="false"/>
          <w:color w:val="5B595A"/>
          <w:sz w:val="22"/>
          <w:szCs w:val="22"/>
        </w:rPr>
        <w:t xml:space="preserve">Identify the most common nuclear error traps and precursors, and explain why they increase error likelihood</w:t>
      </w:r>
    </w:p>
    <w:p>
      <w:pPr>
        <w:pStyle w:val="ListParagraph"/>
        <w:numPr>
          <w:ilvl w:val="0"/>
          <w:numId w:val="2"/>
        </w:numPr>
        <w:spacing w:after="40" w:before="40"/>
      </w:pPr>
      <w:r>
        <w:rPr>
          <w:rFonts w:ascii="Arial" w:cs="Arial" w:eastAsia="Arial" w:hAnsi="Arial"/>
          <w:b w:val="false"/>
          <w:bCs w:val="false"/>
          <w:color w:val="5B595A"/>
          <w:sz w:val="22"/>
          <w:szCs w:val="22"/>
        </w:rPr>
        <w:t xml:space="preserve">Describe each of the seven core HP tools and explain when and how to use them</w:t>
      </w:r>
    </w:p>
    <w:p>
      <w:pPr>
        <w:pStyle w:val="ListParagraph"/>
        <w:numPr>
          <w:ilvl w:val="0"/>
          <w:numId w:val="2"/>
        </w:numPr>
        <w:spacing w:after="40" w:before="40"/>
      </w:pPr>
      <w:r>
        <w:rPr>
          <w:rFonts w:ascii="Arial" w:cs="Arial" w:eastAsia="Arial" w:hAnsi="Arial"/>
          <w:b w:val="false"/>
          <w:bCs w:val="false"/>
          <w:color w:val="5B595A"/>
          <w:sz w:val="22"/>
          <w:szCs w:val="22"/>
        </w:rPr>
        <w:t xml:space="preserve">Explain the purpose and structure of a nuclear pre-job briefing</w:t>
      </w:r>
    </w:p>
    <w:p>
      <w:pPr>
        <w:pStyle w:val="ListParagraph"/>
        <w:numPr>
          <w:ilvl w:val="0"/>
          <w:numId w:val="2"/>
        </w:numPr>
        <w:spacing w:after="40" w:before="40"/>
      </w:pPr>
      <w:r>
        <w:rPr>
          <w:rFonts w:ascii="Arial" w:cs="Arial" w:eastAsia="Arial" w:hAnsi="Arial"/>
          <w:b w:val="false"/>
          <w:bCs w:val="false"/>
          <w:color w:val="5B595A"/>
          <w:sz w:val="22"/>
          <w:szCs w:val="22"/>
        </w:rPr>
        <w:t xml:space="preserve">Describe what stop-work authority means and why it is a fundamental HP tool</w:t>
      </w:r>
    </w:p>
    <w:p>
      <w:pPr>
        <w:pStyle w:val="ListParagraph"/>
        <w:numPr>
          <w:ilvl w:val="0"/>
          <w:numId w:val="2"/>
        </w:numPr>
        <w:spacing w:after="40" w:before="40"/>
      </w:pPr>
      <w:r>
        <w:rPr>
          <w:rFonts w:ascii="Arial" w:cs="Arial" w:eastAsia="Arial" w:hAnsi="Arial"/>
          <w:b w:val="false"/>
          <w:bCs w:val="false"/>
          <w:color w:val="5B595A"/>
          <w:sz w:val="22"/>
          <w:szCs w:val="22"/>
        </w:rPr>
        <w:t xml:space="preserve">Explain how nuclear competence management and authorisation differ from generic training sign-off</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1: WHAT IS HUMAN PERFORMANCE IN NUCLEAR?</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1.1 The Definition</w:t>
      </w:r>
    </w:p>
    <w:p>
      <w:pPr>
        <w:spacing w:after="80" w:before="60"/>
      </w:pPr>
      <w:r>
        <w:rPr>
          <w:rFonts w:ascii="Arial" w:cs="Arial" w:eastAsia="Arial" w:hAnsi="Arial"/>
          <w:color w:val="5B595A"/>
          <w:sz w:val="22"/>
          <w:szCs w:val="22"/>
        </w:rPr>
        <w:t xml:space="preserve">Human Performance (HP) is a discipline that recognises humans as both the greatest asset and the greatest source of risk in any safety-critical operation. It is a series of behaviours, mental models, and organisational systems designed to minimise the likelihood of human error contributing to a nuclear safety event.</w:t>
      </w:r>
    </w:p>
    <w:p>
      <w:pPr>
        <w:spacing w:after="80" w:before="60"/>
      </w:pPr>
      <w:r>
        <w:rPr>
          <w:rFonts w:ascii="Arial" w:cs="Arial" w:eastAsia="Arial" w:hAnsi="Arial"/>
          <w:color w:val="5B595A"/>
          <w:sz w:val="22"/>
          <w:szCs w:val="22"/>
        </w:rPr>
        <w:t xml:space="preserve">The nuclear sector's approach to HP, developed primarily through INPO (the Institute of Nuclear Power Operations) and adopted internationally through WANO, is built on a fundamental premise: humans are fallible, and even the best-trained, most experienced, most motivated individuals make mistakes. The purpose of HP is not to eliminate humans from the equation, but to design tasks, environments, and behaviours so that errors are caught before they cause harm.</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CORE INSIGHT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HP does not try to stop people making mistakes. It accepts that mistakes happen and builds multiple lines of defence to catch errors before they have consequences. This is why pre-job briefings, peer checks, and self-checks are not bureaucratic overheads. They are the barriers between an individual mistake and a nuclear safety event.</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1.2 HP in the Nuclear Supply Chain</w:t>
      </w:r>
    </w:p>
    <w:p>
      <w:pPr>
        <w:spacing w:after="80" w:before="60"/>
      </w:pPr>
      <w:r>
        <w:rPr>
          <w:rFonts w:ascii="Arial" w:cs="Arial" w:eastAsia="Arial" w:hAnsi="Arial"/>
          <w:color w:val="5B595A"/>
          <w:sz w:val="22"/>
          <w:szCs w:val="22"/>
        </w:rPr>
        <w:t xml:space="preserve">HP was developed primarily in nuclear operating environments. Supply chain organisations applying it are extending the same discipline to manufacture, fabrication, inspection, testing, and service provision. The stakes are the same: a human error in a supply chain process that produces a defective component can ultimately reach the nuclear facility and contribute to a safety event.</w:t>
      </w:r>
    </w:p>
    <w:p>
      <w:pPr>
        <w:spacing w:after="80" w:before="60"/>
      </w:pPr>
      <w:r>
        <w:rPr>
          <w:rFonts w:ascii="Arial" w:cs="Arial" w:eastAsia="Arial" w:hAnsi="Arial"/>
          <w:color w:val="5B595A"/>
          <w:sz w:val="22"/>
          <w:szCs w:val="22"/>
        </w:rPr>
        <w:t xml:space="preserve">For supply chain organisations, HP is most relevant in:</w:t>
      </w:r>
    </w:p>
    <w:p>
      <w:pPr>
        <w:pStyle w:val="ListParagraph"/>
        <w:numPr>
          <w:ilvl w:val="0"/>
          <w:numId w:val="2"/>
        </w:numPr>
        <w:spacing w:after="40" w:before="40"/>
      </w:pPr>
      <w:r>
        <w:rPr>
          <w:rFonts w:ascii="Arial" w:cs="Arial" w:eastAsia="Arial" w:hAnsi="Arial"/>
          <w:b w:val="false"/>
          <w:bCs w:val="false"/>
          <w:color w:val="5B595A"/>
          <w:sz w:val="22"/>
          <w:szCs w:val="22"/>
        </w:rPr>
        <w:t xml:space="preserve">Safety-significant manufacturing and fabrication processes (welding, machining, assembly on Grade 1/2 components)</w:t>
      </w:r>
    </w:p>
    <w:p>
      <w:pPr>
        <w:pStyle w:val="ListParagraph"/>
        <w:numPr>
          <w:ilvl w:val="0"/>
          <w:numId w:val="2"/>
        </w:numPr>
        <w:spacing w:after="40" w:before="40"/>
      </w:pPr>
      <w:r>
        <w:rPr>
          <w:rFonts w:ascii="Arial" w:cs="Arial" w:eastAsia="Arial" w:hAnsi="Arial"/>
          <w:b w:val="false"/>
          <w:bCs w:val="false"/>
          <w:color w:val="5B595A"/>
          <w:sz w:val="22"/>
          <w:szCs w:val="22"/>
        </w:rPr>
        <w:t xml:space="preserve">Inspection and test activities where a missed finding could pass a defective item into service</w:t>
      </w:r>
    </w:p>
    <w:p>
      <w:pPr>
        <w:pStyle w:val="ListParagraph"/>
        <w:numPr>
          <w:ilvl w:val="0"/>
          <w:numId w:val="2"/>
        </w:numPr>
        <w:spacing w:after="40" w:before="40"/>
      </w:pPr>
      <w:r>
        <w:rPr>
          <w:rFonts w:ascii="Arial" w:cs="Arial" w:eastAsia="Arial" w:hAnsi="Arial"/>
          <w:b w:val="false"/>
          <w:bCs w:val="false"/>
          <w:color w:val="5B595A"/>
          <w:sz w:val="22"/>
          <w:szCs w:val="22"/>
        </w:rPr>
        <w:t xml:space="preserve">Document and record management where errors can corrupt the quality record and the traceability chain</w:t>
      </w:r>
    </w:p>
    <w:p>
      <w:pPr>
        <w:pStyle w:val="ListParagraph"/>
        <w:numPr>
          <w:ilvl w:val="0"/>
          <w:numId w:val="2"/>
        </w:numPr>
        <w:spacing w:after="40" w:before="40"/>
      </w:pPr>
      <w:r>
        <w:rPr>
          <w:rFonts w:ascii="Arial" w:cs="Arial" w:eastAsia="Arial" w:hAnsi="Arial"/>
          <w:b w:val="false"/>
          <w:bCs w:val="false"/>
          <w:color w:val="5B595A"/>
          <w:sz w:val="22"/>
          <w:szCs w:val="22"/>
        </w:rPr>
        <w:t xml:space="preserve">Goods receipt and CFSI inspection where a failure allows suspect items into the nuclear supply chain</w:t>
      </w:r>
    </w:p>
    <w:p>
      <w:pPr>
        <w:pStyle w:val="ListParagraph"/>
        <w:numPr>
          <w:ilvl w:val="0"/>
          <w:numId w:val="2"/>
        </w:numPr>
        <w:spacing w:after="40" w:before="40"/>
      </w:pPr>
      <w:r>
        <w:rPr>
          <w:rFonts w:ascii="Arial" w:cs="Arial" w:eastAsia="Arial" w:hAnsi="Arial"/>
          <w:b w:val="false"/>
          <w:bCs w:val="false"/>
          <w:color w:val="5B595A"/>
          <w:sz w:val="22"/>
          <w:szCs w:val="22"/>
        </w:rPr>
        <w:t xml:space="preserve">Any activity covered by a nuclear hold or witness point, where a mistake cannot be easily corrected after the fact</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1.3 The Three Levels of Human Performance Management</w:t>
      </w:r>
    </w:p>
    <w:p>
      <w:pPr>
        <w:spacing w:after="80" w:before="60"/>
      </w:pPr>
      <w:r>
        <w:rPr>
          <w:rFonts w:ascii="Arial" w:cs="Arial" w:eastAsia="Arial" w:hAnsi="Arial"/>
          <w:color w:val="5B595A"/>
          <w:sz w:val="22"/>
          <w:szCs w:val="22"/>
        </w:rPr>
        <w:t xml:space="preserve">INPO 12-012 defines HP management across three levels, each with distinct responsibilities: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rPr>
          <w:tblHeader/>
        </w:trPr>
        <w:tc>
          <w:tcPr>
            <w:tcW w:type="dxa" w:w="14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Who Is Responsible</w:t>
            </w:r>
          </w:p>
        </w:tc>
        <w:tc>
          <w:tcPr>
            <w:tcW w:type="dxa" w:w="56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What They Do for HP</w:t>
            </w:r>
          </w:p>
        </w:tc>
      </w:tr>
      <w:tr>
        <w:tc>
          <w:tcPr>
            <w:tcW w:type="dxa" w:w="14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r>
              <w:rPr>
                <w:rFonts w:ascii="Arial" w:cs="Arial" w:eastAsia="Arial" w:hAnsi="Arial"/>
                <w:b/>
                <w:bCs/>
                <w:color w:val="5B595A"/>
                <w:sz w:val="19"/>
                <w:szCs w:val="19"/>
              </w:rPr>
              <w:t xml:space="preserve">Individual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Every person performing nuclear work</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Uses HP tools on every safety-significant task. Maintains a questioning attitude. Uses stop-work authority when uncertain. Self-checks and accepts peer checks without defensiveness.</w:t>
            </w:r>
          </w:p>
        </w:tc>
      </w:tr>
      <w:tr>
        <w:tc>
          <w:tcPr>
            <w:tcW w:type="dxa" w:w="140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rFonts w:ascii="Arial" w:cs="Arial" w:eastAsia="Arial" w:hAnsi="Arial"/>
                <w:b/>
                <w:bCs/>
                <w:color w:val="5B595A"/>
                <w:sz w:val="19"/>
                <w:szCs w:val="19"/>
              </w:rPr>
              <w:t xml:space="preserve">Leader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Supervisors, managers, quality leads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Conducts pre-job briefings. Observes HP tool use and coaches. Sets the standard by modelling HP behaviours. Creates conditions where stopping work is respected, not penalised.</w:t>
            </w:r>
          </w:p>
        </w:tc>
      </w:tr>
      <w:tr>
        <w:tc>
          <w:tcPr>
            <w:tcW w:type="dxa" w:w="1400"/>
            <w:tcBorders>
              <w:top w:val="single" w:color="CCCCCC" w:sz="1"/>
              <w:left w:val="single" w:color="CCCCCC" w:sz="1"/>
              <w:bottom w:val="single" w:color="CCCCCC" w:sz="1"/>
              <w:right w:val="single" w:color="CCCCCC" w:sz="1"/>
            </w:tcBorders>
            <w:shd w:fill="D6EEF8" w:val="clear"/>
            <w:tcMar>
              <w:top w:type="dxa" w:w="80"/>
              <w:left w:type="dxa" w:w="120"/>
              <w:bottom w:type="dxa" w:w="80"/>
              <w:right w:type="dxa" w:w="120"/>
            </w:tcMar>
          </w:tcPr>
          <w:p>
            <w:r>
              <w:rPr>
                <w:rFonts w:ascii="Arial" w:cs="Arial" w:eastAsia="Arial" w:hAnsi="Arial"/>
                <w:b/>
                <w:bCs/>
                <w:color w:val="5B595A"/>
                <w:sz w:val="19"/>
                <w:szCs w:val="19"/>
              </w:rPr>
              <w:t xml:space="preserve">Organisation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Directors, quality managers, the QMS</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Defines HP requirements. Provides training and authorisation. Maintains competence records. Monitors HP performance through observation and event review. Learns from near misses.</w:t>
            </w:r>
          </w:p>
        </w:tc>
      </w:tr>
    </w:tbl>
    <w:p>
      <w:pPr>
        <w:spacing w:after="80" w:before="80"/>
      </w:pPr>
      <w:r>
        <w:t xml:space="preserve"/>
      </w:r>
    </w:p>
    <w:p>
      <w:pPr>
        <w:spacing w:after="80" w:before="60"/>
      </w:pPr>
      <w:r>
        <w:rPr>
          <w:rFonts w:ascii="Arial" w:cs="Arial" w:eastAsia="Arial" w:hAnsi="Arial"/>
          <w:color w:val="5B595A"/>
          <w:sz w:val="22"/>
          <w:szCs w:val="22"/>
        </w:rPr>
        <w:t xml:space="preserve">A weakness at any one level undermines the others. An individual who uses HP tools diligently but works in an organisation that punishes stop-work calls will stop using them. An organisation with excellent HP procedures but leaders who skip pre-job briefings under time pressure will find procedures ignored on the floor.</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2: NUCLEAR ERROR TRAPS AND PRECURSORS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2.1 Why Humans Make Mistakes</w:t>
      </w:r>
    </w:p>
    <w:p>
      <w:pPr>
        <w:spacing w:after="80" w:before="60"/>
      </w:pPr>
      <w:r>
        <w:rPr>
          <w:rFonts w:ascii="Arial" w:cs="Arial" w:eastAsia="Arial" w:hAnsi="Arial"/>
          <w:color w:val="5B595A"/>
          <w:sz w:val="22"/>
          <w:szCs w:val="22"/>
        </w:rPr>
        <w:t xml:space="preserve">The nuclear HP framework does not treat errors as character failings. It treats them as predictable outcomes of conditions that make errors more likely. These conditions are called error traps or error precursors. Recognising them before and during a task is the first step in preventing the error.</w:t>
      </w:r>
    </w:p>
    <w:p>
      <w:pPr>
        <w:spacing w:after="80" w:before="60"/>
      </w:pPr>
      <w:r>
        <w:rPr>
          <w:rFonts w:ascii="Arial" w:cs="Arial" w:eastAsia="Arial" w:hAnsi="Arial"/>
          <w:color w:val="5B595A"/>
          <w:sz w:val="22"/>
          <w:szCs w:val="22"/>
        </w:rPr>
        <w:t xml:space="preserve">Research from the nuclear industry, aviation, and high-reliability organisations consistently shows that the same error precursors appear repeatedly in event investigations. Understanding them is the foundation of HP awareness.</w:t>
      </w:r>
    </w:p>
    <w:p>
      <w:pPr>
        <w:spacing w:after="80" w:before="80"/>
      </w:pPr>
      <w:r>
        <w:t xml:space="preserve"/>
      </w:r>
    </w:p>
    <w:p>
      <w:pPr>
        <w:spacing w:after="60" w:before="180"/>
      </w:pPr>
      <w:r>
        <w:rPr>
          <w:rFonts w:ascii="Arial" w:cs="Arial" w:eastAsia="Arial" w:hAnsi="Arial"/>
          <w:b/>
          <w:bCs/>
          <w:color w:val="83348F"/>
          <w:sz w:val="24"/>
          <w:szCs w:val="24"/>
        </w:rPr>
        <w:t xml:space="preserve">The Most Common Nuclear Error Precursors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1"/>
              <w:left w:val="single" w:color="CC0000" w:sz="1"/>
              <w:bottom w:val="single" w:color="CC0000" w:sz="1"/>
              <w:right w:val="single" w:color="CC0000" w:sz="1"/>
            </w:tcBorders>
            <w:shd w:fill="8B0000" w:val="clear"/>
            <w:tcMar>
              <w:top w:type="dxa" w:w="70"/>
              <w:left w:type="dxa" w:w="140"/>
              <w:bottom w:type="dxa" w:w="70"/>
              <w:right w:type="dxa" w:w="140"/>
            </w:tcMar>
          </w:tcPr>
          <w:p>
            <w:r>
              <w:rPr>
                <w:rFonts w:ascii="Arial" w:cs="Arial" w:eastAsia="Arial" w:hAnsi="Arial"/>
                <w:b/>
                <w:bCs/>
                <w:color w:val="FFFFFF"/>
                <w:sz w:val="20"/>
                <w:szCs w:val="20"/>
              </w:rPr>
              <w:t xml:space="preserve">TIME PRESSURE</w:t>
            </w:r>
          </w:p>
        </w:tc>
      </w:tr>
      <w:tr>
        <w:tc>
          <w:tcPr>
            <w:tcBorders>
              <w:top w:val="single" w:color="CCCCCC" w:sz="1"/>
              <w:left w:val="single" w:color="CC0000" w:sz="1"/>
              <w:bottom w:val="single" w:color="CCCCCC" w:sz="1"/>
              <w:right w:val="single" w:color="CC0000" w:sz="1"/>
            </w:tcBorders>
            <w:shd w:fill="FBE8E8" w:val="clear"/>
            <w:tcMar>
              <w:top w:type="dxa" w:w="70"/>
              <w:left w:type="dxa" w:w="140"/>
              <w:bottom w:type="dxa" w:w="70"/>
              <w:right w:type="dxa" w:w="140"/>
            </w:tcMar>
          </w:tcPr>
          <w:p>
            <w:pPr>
              <w:spacing w:after="30" w:before="0"/>
            </w:pPr>
            <w:r>
              <w:rPr>
                <w:rFonts w:ascii="Arial" w:cs="Arial" w:eastAsia="Arial" w:hAnsi="Arial"/>
                <w:color w:val="5B595A"/>
                <w:sz w:val="19"/>
                <w:szCs w:val="19"/>
              </w:rPr>
              <w:t xml:space="preserve">When a task must be completed quickly, corners get cut, steps get skipped, and checks get abbreviated. Time pressure is the single most commonly cited error precursor in nuclear event investigations.</w:t>
            </w:r>
          </w:p>
          <w:p>
            <w:pPr>
              <w:spacing w:after="0" w:before="0"/>
            </w:pPr>
            <w:r>
              <w:rPr>
                <w:rFonts w:ascii="Arial" w:cs="Arial" w:eastAsia="Arial" w:hAnsi="Arial"/>
                <w:b/>
                <w:bCs/>
                <w:color w:val="8B0000"/>
                <w:sz w:val="18"/>
                <w:szCs w:val="18"/>
              </w:rPr>
              <w:t xml:space="preserve">Example: </w:t>
            </w:r>
            <w:r>
              <w:rPr>
                <w:rFonts w:ascii="Arial" w:cs="Arial" w:eastAsia="Arial" w:hAnsi="Arial"/>
                <w:i/>
                <w:iCs/>
                <w:color w:val="5B595A"/>
                <w:sz w:val="18"/>
                <w:szCs w:val="18"/>
              </w:rPr>
              <w:t xml:space="preserve">A welder skips re-reading the WPS because the supervisor needs the job done before end of shift.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1"/>
              <w:left w:val="single" w:color="CC0000" w:sz="1"/>
              <w:bottom w:val="single" w:color="CC0000" w:sz="1"/>
              <w:right w:val="single" w:color="CC0000" w:sz="1"/>
            </w:tcBorders>
            <w:shd w:fill="8B0000" w:val="clear"/>
            <w:tcMar>
              <w:top w:type="dxa" w:w="70"/>
              <w:left w:type="dxa" w:w="140"/>
              <w:bottom w:type="dxa" w:w="70"/>
              <w:right w:type="dxa" w:w="140"/>
            </w:tcMar>
          </w:tcPr>
          <w:p>
            <w:r>
              <w:rPr>
                <w:rFonts w:ascii="Arial" w:cs="Arial" w:eastAsia="Arial" w:hAnsi="Arial"/>
                <w:b/>
                <w:bCs/>
                <w:color w:val="FFFFFF"/>
                <w:sz w:val="20"/>
                <w:szCs w:val="20"/>
              </w:rPr>
              <w:t xml:space="preserve">DISTRACTION OR INTERRUPTION</w:t>
            </w:r>
          </w:p>
        </w:tc>
      </w:tr>
      <w:tr>
        <w:tc>
          <w:tcPr>
            <w:tcBorders>
              <w:top w:val="single" w:color="CCCCCC" w:sz="1"/>
              <w:left w:val="single" w:color="CC0000" w:sz="1"/>
              <w:bottom w:val="single" w:color="CCCCCC" w:sz="1"/>
              <w:right w:val="single" w:color="CC0000" w:sz="1"/>
            </w:tcBorders>
            <w:shd w:fill="FBE8E8" w:val="clear"/>
            <w:tcMar>
              <w:top w:type="dxa" w:w="70"/>
              <w:left w:type="dxa" w:w="140"/>
              <w:bottom w:type="dxa" w:w="70"/>
              <w:right w:type="dxa" w:w="140"/>
            </w:tcMar>
          </w:tcPr>
          <w:p>
            <w:pPr>
              <w:spacing w:after="30" w:before="0"/>
            </w:pPr>
            <w:r>
              <w:rPr>
                <w:rFonts w:ascii="Arial" w:cs="Arial" w:eastAsia="Arial" w:hAnsi="Arial"/>
                <w:color w:val="5B595A"/>
                <w:sz w:val="19"/>
                <w:szCs w:val="19"/>
              </w:rPr>
              <w:t xml:space="preserve">Being interrupted mid-task breaks concentration, loses place in a procedure, and creates uncertainty about which step was last completed. The error usually happens immediately after the interruption.</w:t>
            </w:r>
          </w:p>
          <w:p>
            <w:pPr>
              <w:spacing w:after="0" w:before="0"/>
            </w:pPr>
            <w:r>
              <w:rPr>
                <w:rFonts w:ascii="Arial" w:cs="Arial" w:eastAsia="Arial" w:hAnsi="Arial"/>
                <w:b/>
                <w:bCs/>
                <w:color w:val="8B0000"/>
                <w:sz w:val="18"/>
                <w:szCs w:val="18"/>
              </w:rPr>
              <w:t xml:space="preserve">Example: </w:t>
            </w:r>
            <w:r>
              <w:rPr>
                <w:rFonts w:ascii="Arial" w:cs="Arial" w:eastAsia="Arial" w:hAnsi="Arial"/>
                <w:i/>
                <w:iCs/>
                <w:color w:val="5B595A"/>
                <w:sz w:val="18"/>
                <w:szCs w:val="18"/>
              </w:rPr>
              <w:t xml:space="preserve">An inspector answers a phone call mid-dimensional check and loses track of which holes have been measured.</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1"/>
              <w:left w:val="single" w:color="CC0000" w:sz="1"/>
              <w:bottom w:val="single" w:color="CC0000" w:sz="1"/>
              <w:right w:val="single" w:color="CC0000" w:sz="1"/>
            </w:tcBorders>
            <w:shd w:fill="8B0000" w:val="clear"/>
            <w:tcMar>
              <w:top w:type="dxa" w:w="70"/>
              <w:left w:type="dxa" w:w="140"/>
              <w:bottom w:type="dxa" w:w="70"/>
              <w:right w:type="dxa" w:w="140"/>
            </w:tcMar>
          </w:tcPr>
          <w:p>
            <w:r>
              <w:rPr>
                <w:rFonts w:ascii="Arial" w:cs="Arial" w:eastAsia="Arial" w:hAnsi="Arial"/>
                <w:b/>
                <w:bCs/>
                <w:color w:val="FFFFFF"/>
                <w:sz w:val="20"/>
                <w:szCs w:val="20"/>
              </w:rPr>
              <w:t xml:space="preserve">HABIT AND COMPLACENCY</w:t>
            </w:r>
          </w:p>
        </w:tc>
      </w:tr>
      <w:tr>
        <w:tc>
          <w:tcPr>
            <w:tcBorders>
              <w:top w:val="single" w:color="CCCCCC" w:sz="1"/>
              <w:left w:val="single" w:color="CC0000" w:sz="1"/>
              <w:bottom w:val="single" w:color="CCCCCC" w:sz="1"/>
              <w:right w:val="single" w:color="CC0000" w:sz="1"/>
            </w:tcBorders>
            <w:shd w:fill="FBE8E8" w:val="clear"/>
            <w:tcMar>
              <w:top w:type="dxa" w:w="70"/>
              <w:left w:type="dxa" w:w="140"/>
              <w:bottom w:type="dxa" w:w="70"/>
              <w:right w:type="dxa" w:w="140"/>
            </w:tcMar>
          </w:tcPr>
          <w:p>
            <w:pPr>
              <w:spacing w:after="30" w:before="0"/>
            </w:pPr>
            <w:r>
              <w:rPr>
                <w:rFonts w:ascii="Arial" w:cs="Arial" w:eastAsia="Arial" w:hAnsi="Arial"/>
                <w:color w:val="5B595A"/>
                <w:sz w:val="19"/>
                <w:szCs w:val="19"/>
              </w:rPr>
              <w:t xml:space="preserve">Having done the same task many times, the individual stops actively checking each step and relies on muscle memory and habit. The error happens when this task is slightly different from the usual.</w:t>
            </w:r>
          </w:p>
          <w:p>
            <w:pPr>
              <w:spacing w:after="0" w:before="0"/>
            </w:pPr>
            <w:r>
              <w:rPr>
                <w:rFonts w:ascii="Arial" w:cs="Arial" w:eastAsia="Arial" w:hAnsi="Arial"/>
                <w:b/>
                <w:bCs/>
                <w:color w:val="8B0000"/>
                <w:sz w:val="18"/>
                <w:szCs w:val="18"/>
              </w:rPr>
              <w:t xml:space="preserve">Example: </w:t>
            </w:r>
            <w:r>
              <w:rPr>
                <w:rFonts w:ascii="Arial" w:cs="Arial" w:eastAsia="Arial" w:hAnsi="Arial"/>
                <w:i/>
                <w:iCs/>
                <w:color w:val="5B595A"/>
                <w:sz w:val="18"/>
                <w:szCs w:val="18"/>
              </w:rPr>
              <w:t xml:space="preserve">A goods receipt inspector applies a familiar routine to a new supplier's components without adjusting for the different lot numbering system.</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1"/>
              <w:left w:val="single" w:color="CC0000" w:sz="1"/>
              <w:bottom w:val="single" w:color="CC0000" w:sz="1"/>
              <w:right w:val="single" w:color="CC0000" w:sz="1"/>
            </w:tcBorders>
            <w:shd w:fill="8B0000" w:val="clear"/>
            <w:tcMar>
              <w:top w:type="dxa" w:w="70"/>
              <w:left w:type="dxa" w:w="140"/>
              <w:bottom w:type="dxa" w:w="70"/>
              <w:right w:type="dxa" w:w="140"/>
            </w:tcMar>
          </w:tcPr>
          <w:p>
            <w:r>
              <w:rPr>
                <w:rFonts w:ascii="Arial" w:cs="Arial" w:eastAsia="Arial" w:hAnsi="Arial"/>
                <w:b/>
                <w:bCs/>
                <w:color w:val="FFFFFF"/>
                <w:sz w:val="20"/>
                <w:szCs w:val="20"/>
              </w:rPr>
              <w:t xml:space="preserve">FIRST TIME OR INFREQUENT TASK</w:t>
            </w:r>
          </w:p>
        </w:tc>
      </w:tr>
      <w:tr>
        <w:tc>
          <w:tcPr>
            <w:tcBorders>
              <w:top w:val="single" w:color="CCCCCC" w:sz="1"/>
              <w:left w:val="single" w:color="CC0000" w:sz="1"/>
              <w:bottom w:val="single" w:color="CCCCCC" w:sz="1"/>
              <w:right w:val="single" w:color="CC0000" w:sz="1"/>
            </w:tcBorders>
            <w:shd w:fill="FBE8E8" w:val="clear"/>
            <w:tcMar>
              <w:top w:type="dxa" w:w="70"/>
              <w:left w:type="dxa" w:w="140"/>
              <w:bottom w:type="dxa" w:w="70"/>
              <w:right w:type="dxa" w:w="140"/>
            </w:tcMar>
          </w:tcPr>
          <w:p>
            <w:pPr>
              <w:spacing w:after="30" w:before="0"/>
            </w:pPr>
            <w:r>
              <w:rPr>
                <w:rFonts w:ascii="Arial" w:cs="Arial" w:eastAsia="Arial" w:hAnsi="Arial"/>
                <w:color w:val="5B595A"/>
                <w:sz w:val="19"/>
                <w:szCs w:val="19"/>
              </w:rPr>
              <w:t xml:space="preserve">Tasks performed rarely carry higher error risk because the individual has less practice, less familiarity with the exact sequence, and may not have recent experience of where things can go wrong.</w:t>
            </w:r>
          </w:p>
          <w:p>
            <w:pPr>
              <w:spacing w:after="0" w:before="0"/>
            </w:pPr>
            <w:r>
              <w:rPr>
                <w:rFonts w:ascii="Arial" w:cs="Arial" w:eastAsia="Arial" w:hAnsi="Arial"/>
                <w:b/>
                <w:bCs/>
                <w:color w:val="8B0000"/>
                <w:sz w:val="18"/>
                <w:szCs w:val="18"/>
              </w:rPr>
              <w:t xml:space="preserve">Example: </w:t>
            </w:r>
            <w:r>
              <w:rPr>
                <w:rFonts w:ascii="Arial" w:cs="Arial" w:eastAsia="Arial" w:hAnsi="Arial"/>
                <w:i/>
                <w:iCs/>
                <w:color w:val="5B595A"/>
                <w:sz w:val="18"/>
                <w:szCs w:val="18"/>
              </w:rPr>
              <w:t xml:space="preserve">A team performs a particular alignment task for the first time in 18 months without refreshing knowledge of the procedure beforehand.</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1"/>
              <w:left w:val="single" w:color="CC0000" w:sz="1"/>
              <w:bottom w:val="single" w:color="CC0000" w:sz="1"/>
              <w:right w:val="single" w:color="CC0000" w:sz="1"/>
            </w:tcBorders>
            <w:shd w:fill="8B0000" w:val="clear"/>
            <w:tcMar>
              <w:top w:type="dxa" w:w="70"/>
              <w:left w:type="dxa" w:w="140"/>
              <w:bottom w:type="dxa" w:w="70"/>
              <w:right w:type="dxa" w:w="140"/>
            </w:tcMar>
          </w:tcPr>
          <w:p>
            <w:r>
              <w:rPr>
                <w:rFonts w:ascii="Arial" w:cs="Arial" w:eastAsia="Arial" w:hAnsi="Arial"/>
                <w:b/>
                <w:bCs/>
                <w:color w:val="FFFFFF"/>
                <w:sz w:val="20"/>
                <w:szCs w:val="20"/>
              </w:rPr>
              <w:t xml:space="preserve">OVERCONFIDENCE</w:t>
            </w:r>
          </w:p>
        </w:tc>
      </w:tr>
      <w:tr>
        <w:tc>
          <w:tcPr>
            <w:tcBorders>
              <w:top w:val="single" w:color="CCCCCC" w:sz="1"/>
              <w:left w:val="single" w:color="CC0000" w:sz="1"/>
              <w:bottom w:val="single" w:color="CCCCCC" w:sz="1"/>
              <w:right w:val="single" w:color="CC0000" w:sz="1"/>
            </w:tcBorders>
            <w:shd w:fill="FBE8E8" w:val="clear"/>
            <w:tcMar>
              <w:top w:type="dxa" w:w="70"/>
              <w:left w:type="dxa" w:w="140"/>
              <w:bottom w:type="dxa" w:w="70"/>
              <w:right w:type="dxa" w:w="140"/>
            </w:tcMar>
          </w:tcPr>
          <w:p>
            <w:pPr>
              <w:spacing w:after="30" w:before="0"/>
            </w:pPr>
            <w:r>
              <w:rPr>
                <w:rFonts w:ascii="Arial" w:cs="Arial" w:eastAsia="Arial" w:hAnsi="Arial"/>
                <w:color w:val="5B595A"/>
                <w:sz w:val="19"/>
                <w:szCs w:val="19"/>
              </w:rPr>
              <w:t xml:space="preserve">The belief that experience or expertise makes an error impossible. Overconfidence reduces the likelihood of checking, verifying, or asking for a peer check.</w:t>
            </w:r>
          </w:p>
          <w:p>
            <w:pPr>
              <w:spacing w:after="0" w:before="0"/>
            </w:pPr>
            <w:r>
              <w:rPr>
                <w:rFonts w:ascii="Arial" w:cs="Arial" w:eastAsia="Arial" w:hAnsi="Arial"/>
                <w:b/>
                <w:bCs/>
                <w:color w:val="8B0000"/>
                <w:sz w:val="18"/>
                <w:szCs w:val="18"/>
              </w:rPr>
              <w:t xml:space="preserve">Example: </w:t>
            </w:r>
            <w:r>
              <w:rPr>
                <w:rFonts w:ascii="Arial" w:cs="Arial" w:eastAsia="Arial" w:hAnsi="Arial"/>
                <w:i/>
                <w:iCs/>
                <w:color w:val="5B595A"/>
                <w:sz w:val="18"/>
                <w:szCs w:val="18"/>
              </w:rPr>
              <w:t xml:space="preserve">A senior inspector with 20 years' experience skips the self-check step because they have done this type of inspection hundreds of times.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1"/>
              <w:left w:val="single" w:color="CC0000" w:sz="1"/>
              <w:bottom w:val="single" w:color="CC0000" w:sz="1"/>
              <w:right w:val="single" w:color="CC0000" w:sz="1"/>
            </w:tcBorders>
            <w:shd w:fill="8B0000" w:val="clear"/>
            <w:tcMar>
              <w:top w:type="dxa" w:w="70"/>
              <w:left w:type="dxa" w:w="140"/>
              <w:bottom w:type="dxa" w:w="70"/>
              <w:right w:type="dxa" w:w="140"/>
            </w:tcMar>
          </w:tcPr>
          <w:p>
            <w:r>
              <w:rPr>
                <w:rFonts w:ascii="Arial" w:cs="Arial" w:eastAsia="Arial" w:hAnsi="Arial"/>
                <w:b/>
                <w:bCs/>
                <w:color w:val="FFFFFF"/>
                <w:sz w:val="20"/>
                <w:szCs w:val="20"/>
              </w:rPr>
              <w:t xml:space="preserve">UNCLEAR OR AMBIGUOUS PROCEDURE</w:t>
            </w:r>
          </w:p>
        </w:tc>
      </w:tr>
      <w:tr>
        <w:tc>
          <w:tcPr>
            <w:tcBorders>
              <w:top w:val="single" w:color="CCCCCC" w:sz="1"/>
              <w:left w:val="single" w:color="CC0000" w:sz="1"/>
              <w:bottom w:val="single" w:color="CCCCCC" w:sz="1"/>
              <w:right w:val="single" w:color="CC0000" w:sz="1"/>
            </w:tcBorders>
            <w:shd w:fill="FBE8E8" w:val="clear"/>
            <w:tcMar>
              <w:top w:type="dxa" w:w="70"/>
              <w:left w:type="dxa" w:w="140"/>
              <w:bottom w:type="dxa" w:w="70"/>
              <w:right w:type="dxa" w:w="140"/>
            </w:tcMar>
          </w:tcPr>
          <w:p>
            <w:pPr>
              <w:spacing w:after="30" w:before="0"/>
            </w:pPr>
            <w:r>
              <w:rPr>
                <w:rFonts w:ascii="Arial" w:cs="Arial" w:eastAsia="Arial" w:hAnsi="Arial"/>
                <w:color w:val="5B595A"/>
                <w:sz w:val="19"/>
                <w:szCs w:val="19"/>
              </w:rPr>
              <w:t xml:space="preserve">A procedure that is hard to follow, uses unclear language, has conflicting steps, or does not match the actual work environment creates conditions where individuals make assumptions about what is intended.</w:t>
            </w:r>
          </w:p>
          <w:p>
            <w:pPr>
              <w:spacing w:after="0" w:before="0"/>
            </w:pPr>
            <w:r>
              <w:rPr>
                <w:rFonts w:ascii="Arial" w:cs="Arial" w:eastAsia="Arial" w:hAnsi="Arial"/>
                <w:b/>
                <w:bCs/>
                <w:color w:val="8B0000"/>
                <w:sz w:val="18"/>
                <w:szCs w:val="18"/>
              </w:rPr>
              <w:t xml:space="preserve">Example: </w:t>
            </w:r>
            <w:r>
              <w:rPr>
                <w:rFonts w:ascii="Arial" w:cs="Arial" w:eastAsia="Arial" w:hAnsi="Arial"/>
                <w:i/>
                <w:iCs/>
                <w:color w:val="5B595A"/>
                <w:sz w:val="18"/>
                <w:szCs w:val="18"/>
              </w:rPr>
              <w:t xml:space="preserve">A procedure says 'inspect to specification' without specifying which version of the specification applies, leading to different inspectors using different acceptance criteria.</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1"/>
              <w:left w:val="single" w:color="CC0000" w:sz="1"/>
              <w:bottom w:val="single" w:color="CC0000" w:sz="1"/>
              <w:right w:val="single" w:color="CC0000" w:sz="1"/>
            </w:tcBorders>
            <w:shd w:fill="8B0000" w:val="clear"/>
            <w:tcMar>
              <w:top w:type="dxa" w:w="70"/>
              <w:left w:type="dxa" w:w="140"/>
              <w:bottom w:type="dxa" w:w="70"/>
              <w:right w:type="dxa" w:w="140"/>
            </w:tcMar>
          </w:tcPr>
          <w:p>
            <w:r>
              <w:rPr>
                <w:rFonts w:ascii="Arial" w:cs="Arial" w:eastAsia="Arial" w:hAnsi="Arial"/>
                <w:b/>
                <w:bCs/>
                <w:color w:val="FFFFFF"/>
                <w:sz w:val="20"/>
                <w:szCs w:val="20"/>
              </w:rPr>
              <w:t xml:space="preserve">PHYSICAL ENVIRONMENT</w:t>
            </w:r>
          </w:p>
        </w:tc>
      </w:tr>
      <w:tr>
        <w:tc>
          <w:tcPr>
            <w:tcBorders>
              <w:top w:val="single" w:color="CCCCCC" w:sz="1"/>
              <w:left w:val="single" w:color="CC0000" w:sz="1"/>
              <w:bottom w:val="single" w:color="CCCCCC" w:sz="1"/>
              <w:right w:val="single" w:color="CC0000" w:sz="1"/>
            </w:tcBorders>
            <w:shd w:fill="FBE8E8" w:val="clear"/>
            <w:tcMar>
              <w:top w:type="dxa" w:w="70"/>
              <w:left w:type="dxa" w:w="140"/>
              <w:bottom w:type="dxa" w:w="70"/>
              <w:right w:type="dxa" w:w="140"/>
            </w:tcMar>
          </w:tcPr>
          <w:p>
            <w:pPr>
              <w:spacing w:after="30" w:before="0"/>
            </w:pPr>
            <w:r>
              <w:rPr>
                <w:rFonts w:ascii="Arial" w:cs="Arial" w:eastAsia="Arial" w:hAnsi="Arial"/>
                <w:color w:val="5B595A"/>
                <w:sz w:val="19"/>
                <w:szCs w:val="19"/>
              </w:rPr>
              <w:t xml:space="preserve">Poor lighting, noise, confined spaces, extreme temperatures, or physically demanding work conditions reduce cognitive capacity and increase error likelihood.</w:t>
            </w:r>
          </w:p>
          <w:p>
            <w:pPr>
              <w:spacing w:after="0" w:before="0"/>
            </w:pPr>
            <w:r>
              <w:rPr>
                <w:rFonts w:ascii="Arial" w:cs="Arial" w:eastAsia="Arial" w:hAnsi="Arial"/>
                <w:b/>
                <w:bCs/>
                <w:color w:val="8B0000"/>
                <w:sz w:val="18"/>
                <w:szCs w:val="18"/>
              </w:rPr>
              <w:t xml:space="preserve">Example: </w:t>
            </w:r>
            <w:r>
              <w:rPr>
                <w:rFonts w:ascii="Arial" w:cs="Arial" w:eastAsia="Arial" w:hAnsi="Arial"/>
                <w:i/>
                <w:iCs/>
                <w:color w:val="5B595A"/>
                <w:sz w:val="18"/>
                <w:szCs w:val="18"/>
              </w:rPr>
              <w:t xml:space="preserve">A final dimensional check is carried out in poor lighting at the end of a long shift in a noisy fabrication bay.</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1"/>
              <w:left w:val="single" w:color="CC0000" w:sz="1"/>
              <w:bottom w:val="single" w:color="CC0000" w:sz="1"/>
              <w:right w:val="single" w:color="CC0000" w:sz="1"/>
            </w:tcBorders>
            <w:shd w:fill="8B0000" w:val="clear"/>
            <w:tcMar>
              <w:top w:type="dxa" w:w="70"/>
              <w:left w:type="dxa" w:w="140"/>
              <w:bottom w:type="dxa" w:w="70"/>
              <w:right w:type="dxa" w:w="140"/>
            </w:tcMar>
          </w:tcPr>
          <w:p>
            <w:r>
              <w:rPr>
                <w:rFonts w:ascii="Arial" w:cs="Arial" w:eastAsia="Arial" w:hAnsi="Arial"/>
                <w:b/>
                <w:bCs/>
                <w:color w:val="FFFFFF"/>
                <w:sz w:val="20"/>
                <w:szCs w:val="20"/>
              </w:rPr>
              <w:t xml:space="preserve">SIMULTANEOUS TASKS</w:t>
            </w:r>
          </w:p>
        </w:tc>
      </w:tr>
      <w:tr>
        <w:tc>
          <w:tcPr>
            <w:tcBorders>
              <w:top w:val="single" w:color="CCCCCC" w:sz="1"/>
              <w:left w:val="single" w:color="CC0000" w:sz="1"/>
              <w:bottom w:val="single" w:color="CCCCCC" w:sz="1"/>
              <w:right w:val="single" w:color="CC0000" w:sz="1"/>
            </w:tcBorders>
            <w:shd w:fill="FBE8E8" w:val="clear"/>
            <w:tcMar>
              <w:top w:type="dxa" w:w="70"/>
              <w:left w:type="dxa" w:w="140"/>
              <w:bottom w:type="dxa" w:w="70"/>
              <w:right w:type="dxa" w:w="140"/>
            </w:tcMar>
          </w:tcPr>
          <w:p>
            <w:pPr>
              <w:spacing w:after="30" w:before="0"/>
            </w:pPr>
            <w:r>
              <w:rPr>
                <w:rFonts w:ascii="Arial" w:cs="Arial" w:eastAsia="Arial" w:hAnsi="Arial"/>
                <w:color w:val="5B595A"/>
                <w:sz w:val="19"/>
                <w:szCs w:val="19"/>
              </w:rPr>
              <w:t xml:space="preserve">Performing or monitoring multiple tasks at the same time divides attention and increases the probability that one or more tasks receives insufficient focus.</w:t>
            </w:r>
          </w:p>
          <w:p>
            <w:pPr>
              <w:spacing w:after="0" w:before="0"/>
            </w:pPr>
            <w:r>
              <w:rPr>
                <w:rFonts w:ascii="Arial" w:cs="Arial" w:eastAsia="Arial" w:hAnsi="Arial"/>
                <w:b/>
                <w:bCs/>
                <w:color w:val="8B0000"/>
                <w:sz w:val="18"/>
                <w:szCs w:val="18"/>
              </w:rPr>
              <w:t xml:space="preserve">Example: </w:t>
            </w:r>
            <w:r>
              <w:rPr>
                <w:rFonts w:ascii="Arial" w:cs="Arial" w:eastAsia="Arial" w:hAnsi="Arial"/>
                <w:i/>
                <w:iCs/>
                <w:color w:val="5B595A"/>
                <w:sz w:val="18"/>
                <w:szCs w:val="18"/>
              </w:rPr>
              <w:t xml:space="preserve">A supervisor simultaneously manages a hold point inspection, a material delivery query, and a phone call about the next job.</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RECOGNISE AND ACT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Recognising an error precursor before starting a task does not mean stopping the task. It means increasing the level of HP tool use: a more thorough pre-job brief, more deliberate self-checks, requesting a peer check. The precursor is the signal to raise your attention, not to abandon the work.</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3: THE SEVEN CORE HUMAN PERFORMANCE TOOLS</w:t>
      </w:r>
    </w:p>
    <w:p>
      <w:pPr>
        <w:spacing w:after="80" w:before="80"/>
      </w:pPr>
      <w:r>
        <w:t xml:space="preserve"/>
      </w:r>
    </w:p>
    <w:p>
      <w:pPr>
        <w:spacing w:after="80" w:before="60"/>
      </w:pPr>
      <w:r>
        <w:rPr>
          <w:rFonts w:ascii="Arial" w:cs="Arial" w:eastAsia="Arial" w:hAnsi="Arial"/>
          <w:color w:val="5B595A"/>
          <w:sz w:val="22"/>
          <w:szCs w:val="22"/>
        </w:rPr>
        <w:t xml:space="preserve">These seven tools are the operational core of the HP programme. They are not abstract concepts: they are specific, practised behaviours that every person working on nuclear-significant tasks is expected to understand and apply. The HP Tools Reference Card (NSS-05b) provides a pocket summary of all seven for use at workstations.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1E3C" w:sz="1"/>
              <w:left w:val="single" w:color="001E3C" w:sz="1"/>
              <w:bottom w:val="single" w:color="001E3C" w:sz="1"/>
              <w:right w:val="single" w:color="001E3C" w:sz="1"/>
            </w:tcBorders>
            <w:shd w:fill="001E3C" w:val="clear"/>
            <w:tcMar>
              <w:top w:type="dxa" w:w="80"/>
              <w:left w:type="dxa" w:w="160"/>
              <w:bottom w:type="dxa" w:w="80"/>
              <w:right w:type="dxa" w:w="160"/>
            </w:tcMar>
          </w:tcPr>
          <w:p>
            <w:r>
              <w:rPr>
                <w:rFonts w:ascii="Arial" w:cs="Arial" w:eastAsia="Arial" w:hAnsi="Arial"/>
                <w:b/>
                <w:bCs/>
                <w:color w:val="FFFFFF"/>
                <w:sz w:val="24"/>
                <w:szCs w:val="24"/>
              </w:rPr>
              <w:t xml:space="preserve">HP-1  </w:t>
            </w:r>
            <w:r>
              <w:rPr>
                <w:rFonts w:ascii="Arial" w:cs="Arial" w:eastAsia="Arial" w:hAnsi="Arial"/>
                <w:b/>
                <w:bCs/>
                <w:color w:val="FFFFFF"/>
                <w:sz w:val="24"/>
                <w:szCs w:val="24"/>
              </w:rPr>
              <w:t xml:space="preserve">PRE-JOB BRIEFING</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A structured discussion before a task begins, covering what is to be done, how it is to be done, what could go wrong, and what to do if it does. Not a casual conversation: a structured, recorded event for nuclear-significant work.</w:t>
            </w:r>
          </w:p>
        </w:tc>
      </w:tr>
      <w:tr>
        <w:tc>
          <w:tcPr>
            <w:tcBorders>
              <w:top w:val="single" w:color="CCCCCC" w:sz="1"/>
              <w:left w:val="single" w:color="001E3C"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1.  Identify the task, scope, and sequence of steps</w:t>
            </w:r>
          </w:p>
        </w:tc>
      </w:tr>
      <w:tr>
        <w:tc>
          <w:tcPr>
            <w:tcBorders>
              <w:top w:val="single" w:color="CCCCCC" w:sz="1"/>
              <w:left w:val="single" w:color="001E3C"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2.  Confirm the applicable procedure revision and any special instructions</w:t>
            </w:r>
          </w:p>
        </w:tc>
      </w:tr>
      <w:tr>
        <w:tc>
          <w:tcPr>
            <w:tcBorders>
              <w:top w:val="single" w:color="CCCCCC" w:sz="1"/>
              <w:left w:val="single" w:color="001E3C"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3.  Identify the nuclear safety significance and applicable quality grade</w:t>
            </w:r>
          </w:p>
        </w:tc>
      </w:tr>
      <w:tr>
        <w:tc>
          <w:tcPr>
            <w:tcBorders>
              <w:top w:val="single" w:color="CCCCCC" w:sz="1"/>
              <w:left w:val="single" w:color="001E3C"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4.  Identify error traps or precursors relevant to this task</w:t>
            </w:r>
          </w:p>
        </w:tc>
      </w:tr>
      <w:tr>
        <w:tc>
          <w:tcPr>
            <w:tcBorders>
              <w:top w:val="single" w:color="CCCCCC" w:sz="1"/>
              <w:left w:val="single" w:color="001E3C"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5.  Confirm hold, witness, and review points and required notifications</w:t>
            </w:r>
          </w:p>
        </w:tc>
      </w:tr>
      <w:tr>
        <w:tc>
          <w:tcPr>
            <w:tcBorders>
              <w:top w:val="single" w:color="CCCCCC" w:sz="1"/>
              <w:left w:val="single" w:color="001E3C"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6.  Discuss contingency actions: what to do if something unexpected happens</w:t>
            </w:r>
          </w:p>
        </w:tc>
      </w:tr>
      <w:tr>
        <w:tc>
          <w:tcPr>
            <w:tcBorders>
              <w:top w:val="single" w:color="CCCCCC" w:sz="1"/>
              <w:left w:val="single" w:color="001E3C"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7.  Confirm stop-work criteria: at what point does work stop and who is called</w:t>
            </w:r>
          </w:p>
        </w:tc>
      </w:tr>
      <w:tr>
        <w:tc>
          <w:tcPr>
            <w:tcBorders>
              <w:top w:val="single" w:color="CCCCCC" w:sz="1"/>
              <w:left w:val="single" w:color="001E3C"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8.  Confirm all attendees understand their role and sign the briefing record</w:t>
            </w:r>
          </w:p>
        </w:tc>
      </w:tr>
      <w:tr>
        <w:tc>
          <w:tcPr>
            <w:tcBorders>
              <w:top w:val="single" w:color="CCCCCC" w:sz="1"/>
              <w:left w:val="single" w:color="001E3C" w:sz="1"/>
              <w:bottom w:val="single" w:color="CCCCCC" w:sz="1"/>
              <w:right w:val="single" w:color="001E3C" w:sz="1"/>
            </w:tcBorders>
            <w:shd w:fill="F5EEF8" w:val="clear"/>
            <w:tcMar>
              <w:top w:type="dxa" w:w="80"/>
              <w:left w:type="dxa" w:w="160"/>
              <w:bottom w:type="dxa" w:w="80"/>
              <w:right w:type="dxa" w:w="160"/>
            </w:tcMar>
          </w:tcPr>
          <w:p>
            <w:pPr>
              <w:spacing w:after="30" w:before="0"/>
            </w:pPr>
            <w:r>
              <w:rPr>
                <w:rFonts w:ascii="Arial" w:cs="Arial" w:eastAsia="Arial" w:hAnsi="Arial"/>
                <w:b/>
                <w:bCs/>
                <w:color w:val="83348F"/>
                <w:sz w:val="19"/>
                <w:szCs w:val="19"/>
              </w:rPr>
              <w:t xml:space="preserve">When to use: </w:t>
            </w:r>
          </w:p>
          <w:p>
            <w:pPr>
              <w:spacing w:after="0" w:before="0"/>
            </w:pPr>
            <w:r>
              <w:rPr>
                <w:rFonts w:ascii="Arial" w:cs="Arial" w:eastAsia="Arial" w:hAnsi="Arial"/>
                <w:color w:val="5B595A"/>
                <w:sz w:val="19"/>
                <w:szCs w:val="19"/>
              </w:rPr>
              <w:t xml:space="preserve">Before every nuclear-significant task, particularly Grade 1 and 2 work, and whenever an error precursor (time pressure, first time, complex task) has been identified.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9FE3" w:val="clear"/>
            <w:tcMar>
              <w:top w:type="dxa" w:w="80"/>
              <w:left w:type="dxa" w:w="160"/>
              <w:bottom w:type="dxa" w:w="80"/>
              <w:right w:type="dxa" w:w="160"/>
            </w:tcMar>
          </w:tcPr>
          <w:p>
            <w:r>
              <w:rPr>
                <w:rFonts w:ascii="Arial" w:cs="Arial" w:eastAsia="Arial" w:hAnsi="Arial"/>
                <w:b/>
                <w:bCs/>
                <w:color w:val="FFFFFF"/>
                <w:sz w:val="24"/>
                <w:szCs w:val="24"/>
              </w:rPr>
              <w:t xml:space="preserve">HP-2  </w:t>
            </w:r>
            <w:r>
              <w:rPr>
                <w:rFonts w:ascii="Arial" w:cs="Arial" w:eastAsia="Arial" w:hAnsi="Arial"/>
                <w:b/>
                <w:bCs/>
                <w:color w:val="FFFFFF"/>
                <w:sz w:val="24"/>
                <w:szCs w:val="24"/>
              </w:rPr>
              <w:t xml:space="preserve">SELF-CHECK (STAR)</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A deliberate pause before taking an action to confirm that what is about to be done is the right action, on the right item, at the right time. Based on the STAR model: Stop, Think, Act, Review.</w:t>
            </w:r>
          </w:p>
        </w:tc>
      </w:tr>
      <w:tr>
        <w:tc>
          <w:tcPr>
            <w:tcBorders>
              <w:top w:val="single" w:color="CCCCCC" w:sz="1"/>
              <w:left w:val="single" w:color="009FE3"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1.  STOP: pause before the action, do not proceed on autopilot</w:t>
            </w:r>
          </w:p>
        </w:tc>
      </w:tr>
      <w:tr>
        <w:tc>
          <w:tcPr>
            <w:tcBorders>
              <w:top w:val="single" w:color="CCCCCC" w:sz="1"/>
              <w:left w:val="single" w:color="009FE3"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2.  THINK: confirm the action to be taken, the expected result, and any consequences of error</w:t>
            </w:r>
          </w:p>
        </w:tc>
      </w:tr>
      <w:tr>
        <w:tc>
          <w:tcPr>
            <w:tcBorders>
              <w:top w:val="single" w:color="CCCCCC" w:sz="1"/>
              <w:left w:val="single" w:color="009FE3"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3.  ACT: perform the action deliberately and with full attention</w:t>
            </w:r>
          </w:p>
        </w:tc>
      </w:tr>
      <w:tr>
        <w:tc>
          <w:tcPr>
            <w:tcBorders>
              <w:top w:val="single" w:color="CCCCCC" w:sz="1"/>
              <w:left w:val="single" w:color="009FE3"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4.  REVIEW: check immediately that the expected result was achieved before moving to the next step</w:t>
            </w:r>
          </w:p>
        </w:tc>
      </w:tr>
      <w:tr>
        <w:tc>
          <w:tcPr>
            <w:tcBorders>
              <w:top w:val="single" w:color="CCCCCC" w:sz="1"/>
              <w:left w:val="single" w:color="009FE3" w:sz="1"/>
              <w:bottom w:val="single" w:color="CCCCCC" w:sz="1"/>
              <w:right w:val="single" w:color="009FE3" w:sz="1"/>
            </w:tcBorders>
            <w:shd w:fill="F5EEF8" w:val="clear"/>
            <w:tcMar>
              <w:top w:type="dxa" w:w="80"/>
              <w:left w:type="dxa" w:w="160"/>
              <w:bottom w:type="dxa" w:w="80"/>
              <w:right w:type="dxa" w:w="160"/>
            </w:tcMar>
          </w:tcPr>
          <w:p>
            <w:pPr>
              <w:spacing w:after="30" w:before="0"/>
            </w:pPr>
            <w:r>
              <w:rPr>
                <w:rFonts w:ascii="Arial" w:cs="Arial" w:eastAsia="Arial" w:hAnsi="Arial"/>
                <w:b/>
                <w:bCs/>
                <w:color w:val="83348F"/>
                <w:sz w:val="19"/>
                <w:szCs w:val="19"/>
              </w:rPr>
              <w:t xml:space="preserve">When to use: </w:t>
            </w:r>
          </w:p>
          <w:p>
            <w:pPr>
              <w:spacing w:after="0" w:before="0"/>
            </w:pPr>
            <w:r>
              <w:rPr>
                <w:rFonts w:ascii="Arial" w:cs="Arial" w:eastAsia="Arial" w:hAnsi="Arial"/>
                <w:color w:val="5B595A"/>
                <w:sz w:val="19"/>
                <w:szCs w:val="19"/>
              </w:rPr>
              <w:t xml:space="preserve">Before any safety-significant action, particularly irreversible ones or those where an error would not be immediately obvious. Use at every hold point. Use when resuming after an interruption.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3348F" w:sz="1"/>
              <w:left w:val="single" w:color="83348F" w:sz="1"/>
              <w:bottom w:val="single" w:color="83348F" w:sz="1"/>
              <w:right w:val="single" w:color="83348F" w:sz="1"/>
            </w:tcBorders>
            <w:shd w:fill="83348F" w:val="clear"/>
            <w:tcMar>
              <w:top w:type="dxa" w:w="80"/>
              <w:left w:type="dxa" w:w="160"/>
              <w:bottom w:type="dxa" w:w="80"/>
              <w:right w:type="dxa" w:w="160"/>
            </w:tcMar>
          </w:tcPr>
          <w:p>
            <w:r>
              <w:rPr>
                <w:rFonts w:ascii="Arial" w:cs="Arial" w:eastAsia="Arial" w:hAnsi="Arial"/>
                <w:b/>
                <w:bCs/>
                <w:color w:val="FFFFFF"/>
                <w:sz w:val="24"/>
                <w:szCs w:val="24"/>
              </w:rPr>
              <w:t xml:space="preserve">HP-3  </w:t>
            </w:r>
            <w:r>
              <w:rPr>
                <w:rFonts w:ascii="Arial" w:cs="Arial" w:eastAsia="Arial" w:hAnsi="Arial"/>
                <w:b/>
                <w:bCs/>
                <w:color w:val="FFFFFF"/>
                <w:sz w:val="24"/>
                <w:szCs w:val="24"/>
              </w:rPr>
              <w:t xml:space="preserve">PEER CHECK</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A second person independently checks a planned action or a completed action before it is taken or accepted. The checker does not simply agree with the first person: they independently evaluate and confirm.</w:t>
            </w:r>
          </w:p>
        </w:tc>
      </w:tr>
      <w:tr>
        <w:tc>
          <w:tcPr>
            <w:tcBorders>
              <w:top w:val="single" w:color="CCCCCC" w:sz="1"/>
              <w:left w:val="single" w:color="83348F"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1.  Identify the specific action or result to be checked</w:t>
            </w:r>
          </w:p>
        </w:tc>
      </w:tr>
      <w:tr>
        <w:tc>
          <w:tcPr>
            <w:tcBorders>
              <w:top w:val="single" w:color="CCCCCC" w:sz="1"/>
              <w:left w:val="single" w:color="83348F"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2.  The checker performs the check independently, not by following along with the first person's thinking</w:t>
            </w:r>
          </w:p>
        </w:tc>
      </w:tr>
      <w:tr>
        <w:tc>
          <w:tcPr>
            <w:tcBorders>
              <w:top w:val="single" w:color="CCCCCC" w:sz="1"/>
              <w:left w:val="single" w:color="83348F"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3.  The checker confirms or challenges the finding before any action proceeds</w:t>
            </w:r>
          </w:p>
        </w:tc>
      </w:tr>
      <w:tr>
        <w:tc>
          <w:tcPr>
            <w:tcBorders>
              <w:top w:val="single" w:color="CCCCCC" w:sz="1"/>
              <w:left w:val="single" w:color="83348F"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4.  Any disagreement between the doer and checker is resolved before proceeding</w:t>
            </w:r>
          </w:p>
        </w:tc>
      </w:tr>
      <w:tr>
        <w:tc>
          <w:tcPr>
            <w:tcBorders>
              <w:top w:val="single" w:color="CCCCCC" w:sz="1"/>
              <w:left w:val="single" w:color="83348F"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5.  Both the doer and checker record their involvement where required</w:t>
            </w:r>
          </w:p>
        </w:tc>
      </w:tr>
      <w:tr>
        <w:tc>
          <w:tcPr>
            <w:tcBorders>
              <w:top w:val="single" w:color="CCCCCC" w:sz="1"/>
              <w:left w:val="single" w:color="83348F" w:sz="1"/>
              <w:bottom w:val="single" w:color="CCCCCC" w:sz="1"/>
              <w:right w:val="single" w:color="83348F" w:sz="1"/>
            </w:tcBorders>
            <w:shd w:fill="F5EEF8" w:val="clear"/>
            <w:tcMar>
              <w:top w:type="dxa" w:w="80"/>
              <w:left w:type="dxa" w:w="160"/>
              <w:bottom w:type="dxa" w:w="80"/>
              <w:right w:type="dxa" w:w="160"/>
            </w:tcMar>
          </w:tcPr>
          <w:p>
            <w:pPr>
              <w:spacing w:after="30" w:before="0"/>
            </w:pPr>
            <w:r>
              <w:rPr>
                <w:rFonts w:ascii="Arial" w:cs="Arial" w:eastAsia="Arial" w:hAnsi="Arial"/>
                <w:b/>
                <w:bCs/>
                <w:color w:val="83348F"/>
                <w:sz w:val="19"/>
                <w:szCs w:val="19"/>
              </w:rPr>
              <w:t xml:space="preserve">When to use: </w:t>
            </w:r>
          </w:p>
          <w:p>
            <w:pPr>
              <w:spacing w:after="0" w:before="0"/>
            </w:pPr>
            <w:r>
              <w:rPr>
                <w:rFonts w:ascii="Arial" w:cs="Arial" w:eastAsia="Arial" w:hAnsi="Arial"/>
                <w:color w:val="5B595A"/>
                <w:sz w:val="19"/>
                <w:szCs w:val="19"/>
              </w:rPr>
              <w:t xml:space="preserve">For Grade 1 and 2 activities with a high consequence of error. Before irreversible actions. When resuming after a break or interruption. When any error precursor has been identified.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75623" w:sz="1"/>
              <w:left w:val="single" w:color="375623" w:sz="1"/>
              <w:bottom w:val="single" w:color="375623" w:sz="1"/>
              <w:right w:val="single" w:color="375623" w:sz="1"/>
            </w:tcBorders>
            <w:shd w:fill="375623" w:val="clear"/>
            <w:tcMar>
              <w:top w:type="dxa" w:w="80"/>
              <w:left w:type="dxa" w:w="160"/>
              <w:bottom w:type="dxa" w:w="80"/>
              <w:right w:type="dxa" w:w="160"/>
            </w:tcMar>
          </w:tcPr>
          <w:p>
            <w:r>
              <w:rPr>
                <w:rFonts w:ascii="Arial" w:cs="Arial" w:eastAsia="Arial" w:hAnsi="Arial"/>
                <w:b/>
                <w:bCs/>
                <w:color w:val="FFFFFF"/>
                <w:sz w:val="24"/>
                <w:szCs w:val="24"/>
              </w:rPr>
              <w:t xml:space="preserve">HP-4  </w:t>
            </w:r>
            <w:r>
              <w:rPr>
                <w:rFonts w:ascii="Arial" w:cs="Arial" w:eastAsia="Arial" w:hAnsi="Arial"/>
                <w:b/>
                <w:bCs/>
                <w:color w:val="FFFFFF"/>
                <w:sz w:val="24"/>
                <w:szCs w:val="24"/>
              </w:rPr>
              <w:t xml:space="preserve">THREE-WAY COMMUNICATION</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A structured communication technique that confirms mutual understanding of a safety-significant instruction or piece of information. Eliminates misunderstandings from assumptions, background noise, or distraction.</w:t>
            </w:r>
          </w:p>
        </w:tc>
      </w:tr>
      <w:tr>
        <w:tc>
          <w:tcPr>
            <w:tcBorders>
              <w:top w:val="single" w:color="CCCCCC" w:sz="1"/>
              <w:left w:val="single" w:color="375623"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1.  The sender states the information or instruction clearly and directly</w:t>
            </w:r>
          </w:p>
        </w:tc>
      </w:tr>
      <w:tr>
        <w:tc>
          <w:tcPr>
            <w:tcBorders>
              <w:top w:val="single" w:color="CCCCCC" w:sz="1"/>
              <w:left w:val="single" w:color="375623"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2.  The receiver repeats back the information in their own words, confirming understanding</w:t>
            </w:r>
          </w:p>
        </w:tc>
      </w:tr>
      <w:tr>
        <w:tc>
          <w:tcPr>
            <w:tcBorders>
              <w:top w:val="single" w:color="CCCCCC" w:sz="1"/>
              <w:left w:val="single" w:color="375623"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3.  The sender confirms the repeat-back is correct, or corrects it if it is not</w:t>
            </w:r>
          </w:p>
        </w:tc>
      </w:tr>
      <w:tr>
        <w:tc>
          <w:tcPr>
            <w:tcBorders>
              <w:top w:val="single" w:color="CCCCCC" w:sz="1"/>
              <w:left w:val="single" w:color="375623"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4.  Where there is any uncertainty after the repeat-back, the communication is repeated from the start</w:t>
            </w:r>
          </w:p>
        </w:tc>
      </w:tr>
      <w:tr>
        <w:tc>
          <w:tcPr>
            <w:tcBorders>
              <w:top w:val="single" w:color="CCCCCC" w:sz="1"/>
              <w:left w:val="single" w:color="375623" w:sz="1"/>
              <w:bottom w:val="single" w:color="CCCCCC" w:sz="1"/>
              <w:right w:val="single" w:color="375623" w:sz="1"/>
            </w:tcBorders>
            <w:shd w:fill="F5EEF8" w:val="clear"/>
            <w:tcMar>
              <w:top w:type="dxa" w:w="80"/>
              <w:left w:type="dxa" w:w="160"/>
              <w:bottom w:type="dxa" w:w="80"/>
              <w:right w:type="dxa" w:w="160"/>
            </w:tcMar>
          </w:tcPr>
          <w:p>
            <w:pPr>
              <w:spacing w:after="30" w:before="0"/>
            </w:pPr>
            <w:r>
              <w:rPr>
                <w:rFonts w:ascii="Arial" w:cs="Arial" w:eastAsia="Arial" w:hAnsi="Arial"/>
                <w:b/>
                <w:bCs/>
                <w:color w:val="83348F"/>
                <w:sz w:val="19"/>
                <w:szCs w:val="19"/>
              </w:rPr>
              <w:t xml:space="preserve">When to use: </w:t>
            </w:r>
          </w:p>
          <w:p>
            <w:pPr>
              <w:spacing w:after="0" w:before="0"/>
            </w:pPr>
            <w:r>
              <w:rPr>
                <w:rFonts w:ascii="Arial" w:cs="Arial" w:eastAsia="Arial" w:hAnsi="Arial"/>
                <w:color w:val="5B595A"/>
                <w:sz w:val="19"/>
                <w:szCs w:val="19"/>
              </w:rPr>
              <w:t xml:space="preserve">For any safety-significant verbal instruction or information transfer: passing hold point status, communicating a stop-work instruction, confirming a procedure step change, handover between shifts or between personnel.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1E3C" w:sz="1"/>
              <w:left w:val="single" w:color="001E3C" w:sz="1"/>
              <w:bottom w:val="single" w:color="001E3C" w:sz="1"/>
              <w:right w:val="single" w:color="001E3C" w:sz="1"/>
            </w:tcBorders>
            <w:shd w:fill="001E3C" w:val="clear"/>
            <w:tcMar>
              <w:top w:type="dxa" w:w="80"/>
              <w:left w:type="dxa" w:w="160"/>
              <w:bottom w:type="dxa" w:w="80"/>
              <w:right w:type="dxa" w:w="160"/>
            </w:tcMar>
          </w:tcPr>
          <w:p>
            <w:r>
              <w:rPr>
                <w:rFonts w:ascii="Arial" w:cs="Arial" w:eastAsia="Arial" w:hAnsi="Arial"/>
                <w:b/>
                <w:bCs/>
                <w:color w:val="FFFFFF"/>
                <w:sz w:val="24"/>
                <w:szCs w:val="24"/>
              </w:rPr>
              <w:t xml:space="preserve">HP-5  </w:t>
            </w:r>
            <w:r>
              <w:rPr>
                <w:rFonts w:ascii="Arial" w:cs="Arial" w:eastAsia="Arial" w:hAnsi="Arial"/>
                <w:b/>
                <w:bCs/>
                <w:color w:val="FFFFFF"/>
                <w:sz w:val="24"/>
                <w:szCs w:val="24"/>
              </w:rPr>
              <w:t xml:space="preserve">PLACE KEEPING</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A physical or documented method of tracking exactly where in a multi-step procedure the current position is, so that steps cannot be skipped or repeated, particularly after an interruption.</w:t>
            </w:r>
          </w:p>
        </w:tc>
      </w:tr>
      <w:tr>
        <w:tc>
          <w:tcPr>
            <w:tcBorders>
              <w:top w:val="single" w:color="CCCCCC" w:sz="1"/>
              <w:left w:val="single" w:color="001E3C"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1.  Mark each completed step physically on the procedure document before moving to the next</w:t>
            </w:r>
          </w:p>
        </w:tc>
      </w:tr>
      <w:tr>
        <w:tc>
          <w:tcPr>
            <w:tcBorders>
              <w:top w:val="single" w:color="CCCCCC" w:sz="1"/>
              <w:left w:val="single" w:color="001E3C"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2.  Never rely on memory alone for position in a multi-step procedure</w:t>
            </w:r>
          </w:p>
        </w:tc>
      </w:tr>
      <w:tr>
        <w:tc>
          <w:tcPr>
            <w:tcBorders>
              <w:top w:val="single" w:color="CCCCCC" w:sz="1"/>
              <w:left w:val="single" w:color="001E3C"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3.  If interrupted mid-procedure, mark the last completed step before stopping</w:t>
            </w:r>
          </w:p>
        </w:tc>
      </w:tr>
      <w:tr>
        <w:tc>
          <w:tcPr>
            <w:tcBorders>
              <w:top w:val="single" w:color="CCCCCC" w:sz="1"/>
              <w:left w:val="single" w:color="001E3C"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4.  On resumption after an interruption, verify the current position from the marking before proceeding</w:t>
            </w:r>
          </w:p>
        </w:tc>
      </w:tr>
      <w:tr>
        <w:tc>
          <w:tcPr>
            <w:tcBorders>
              <w:top w:val="single" w:color="CCCCCC" w:sz="1"/>
              <w:left w:val="single" w:color="001E3C"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5.  Do not skip steps even if they appear unnecessary: complete or formally defer each step in sequence</w:t>
            </w:r>
          </w:p>
        </w:tc>
      </w:tr>
      <w:tr>
        <w:tc>
          <w:tcPr>
            <w:tcBorders>
              <w:top w:val="single" w:color="CCCCCC" w:sz="1"/>
              <w:left w:val="single" w:color="001E3C" w:sz="1"/>
              <w:bottom w:val="single" w:color="CCCCCC" w:sz="1"/>
              <w:right w:val="single" w:color="001E3C" w:sz="1"/>
            </w:tcBorders>
            <w:shd w:fill="F5EEF8" w:val="clear"/>
            <w:tcMar>
              <w:top w:type="dxa" w:w="80"/>
              <w:left w:type="dxa" w:w="160"/>
              <w:bottom w:type="dxa" w:w="80"/>
              <w:right w:type="dxa" w:w="160"/>
            </w:tcMar>
          </w:tcPr>
          <w:p>
            <w:pPr>
              <w:spacing w:after="30" w:before="0"/>
            </w:pPr>
            <w:r>
              <w:rPr>
                <w:rFonts w:ascii="Arial" w:cs="Arial" w:eastAsia="Arial" w:hAnsi="Arial"/>
                <w:b/>
                <w:bCs/>
                <w:color w:val="83348F"/>
                <w:sz w:val="19"/>
                <w:szCs w:val="19"/>
              </w:rPr>
              <w:t xml:space="preserve">When to use: </w:t>
            </w:r>
          </w:p>
          <w:p>
            <w:pPr>
              <w:spacing w:after="0" w:before="0"/>
            </w:pPr>
            <w:r>
              <w:rPr>
                <w:rFonts w:ascii="Arial" w:cs="Arial" w:eastAsia="Arial" w:hAnsi="Arial"/>
                <w:color w:val="5B595A"/>
                <w:sz w:val="19"/>
                <w:szCs w:val="19"/>
              </w:rPr>
              <w:t xml:space="preserve">For any multi-step nuclear procedure, particularly where steps are sequential and order matters. Essential during any task where interruptions are likely.</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9FE3" w:val="clear"/>
            <w:tcMar>
              <w:top w:type="dxa" w:w="80"/>
              <w:left w:type="dxa" w:w="160"/>
              <w:bottom w:type="dxa" w:w="80"/>
              <w:right w:type="dxa" w:w="160"/>
            </w:tcMar>
          </w:tcPr>
          <w:p>
            <w:r>
              <w:rPr>
                <w:rFonts w:ascii="Arial" w:cs="Arial" w:eastAsia="Arial" w:hAnsi="Arial"/>
                <w:b/>
                <w:bCs/>
                <w:color w:val="FFFFFF"/>
                <w:sz w:val="24"/>
                <w:szCs w:val="24"/>
              </w:rPr>
              <w:t xml:space="preserve">HP-6  </w:t>
            </w:r>
            <w:r>
              <w:rPr>
                <w:rFonts w:ascii="Arial" w:cs="Arial" w:eastAsia="Arial" w:hAnsi="Arial"/>
                <w:b/>
                <w:bCs/>
                <w:color w:val="FFFFFF"/>
                <w:sz w:val="24"/>
                <w:szCs w:val="24"/>
              </w:rPr>
              <w:t xml:space="preserve">CONCURRENT VERIFICATION</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Two people simultaneously and independently verify a critical system state, value, or condition rather than one person verifying and the other simply observing. Both must reach the same conclusion independently.</w:t>
            </w:r>
          </w:p>
        </w:tc>
      </w:tr>
      <w:tr>
        <w:tc>
          <w:tcPr>
            <w:tcBorders>
              <w:top w:val="single" w:color="CCCCCC" w:sz="1"/>
              <w:left w:val="single" w:color="009FE3"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1.  Both individuals independently review or observe the item or condition</w:t>
            </w:r>
          </w:p>
        </w:tc>
      </w:tr>
      <w:tr>
        <w:tc>
          <w:tcPr>
            <w:tcBorders>
              <w:top w:val="single" w:color="CCCCCC" w:sz="1"/>
              <w:left w:val="single" w:color="009FE3"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2.  Neither individual communicates their finding to the other before they have independently reached their own conclusion</w:t>
            </w:r>
          </w:p>
        </w:tc>
      </w:tr>
      <w:tr>
        <w:tc>
          <w:tcPr>
            <w:tcBorders>
              <w:top w:val="single" w:color="CCCCCC" w:sz="1"/>
              <w:left w:val="single" w:color="009FE3"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3.  Both state their findings simultaneously or in quick succession</w:t>
            </w:r>
          </w:p>
        </w:tc>
      </w:tr>
      <w:tr>
        <w:tc>
          <w:tcPr>
            <w:tcBorders>
              <w:top w:val="single" w:color="CCCCCC" w:sz="1"/>
              <w:left w:val="single" w:color="009FE3"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4.  If findings agree, the verification is complete and recorded</w:t>
            </w:r>
          </w:p>
        </w:tc>
      </w:tr>
      <w:tr>
        <w:tc>
          <w:tcPr>
            <w:tcBorders>
              <w:top w:val="single" w:color="CCCCCC" w:sz="1"/>
              <w:left w:val="single" w:color="009FE3"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5.  If findings disagree, both stop, do not proceed, and resolve the discrepancy before any action is taken</w:t>
            </w:r>
          </w:p>
        </w:tc>
      </w:tr>
      <w:tr>
        <w:tc>
          <w:tcPr>
            <w:tcBorders>
              <w:top w:val="single" w:color="CCCCCC" w:sz="1"/>
              <w:left w:val="single" w:color="009FE3" w:sz="1"/>
              <w:bottom w:val="single" w:color="CCCCCC" w:sz="1"/>
              <w:right w:val="single" w:color="009FE3" w:sz="1"/>
            </w:tcBorders>
            <w:shd w:fill="F5EEF8" w:val="clear"/>
            <w:tcMar>
              <w:top w:type="dxa" w:w="80"/>
              <w:left w:type="dxa" w:w="160"/>
              <w:bottom w:type="dxa" w:w="80"/>
              <w:right w:type="dxa" w:w="160"/>
            </w:tcMar>
          </w:tcPr>
          <w:p>
            <w:pPr>
              <w:spacing w:after="30" w:before="0"/>
            </w:pPr>
            <w:r>
              <w:rPr>
                <w:rFonts w:ascii="Arial" w:cs="Arial" w:eastAsia="Arial" w:hAnsi="Arial"/>
                <w:b/>
                <w:bCs/>
                <w:color w:val="83348F"/>
                <w:sz w:val="19"/>
                <w:szCs w:val="19"/>
              </w:rPr>
              <w:t xml:space="preserve">When to use: </w:t>
            </w:r>
          </w:p>
          <w:p>
            <w:pPr>
              <w:spacing w:after="0" w:before="0"/>
            </w:pPr>
            <w:r>
              <w:rPr>
                <w:rFonts w:ascii="Arial" w:cs="Arial" w:eastAsia="Arial" w:hAnsi="Arial"/>
                <w:color w:val="5B595A"/>
                <w:sz w:val="19"/>
                <w:szCs w:val="19"/>
              </w:rPr>
              <w:t xml:space="preserve">Where a single verification of a critical measurement, safety setting, or system state carries an unacceptably high consequence of error. Often specified in procedures for Grade 1 safety-critical activities.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3348F" w:sz="1"/>
              <w:left w:val="single" w:color="83348F" w:sz="1"/>
              <w:bottom w:val="single" w:color="83348F" w:sz="1"/>
              <w:right w:val="single" w:color="83348F" w:sz="1"/>
            </w:tcBorders>
            <w:shd w:fill="83348F" w:val="clear"/>
            <w:tcMar>
              <w:top w:type="dxa" w:w="80"/>
              <w:left w:type="dxa" w:w="160"/>
              <w:bottom w:type="dxa" w:w="80"/>
              <w:right w:type="dxa" w:w="160"/>
            </w:tcMar>
          </w:tcPr>
          <w:p>
            <w:r>
              <w:rPr>
                <w:rFonts w:ascii="Arial" w:cs="Arial" w:eastAsia="Arial" w:hAnsi="Arial"/>
                <w:b/>
                <w:bCs/>
                <w:color w:val="FFFFFF"/>
                <w:sz w:val="24"/>
                <w:szCs w:val="24"/>
              </w:rPr>
              <w:t xml:space="preserve">HP-7  </w:t>
            </w:r>
            <w:r>
              <w:rPr>
                <w:rFonts w:ascii="Arial" w:cs="Arial" w:eastAsia="Arial" w:hAnsi="Arial"/>
                <w:b/>
                <w:bCs/>
                <w:color w:val="FFFFFF"/>
                <w:sz w:val="24"/>
                <w:szCs w:val="24"/>
              </w:rPr>
              <w:t xml:space="preserve">STOP-WORK AUTHORITY</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The right and responsibility of every individual to stop any task, at any point, when they have a concern about safety or quality that has not been resolved. Stop-work authority cannot be overridden by schedule, commercial pressure, or seniority.</w:t>
            </w:r>
          </w:p>
        </w:tc>
      </w:tr>
      <w:tr>
        <w:tc>
          <w:tcPr>
            <w:tcBorders>
              <w:top w:val="single" w:color="CCCCCC" w:sz="1"/>
              <w:left w:val="single" w:color="83348F"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1.  Recognise the concern: something does not look right, feel right, or match expectations</w:t>
            </w:r>
          </w:p>
        </w:tc>
      </w:tr>
      <w:tr>
        <w:tc>
          <w:tcPr>
            <w:tcBorders>
              <w:top w:val="single" w:color="CCCCCC" w:sz="1"/>
              <w:left w:val="single" w:color="83348F"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2.  State the concern clearly: tell the relevant person what you have observed and why you are stopping</w:t>
            </w:r>
          </w:p>
        </w:tc>
      </w:tr>
      <w:tr>
        <w:tc>
          <w:tcPr>
            <w:tcBorders>
              <w:top w:val="single" w:color="CCCCCC" w:sz="1"/>
              <w:left w:val="single" w:color="83348F"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3.  Stop the task: do not proceed past the point of concern</w:t>
            </w:r>
          </w:p>
        </w:tc>
      </w:tr>
      <w:tr>
        <w:tc>
          <w:tcPr>
            <w:tcBorders>
              <w:top w:val="single" w:color="CCCCCC" w:sz="1"/>
              <w:left w:val="single" w:color="83348F"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4.  Escalate: contact the Nuclear Quality Lead or supervisor as appropriate</w:t>
            </w:r>
          </w:p>
        </w:tc>
      </w:tr>
      <w:tr>
        <w:tc>
          <w:tcPr>
            <w:tcBorders>
              <w:top w:val="single" w:color="CCCCCC" w:sz="1"/>
              <w:left w:val="single" w:color="83348F" w:sz="3"/>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5B595A"/>
                <w:sz w:val="19"/>
                <w:szCs w:val="19"/>
              </w:rPr>
              <w:t xml:space="preserve">5.  Do not restart: the task does not restart until the concern has been investigated and resolved by an authorised person</w:t>
            </w:r>
          </w:p>
        </w:tc>
      </w:tr>
      <w:tr>
        <w:tc>
          <w:tcPr>
            <w:tcBorders>
              <w:top w:val="single" w:color="CCCCCC" w:sz="1"/>
              <w:left w:val="single" w:color="83348F" w:sz="3"/>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5B595A"/>
                <w:sz w:val="19"/>
                <w:szCs w:val="19"/>
              </w:rPr>
              <w:t xml:space="preserve">6.  Record: log the stop-work event and the resolution in the appropriate record</w:t>
            </w:r>
          </w:p>
        </w:tc>
      </w:tr>
      <w:tr>
        <w:tc>
          <w:tcPr>
            <w:tcBorders>
              <w:top w:val="single" w:color="CCCCCC" w:sz="1"/>
              <w:left w:val="single" w:color="83348F" w:sz="1"/>
              <w:bottom w:val="single" w:color="CCCCCC" w:sz="1"/>
              <w:right w:val="single" w:color="83348F" w:sz="1"/>
            </w:tcBorders>
            <w:shd w:fill="F5EEF8" w:val="clear"/>
            <w:tcMar>
              <w:top w:type="dxa" w:w="80"/>
              <w:left w:type="dxa" w:w="160"/>
              <w:bottom w:type="dxa" w:w="80"/>
              <w:right w:type="dxa" w:w="160"/>
            </w:tcMar>
          </w:tcPr>
          <w:p>
            <w:pPr>
              <w:spacing w:after="30" w:before="0"/>
            </w:pPr>
            <w:r>
              <w:rPr>
                <w:rFonts w:ascii="Arial" w:cs="Arial" w:eastAsia="Arial" w:hAnsi="Arial"/>
                <w:b/>
                <w:bCs/>
                <w:color w:val="83348F"/>
                <w:sz w:val="19"/>
                <w:szCs w:val="19"/>
              </w:rPr>
              <w:t xml:space="preserve">When to use: </w:t>
            </w:r>
          </w:p>
          <w:p>
            <w:pPr>
              <w:spacing w:after="0" w:before="0"/>
            </w:pPr>
            <w:r>
              <w:rPr>
                <w:rFonts w:ascii="Arial" w:cs="Arial" w:eastAsia="Arial" w:hAnsi="Arial"/>
                <w:color w:val="5B595A"/>
                <w:sz w:val="19"/>
                <w:szCs w:val="19"/>
              </w:rPr>
              <w:t xml:space="preserve">Any time. For any person. For any task. The threshold is a concern, not certainty of an error. If something does not seem right, stop. The cost of an unnecessary stop is minutes. The cost of proceeding past an unresolved concern can be catastrophic.</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4: NUCLEAR COMPETENCE AND AUTHORISATION</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4.1 How Nuclear Competence Differs from Generic Training Sign-Off</w:t>
      </w:r>
    </w:p>
    <w:p>
      <w:pPr>
        <w:spacing w:after="80" w:before="60"/>
      </w:pPr>
      <w:r>
        <w:rPr>
          <w:rFonts w:ascii="Arial" w:cs="Arial" w:eastAsia="Arial" w:hAnsi="Arial"/>
          <w:color w:val="5B595A"/>
          <w:sz w:val="22"/>
          <w:szCs w:val="22"/>
        </w:rPr>
        <w:t xml:space="preserve">In a generic business context, a training sign-off confirms that an individual has attended or completed a training activity. In nuclear, competence means something more specific: the demonstrated ability of a named individual to perform a defined activity to a defined standard, with the knowledge of the relevant nuclear safety requirements, and with a current, reviewed, and documented authorisation.</w:t>
      </w:r>
    </w:p>
    <w:p>
      <w:pPr>
        <w:spacing w:after="80" w:before="60"/>
      </w:pPr>
      <w:r>
        <w:rPr>
          <w:rFonts w:ascii="Arial" w:cs="Arial" w:eastAsia="Arial" w:hAnsi="Arial"/>
          <w:color w:val="5B595A"/>
          <w:sz w:val="22"/>
          <w:szCs w:val="22"/>
        </w:rPr>
        <w:t xml:space="preserve">The nuclear competence and authorisation framework has three distinct stages that generic training does not: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rPr>
          <w:tblHeader/>
        </w:trPr>
        <w:tc>
          <w:tcPr>
            <w:tcW w:type="dxa" w:w="16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4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What Evidence Is Required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Knowledge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The individual understands the theory, the standards, the procedures, and the nuclear safety significance of what they are doing</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Training completion records, written or oral assessments, awareness training records (NSS-01 through NSS-05 completion)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Demonstrated Competence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The individual has shown, under observation, that they can perform the task to the required standard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Observed assessment record, assessor's sign-off, practical demonstration record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Formal Authorisation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The organisation has formally granted the individual the authority to perform the specific task without direct supervision</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Named entry on the Nuclear Competence and Authorisation Register (NSS-05e), signed by the Nuclear Quality Lead, with issue date and expiry date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AUTHORISATION REGISTER</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The Nuclear Competence and Authorisation Register (NSS-05e) is one of the most frequently requested documents during nuclear client audits and F4N assessments. It must show, for every person performing nuclear-significant work, what they are authorised to do, when their authorisation was granted, and when it expires or is due for review. A training matrix alone does not meet this requirement.</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4.2 Maintaining Competence Currency</w:t>
      </w:r>
    </w:p>
    <w:p>
      <w:pPr>
        <w:spacing w:after="80" w:before="60"/>
      </w:pPr>
      <w:r>
        <w:rPr>
          <w:rFonts w:ascii="Arial" w:cs="Arial" w:eastAsia="Arial" w:hAnsi="Arial"/>
          <w:color w:val="5B595A"/>
          <w:sz w:val="22"/>
          <w:szCs w:val="22"/>
        </w:rPr>
        <w:t xml:space="preserve">Nuclear authorisations are not granted permanently. They must be reviewed at defined intervals to confirm that the individual's knowledge, skills, and qualifications remain current. The following events should trigger a competence currency review:</w:t>
      </w:r>
    </w:p>
    <w:p>
      <w:pPr>
        <w:pStyle w:val="ListParagraph"/>
        <w:numPr>
          <w:ilvl w:val="0"/>
          <w:numId w:val="2"/>
        </w:numPr>
        <w:spacing w:after="40" w:before="40"/>
      </w:pPr>
      <w:r>
        <w:rPr>
          <w:rFonts w:ascii="Arial" w:cs="Arial" w:eastAsia="Arial" w:hAnsi="Arial"/>
          <w:b w:val="false"/>
          <w:bCs w:val="false"/>
          <w:color w:val="5B595A"/>
          <w:sz w:val="22"/>
          <w:szCs w:val="22"/>
        </w:rPr>
        <w:t xml:space="preserve">The individual's relevant qualification or certification approaches its expiry date</w:t>
      </w:r>
    </w:p>
    <w:p>
      <w:pPr>
        <w:pStyle w:val="ListParagraph"/>
        <w:numPr>
          <w:ilvl w:val="0"/>
          <w:numId w:val="2"/>
        </w:numPr>
        <w:spacing w:after="40" w:before="40"/>
      </w:pPr>
      <w:r>
        <w:rPr>
          <w:rFonts w:ascii="Arial" w:cs="Arial" w:eastAsia="Arial" w:hAnsi="Arial"/>
          <w:b w:val="false"/>
          <w:bCs w:val="false"/>
          <w:color w:val="5B595A"/>
          <w:sz w:val="22"/>
          <w:szCs w:val="22"/>
        </w:rPr>
        <w:t xml:space="preserve">A significant change in the procedure or standard applicable to the authorised activity</w:t>
      </w:r>
    </w:p>
    <w:p>
      <w:pPr>
        <w:pStyle w:val="ListParagraph"/>
        <w:numPr>
          <w:ilvl w:val="0"/>
          <w:numId w:val="2"/>
        </w:numPr>
        <w:spacing w:after="40" w:before="40"/>
      </w:pPr>
      <w:r>
        <w:rPr>
          <w:rFonts w:ascii="Arial" w:cs="Arial" w:eastAsia="Arial" w:hAnsi="Arial"/>
          <w:b w:val="false"/>
          <w:bCs w:val="false"/>
          <w:color w:val="5B595A"/>
          <w:sz w:val="22"/>
          <w:szCs w:val="22"/>
        </w:rPr>
        <w:t xml:space="preserve">A period of absence from the authorised activity exceeding a defined interval (typically 12 months for most activities, shorter for high-consequence tasks)</w:t>
      </w:r>
    </w:p>
    <w:p>
      <w:pPr>
        <w:pStyle w:val="ListParagraph"/>
        <w:numPr>
          <w:ilvl w:val="0"/>
          <w:numId w:val="2"/>
        </w:numPr>
        <w:spacing w:after="40" w:before="40"/>
      </w:pPr>
      <w:r>
        <w:rPr>
          <w:rFonts w:ascii="Arial" w:cs="Arial" w:eastAsia="Arial" w:hAnsi="Arial"/>
          <w:b w:val="false"/>
          <w:bCs w:val="false"/>
          <w:color w:val="5B595A"/>
          <w:sz w:val="22"/>
          <w:szCs w:val="22"/>
        </w:rPr>
        <w:t xml:space="preserve">A near miss or human performance failure involving the individual in the authorised activity</w:t>
      </w:r>
    </w:p>
    <w:p>
      <w:pPr>
        <w:pStyle w:val="ListParagraph"/>
        <w:numPr>
          <w:ilvl w:val="0"/>
          <w:numId w:val="2"/>
        </w:numPr>
        <w:spacing w:after="40" w:before="40"/>
      </w:pPr>
      <w:r>
        <w:rPr>
          <w:rFonts w:ascii="Arial" w:cs="Arial" w:eastAsia="Arial" w:hAnsi="Arial"/>
          <w:b w:val="false"/>
          <w:bCs w:val="false"/>
          <w:color w:val="5B595A"/>
          <w:sz w:val="22"/>
          <w:szCs w:val="22"/>
        </w:rPr>
        <w:t xml:space="preserve">A significant change in the scope, grade, or safety significance of the work</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4.3 SQEP and Fitness for Role</w:t>
      </w:r>
    </w:p>
    <w:p>
      <w:pPr>
        <w:spacing w:after="80" w:before="60"/>
      </w:pPr>
      <w:r>
        <w:rPr>
          <w:rFonts w:ascii="Arial" w:cs="Arial" w:eastAsia="Arial" w:hAnsi="Arial"/>
          <w:color w:val="5B595A"/>
          <w:sz w:val="22"/>
          <w:szCs w:val="22"/>
        </w:rPr>
        <w:t xml:space="preserve">Suitably Qualified and Experienced Personnel (SQEP) is the ISO 19443 term for the nuclear competence requirement. An individual is SQEP for a nuclear task if they hold the relevant qualifications for the task (formal certifications, trade qualifications, or approved in-house assessments), have relevant and current experience of performing the task or equivalent tasks, and hold a current authorisation for the specific nuclear activity.</w:t>
      </w:r>
    </w:p>
    <w:p>
      <w:pPr>
        <w:spacing w:after="80" w:before="60"/>
      </w:pPr>
      <w:r>
        <w:rPr>
          <w:rFonts w:ascii="Arial" w:cs="Arial" w:eastAsia="Arial" w:hAnsi="Arial"/>
          <w:color w:val="5B595A"/>
          <w:sz w:val="22"/>
          <w:szCs w:val="22"/>
        </w:rPr>
        <w:t xml:space="preserve">SQEP is assessed at two levels: at the role level (is this person qualified to perform this type of work generally?) and at the task level (is this person authorised to perform this specific task on this specific contract?). Both must be satisfied for the individual to work unsupervised on nuclear-significant activities.</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5: FATIGUE MANAGEMENT AND FITNESS FOR DUTY</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5.1 Why Fatigue Is a Nuclear HP Issue</w:t>
      </w:r>
    </w:p>
    <w:p>
      <w:pPr>
        <w:spacing w:after="80" w:before="60"/>
      </w:pPr>
      <w:r>
        <w:rPr>
          <w:rFonts w:ascii="Arial" w:cs="Arial" w:eastAsia="Arial" w:hAnsi="Arial"/>
          <w:color w:val="5B595A"/>
          <w:sz w:val="22"/>
          <w:szCs w:val="22"/>
        </w:rPr>
        <w:t xml:space="preserve">Fatigue is one of the most significant contributors to human error in all safety-critical industries. Its effects on performance are well documented: reduced attention, slower reaction time, impaired judgement, increased tendency toward shortcuts, and reduced awareness of the potential consequences of errors. In nuclear work, these effects are directly relevant to the reliability of any HP tool use.</w:t>
      </w:r>
    </w:p>
    <w:p>
      <w:pPr>
        <w:spacing w:after="80" w:before="60"/>
      </w:pPr>
      <w:r>
        <w:rPr>
          <w:rFonts w:ascii="Arial" w:cs="Arial" w:eastAsia="Arial" w:hAnsi="Arial"/>
          <w:color w:val="5B595A"/>
          <w:sz w:val="22"/>
          <w:szCs w:val="22"/>
        </w:rPr>
        <w:t xml:space="preserve">A fatigued individual conducting a pre-job briefing will cover it less thoroughly. A fatigued inspector conducting a final dimensional check will be more likely to accept a borderline measurement. A fatigued welder will be more likely to rely on habit rather than consulting the WPS. The consequence in each case is an increased probability of an error reaching the nuclear facility.</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5.2 Fitness for Duty Expectations</w:t>
      </w:r>
    </w:p>
    <w:p>
      <w:pPr>
        <w:spacing w:after="80" w:before="60"/>
      </w:pPr>
      <w:r>
        <w:rPr>
          <w:rFonts w:ascii="Arial" w:cs="Arial" w:eastAsia="Arial" w:hAnsi="Arial"/>
          <w:color w:val="5B595A"/>
          <w:sz w:val="22"/>
          <w:szCs w:val="22"/>
        </w:rPr>
        <w:t xml:space="preserve">Fitness for duty means that every individual assigned to nuclear-significant work is in a condition that allows them to perform that work safely and to the required standard. This means:</w:t>
      </w:r>
    </w:p>
    <w:p>
      <w:pPr>
        <w:pStyle w:val="ListParagraph"/>
        <w:numPr>
          <w:ilvl w:val="0"/>
          <w:numId w:val="2"/>
        </w:numPr>
        <w:spacing w:after="40" w:before="40"/>
      </w:pPr>
      <w:r>
        <w:rPr>
          <w:rFonts w:ascii="Arial" w:cs="Arial" w:eastAsia="Arial" w:hAnsi="Arial"/>
          <w:b w:val="false"/>
          <w:bCs w:val="false"/>
          <w:color w:val="5B595A"/>
          <w:sz w:val="22"/>
          <w:szCs w:val="22"/>
        </w:rPr>
        <w:t xml:space="preserve">Adequately rested: not working through extreme fatigue from long shifts, multiple consecutive shifts, or inadequate rest periods</w:t>
      </w:r>
    </w:p>
    <w:p>
      <w:pPr>
        <w:pStyle w:val="ListParagraph"/>
        <w:numPr>
          <w:ilvl w:val="0"/>
          <w:numId w:val="2"/>
        </w:numPr>
        <w:spacing w:after="40" w:before="40"/>
      </w:pPr>
      <w:r>
        <w:rPr>
          <w:rFonts w:ascii="Arial" w:cs="Arial" w:eastAsia="Arial" w:hAnsi="Arial"/>
          <w:b w:val="false"/>
          <w:bCs w:val="false"/>
          <w:color w:val="5B595A"/>
          <w:sz w:val="22"/>
          <w:szCs w:val="22"/>
        </w:rPr>
        <w:t xml:space="preserve">Free from the effects of substances that could impair judgement, reaction time, or attention</w:t>
      </w:r>
    </w:p>
    <w:p>
      <w:pPr>
        <w:pStyle w:val="ListParagraph"/>
        <w:numPr>
          <w:ilvl w:val="0"/>
          <w:numId w:val="2"/>
        </w:numPr>
        <w:spacing w:after="40" w:before="40"/>
      </w:pPr>
      <w:r>
        <w:rPr>
          <w:rFonts w:ascii="Arial" w:cs="Arial" w:eastAsia="Arial" w:hAnsi="Arial"/>
          <w:b w:val="false"/>
          <w:bCs w:val="false"/>
          <w:color w:val="5B595A"/>
          <w:sz w:val="22"/>
          <w:szCs w:val="22"/>
        </w:rPr>
        <w:t xml:space="preserve">Free from medical conditions or prescribed medications that could significantly impair performance</w:t>
      </w:r>
    </w:p>
    <w:p>
      <w:pPr>
        <w:pStyle w:val="ListParagraph"/>
        <w:numPr>
          <w:ilvl w:val="0"/>
          <w:numId w:val="2"/>
        </w:numPr>
        <w:spacing w:after="40" w:before="40"/>
      </w:pPr>
      <w:r>
        <w:rPr>
          <w:rFonts w:ascii="Arial" w:cs="Arial" w:eastAsia="Arial" w:hAnsi="Arial"/>
          <w:b w:val="false"/>
          <w:bCs w:val="false"/>
          <w:color w:val="5B595A"/>
          <w:sz w:val="22"/>
          <w:szCs w:val="22"/>
        </w:rPr>
        <w:t xml:space="preserve">Mentally and emotionally in a state that allows concentration and the appropriate application of HP tools</w:t>
      </w:r>
    </w:p>
    <w:p>
      <w:pPr>
        <w:spacing w:after="80" w:before="80"/>
      </w:pPr>
      <w:r>
        <w:t xml:space="preserve"/>
      </w:r>
    </w:p>
    <w:p>
      <w:pPr>
        <w:spacing w:after="80" w:before="60"/>
      </w:pPr>
      <w:r>
        <w:rPr>
          <w:rFonts w:ascii="Arial" w:cs="Arial" w:eastAsia="Arial" w:hAnsi="Arial"/>
          <w:color w:val="5B595A"/>
          <w:sz w:val="22"/>
          <w:szCs w:val="22"/>
        </w:rPr>
        <w:t xml:space="preserve">The organisation's responsibility is to create the conditions in which individuals can be fit for duty: appropriate shift lengths, adequate rest between shifts, a culture where individuals feel able to declare they are not fit for a particular task without fear of penalty, and a supervisor who checks fitness before assigning safety-significant work.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Fitness for Duty Requirement</w:t>
            </w:r>
          </w:p>
        </w:tc>
        <w:tc>
          <w:tcPr>
            <w:tcW w:type="dxa" w:w="26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Minimum Standard</w:t>
            </w:r>
          </w:p>
        </w:tc>
        <w:tc>
          <w:tcPr>
            <w:tcW w:type="dxa" w:w="4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Nuclear Work Consideration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Shift length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Maximum working hours comply with Working Time Regulations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Consider additional limits for Grade 1/2 safety-significant tasks, particularly at the end of long shifts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Rest between shifts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Minimum 11 consecutive hours rest before return to work</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Brief safety-significant task handovers carefully where individuals return to mid-task work after rest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Self-declaration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Individual confirms fitness at start of safety-significant task</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Supervisor check required before Grade 1/2 tasks; documented for high-consequence activities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Reporting route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Individuals can declare themselves unfit without penalty</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Named route exists (separate from line manager if needed) for declaring fitness concerns on nuclear work</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6: HP PERFORMANCE MONITORING AND CONTINUOUS IMPROVEMENT</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6.1 What HP Monitoring Looks Like</w:t>
      </w:r>
    </w:p>
    <w:p>
      <w:pPr>
        <w:spacing w:after="80" w:before="60"/>
      </w:pPr>
      <w:r>
        <w:rPr>
          <w:rFonts w:ascii="Arial" w:cs="Arial" w:eastAsia="Arial" w:hAnsi="Arial"/>
          <w:color w:val="5B595A"/>
          <w:sz w:val="22"/>
          <w:szCs w:val="22"/>
        </w:rPr>
        <w:t xml:space="preserve">HP monitoring is not the same as generic performance management. It specifically measures the use and quality of HP tools in practice, the frequency and nature of HP-related near misses and events, and the health of the conditions that support HP (fatigue management, competence currency, procedure quality).</w:t>
      </w:r>
    </w:p>
    <w:p>
      <w:pPr>
        <w:spacing w:after="80" w:before="60"/>
      </w:pPr>
      <w:r>
        <w:rPr>
          <w:rFonts w:ascii="Arial" w:cs="Arial" w:eastAsia="Arial" w:hAnsi="Arial"/>
          <w:color w:val="5B595A"/>
          <w:sz w:val="22"/>
          <w:szCs w:val="22"/>
        </w:rPr>
        <w:t xml:space="preserve">The most effective HP monitoring activities for a supply chain organisation are:</w:t>
      </w:r>
    </w:p>
    <w:p>
      <w:pPr>
        <w:pStyle w:val="ListParagraph"/>
        <w:numPr>
          <w:ilvl w:val="0"/>
          <w:numId w:val="2"/>
        </w:numPr>
        <w:spacing w:after="40" w:before="40"/>
      </w:pPr>
      <w:r>
        <w:rPr>
          <w:rFonts w:ascii="Arial" w:cs="Arial" w:eastAsia="Arial" w:hAnsi="Arial"/>
          <w:b/>
          <w:bCs/>
          <w:color w:val="5B595A"/>
          <w:sz w:val="22"/>
          <w:szCs w:val="22"/>
        </w:rPr>
        <w:t xml:space="preserve">Planned HP observations (NSS-05h): supervisors conduct structured observations of HP tool use during nuclear-significant tasks and provide feedback on what was observed</w:t>
      </w:r>
    </w:p>
    <w:p>
      <w:pPr>
        <w:pStyle w:val="ListParagraph"/>
        <w:numPr>
          <w:ilvl w:val="0"/>
          <w:numId w:val="2"/>
        </w:numPr>
        <w:spacing w:after="40" w:before="40"/>
      </w:pPr>
      <w:r>
        <w:rPr>
          <w:rFonts w:ascii="Arial" w:cs="Arial" w:eastAsia="Arial" w:hAnsi="Arial"/>
          <w:b w:val="false"/>
          <w:bCs w:val="false"/>
          <w:color w:val="5B595A"/>
          <w:sz w:val="22"/>
          <w:szCs w:val="22"/>
        </w:rPr>
        <w:t xml:space="preserve">Pre-job briefing quality reviews: periodically review completed pre-job briefing records to assess whether briefings are thorough and whether the identified error traps were actually addressed during the task</w:t>
      </w:r>
    </w:p>
    <w:p>
      <w:pPr>
        <w:pStyle w:val="ListParagraph"/>
        <w:numPr>
          <w:ilvl w:val="0"/>
          <w:numId w:val="2"/>
        </w:numPr>
        <w:spacing w:after="40" w:before="40"/>
      </w:pPr>
      <w:r>
        <w:rPr>
          <w:rFonts w:ascii="Arial" w:cs="Arial" w:eastAsia="Arial" w:hAnsi="Arial"/>
          <w:b w:val="false"/>
          <w:bCs w:val="false"/>
          <w:color w:val="5B595A"/>
          <w:sz w:val="22"/>
          <w:szCs w:val="22"/>
        </w:rPr>
        <w:t xml:space="preserve">Stop-work event review: review every stop-work event as a positive learning opportunity, not as a failure, and share the lesson across the team</w:t>
      </w:r>
    </w:p>
    <w:p>
      <w:pPr>
        <w:pStyle w:val="ListParagraph"/>
        <w:numPr>
          <w:ilvl w:val="0"/>
          <w:numId w:val="2"/>
        </w:numPr>
        <w:spacing w:after="40" w:before="40"/>
      </w:pPr>
      <w:r>
        <w:rPr>
          <w:rFonts w:ascii="Arial" w:cs="Arial" w:eastAsia="Arial" w:hAnsi="Arial"/>
          <w:b w:val="false"/>
          <w:bCs w:val="false"/>
          <w:color w:val="5B595A"/>
          <w:sz w:val="22"/>
          <w:szCs w:val="22"/>
        </w:rPr>
        <w:t xml:space="preserve">Near miss and OPEX review: use NSS-02d to capture HP-related near misses (wrong procedure revision used, a peer check that caught an error, a distraction-related mistake that was self-corrected) as learning data</w:t>
      </w:r>
    </w:p>
    <w:p>
      <w:pPr>
        <w:pStyle w:val="ListParagraph"/>
        <w:numPr>
          <w:ilvl w:val="0"/>
          <w:numId w:val="2"/>
        </w:numPr>
        <w:spacing w:after="40" w:before="40"/>
      </w:pPr>
      <w:r>
        <w:rPr>
          <w:rFonts w:ascii="Arial" w:cs="Arial" w:eastAsia="Arial" w:hAnsi="Arial"/>
          <w:b w:val="false"/>
          <w:bCs w:val="false"/>
          <w:color w:val="5B595A"/>
          <w:sz w:val="22"/>
          <w:szCs w:val="22"/>
        </w:rPr>
        <w:t xml:space="preserve">Competence currency dashboard: maintain the authorisation register (NSS-05e) with a live view of approaching expiry dates so renewals are planned in advance, not discovered during a pre-task check</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6.2 Post-Job Review</w:t>
      </w:r>
    </w:p>
    <w:p>
      <w:pPr>
        <w:spacing w:after="80" w:before="60"/>
      </w:pPr>
      <w:r>
        <w:rPr>
          <w:rFonts w:ascii="Arial" w:cs="Arial" w:eastAsia="Arial" w:hAnsi="Arial"/>
          <w:color w:val="5B595A"/>
          <w:sz w:val="22"/>
          <w:szCs w:val="22"/>
        </w:rPr>
        <w:t xml:space="preserve">The post-job review is the HP equivalent of the lessons-learned close-out at the end of a nuclear task. For significant nuclear activities, a brief structured review after the task should cover:</w:t>
      </w:r>
    </w:p>
    <w:p>
      <w:pPr>
        <w:pStyle w:val="ListParagraph"/>
        <w:numPr>
          <w:ilvl w:val="0"/>
          <w:numId w:val="2"/>
        </w:numPr>
        <w:spacing w:after="40" w:before="40"/>
      </w:pPr>
      <w:r>
        <w:rPr>
          <w:rFonts w:ascii="Arial" w:cs="Arial" w:eastAsia="Arial" w:hAnsi="Arial"/>
          <w:b w:val="false"/>
          <w:bCs w:val="false"/>
          <w:color w:val="5B595A"/>
          <w:sz w:val="22"/>
          <w:szCs w:val="22"/>
        </w:rPr>
        <w:t xml:space="preserve">Did we follow the procedure as written? If not, why not, and does the procedure need to be improved?</w:t>
      </w:r>
    </w:p>
    <w:p>
      <w:pPr>
        <w:pStyle w:val="ListParagraph"/>
        <w:numPr>
          <w:ilvl w:val="0"/>
          <w:numId w:val="2"/>
        </w:numPr>
        <w:spacing w:after="40" w:before="40"/>
      </w:pPr>
      <w:r>
        <w:rPr>
          <w:rFonts w:ascii="Arial" w:cs="Arial" w:eastAsia="Arial" w:hAnsi="Arial"/>
          <w:b w:val="false"/>
          <w:bCs w:val="false"/>
          <w:color w:val="5B595A"/>
          <w:sz w:val="22"/>
          <w:szCs w:val="22"/>
        </w:rPr>
        <w:t xml:space="preserve">Were any error traps encountered that were not identified in the pre-job briefing?</w:t>
      </w:r>
    </w:p>
    <w:p>
      <w:pPr>
        <w:pStyle w:val="ListParagraph"/>
        <w:numPr>
          <w:ilvl w:val="0"/>
          <w:numId w:val="2"/>
        </w:numPr>
        <w:spacing w:after="40" w:before="40"/>
      </w:pPr>
      <w:r>
        <w:rPr>
          <w:rFonts w:ascii="Arial" w:cs="Arial" w:eastAsia="Arial" w:hAnsi="Arial"/>
          <w:b w:val="false"/>
          <w:bCs w:val="false"/>
          <w:color w:val="5B595A"/>
          <w:sz w:val="22"/>
          <w:szCs w:val="22"/>
        </w:rPr>
        <w:t xml:space="preserve">Were all HP tools used as planned? Were any shortcuts taken?</w:t>
      </w:r>
    </w:p>
    <w:p>
      <w:pPr>
        <w:pStyle w:val="ListParagraph"/>
        <w:numPr>
          <w:ilvl w:val="0"/>
          <w:numId w:val="2"/>
        </w:numPr>
        <w:spacing w:after="40" w:before="40"/>
      </w:pPr>
      <w:r>
        <w:rPr>
          <w:rFonts w:ascii="Arial" w:cs="Arial" w:eastAsia="Arial" w:hAnsi="Arial"/>
          <w:b w:val="false"/>
          <w:bCs w:val="false"/>
          <w:color w:val="5B595A"/>
          <w:sz w:val="22"/>
          <w:szCs w:val="22"/>
        </w:rPr>
        <w:t xml:space="preserve">Did anything happen during the task that should be recorded in the near miss log?</w:t>
      </w:r>
    </w:p>
    <w:p>
      <w:pPr>
        <w:pStyle w:val="ListParagraph"/>
        <w:numPr>
          <w:ilvl w:val="0"/>
          <w:numId w:val="2"/>
        </w:numPr>
        <w:spacing w:after="40" w:before="40"/>
      </w:pPr>
      <w:r>
        <w:rPr>
          <w:rFonts w:ascii="Arial" w:cs="Arial" w:eastAsia="Arial" w:hAnsi="Arial"/>
          <w:b w:val="false"/>
          <w:bCs w:val="false"/>
          <w:color w:val="5B595A"/>
          <w:sz w:val="22"/>
          <w:szCs w:val="22"/>
        </w:rPr>
        <w:t xml:space="preserve">Is there anything we would do differently next time?</w:t>
      </w:r>
    </w:p>
    <w:p>
      <w:pPr>
        <w:spacing w:after="80" w:before="80"/>
      </w:pPr>
      <w:r>
        <w:t xml:space="preserve"/>
      </w:r>
    </w:p>
    <w:p>
      <w:pPr>
        <w:spacing w:after="80" w:before="60"/>
      </w:pPr>
      <w:r>
        <w:rPr>
          <w:rFonts w:ascii="Arial" w:cs="Arial" w:eastAsia="Arial" w:hAnsi="Arial"/>
          <w:color w:val="5B595A"/>
          <w:sz w:val="22"/>
          <w:szCs w:val="22"/>
        </w:rPr>
        <w:t xml:space="preserve">Post-job reviews do not need to be long. For most tasks, five minutes of structured reflection at the close of the work is sufficient. For complex or novel tasks, a more formal record is appropriate.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CONTINUOUS IMPROVEMENT IN HP</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HP is not a fixed standard to be achieved and maintained. It is a discipline that should continuously improve as the organisation learns from its own experience and from industry OPEX. An organisation that has implemented the basics well and is actively learning from HP observations, near misses, and post-job reviews is demonstrating continuous improvement in human performance, which is exactly what the F4N assessment is looking for at score 10.</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SESSION RECORD AND SIGN-OFF</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Training Session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Session Date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Facilitator 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Location / Format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Version of Guide Used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NSS-05a  Rev 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Number of Attendees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226"/>
      </w:tblGrid>
      <w:tr>
        <w:trPr>
          <w:tblHeader/>
        </w:trPr>
        <w:tc>
          <w:tcPr>
            <w:tcW w:type="dxa" w:w="36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Job Role</w:t>
            </w:r>
          </w:p>
        </w:tc>
        <w:tc>
          <w:tcPr>
            <w:tcW w:type="dxa" w:w="2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Date /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Initial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NSS-05a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Nuclear Human Performance Training Guide</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1E3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9FE3"/>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D52FC5-4B3A-4169-B040-DA00DA25479C}"/>
</file>

<file path=customXml/itemProps2.xml><?xml version="1.0" encoding="utf-8"?>
<ds:datastoreItem xmlns:ds="http://schemas.openxmlformats.org/officeDocument/2006/customXml" ds:itemID="{70277642-1568-4F88-B498-BEDD7F22CDDD}"/>
</file>

<file path=customXml/itemProps3.xml><?xml version="1.0" encoding="utf-8"?>
<ds:datastoreItem xmlns:ds="http://schemas.openxmlformats.org/officeDocument/2006/customXml" ds:itemID="{7B15439D-220A-4F0C-973F-6DD1A678864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NSS-05a Nuclear Human Performance Training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