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1E3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HUMAN PERFORMANCE TOOLS REFERENCE CARD  |  NSS-05b  |  Use on every nuclear-significant task</w:t>
      </w:r>
    </w:p>
    <w:p>
      <w:pPr>
        <w:shd w:fill="009FE3" w:val="clear"/>
        <w:spacing w:after="80" w:before="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  Seven core tools from INPO 12-012. Not optional. Not bureaucracy. The barriers between a human error and a nuclear safety event.</w:t>
      </w: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9"/>
        <w:gridCol w:w="60"/>
        <w:gridCol w:w="3879"/>
        <w:gridCol w:w="60"/>
        <w:gridCol w:w="3879"/>
        <w:gridCol w:w="60"/>
        <w:gridCol w:w="3879"/>
      </w:tblGrid>
      <w:tr>
        <w:tc>
          <w:tcPr>
            <w:tcW w:type="dxa" w:w="3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87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79"/>
            </w:tblGrid>
            <w:tr>
              <w:tc>
                <w:tcPr>
                  <w:tcW w:type="dxa" w:w="3879"/>
                  <w:tcBorders>
                    <w:top w:val="single" w:color="001E3C" w:sz="1"/>
                    <w:left w:val="single" w:color="001E3C" w:sz="1"/>
                    <w:bottom w:val="single" w:color="001E3C" w:sz="1"/>
                    <w:right w:val="single" w:color="001E3C" w:sz="1"/>
                  </w:tcBorders>
                  <w:shd w:fill="001E3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HP-1  PRE-JOB BRIEFING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1. Identify task, scope, and sequence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2. Confirm procedure revision and special instructions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3. State nuclear safety significance and quality grade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4. Identify error traps relevant to this task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5. Confirm hold/witness points and notifications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6. Discuss contingency actions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7. Confirm stop-work criteria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8. All attendees sign the briefing record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001E3C" w:sz="1"/>
                    <w:right w:val="single" w:color="001E3C" w:sz="1"/>
                  </w:tcBorders>
                  <w:shd w:fill="F5EE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3348F"/>
                      <w:sz w:val="13"/>
                      <w:szCs w:val="13"/>
                    </w:rPr>
                    <w:t xml:space="preserve">Use: </w:t>
                  </w:r>
                  <w:r>
                    <w:rPr>
                      <w:rFonts w:ascii="Arial" w:cs="Arial" w:eastAsia="Arial" w:hAnsi="Arial"/>
                      <w:color w:val="5B595A"/>
                      <w:sz w:val="13"/>
                      <w:szCs w:val="13"/>
                    </w:rPr>
                    <w:t xml:space="preserve">Before every nuclear-significant task, especially Grade 1/2 and first-time tasks</w:t>
                  </w:r>
                </w:p>
              </w:tc>
            </w:tr>
          </w:tbl>
          <w:p/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87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79"/>
            </w:tblGrid>
            <w:tr>
              <w:tc>
                <w:tcPr>
                  <w:tcW w:type="dxa" w:w="3879"/>
                  <w:tcBorders>
                    <w:top w:val="single" w:color="009FE3" w:sz="1"/>
                    <w:left w:val="single" w:color="009FE3" w:sz="1"/>
                    <w:bottom w:val="single" w:color="009FE3" w:sz="1"/>
                    <w:right w:val="single" w:color="009FE3" w:sz="1"/>
                  </w:tcBorders>
                  <w:shd w:fill="009FE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HP-2  SELF-CHECK (STAR)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1. STOP: pause, do not proceed on autopilot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2. THINK: confirm the action and expected result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3. ACT: perform deliberately with full attention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4. REVIEW: check the result before moving on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009FE3" w:sz="1"/>
                    <w:right w:val="single" w:color="009FE3" w:sz="1"/>
                  </w:tcBorders>
                  <w:shd w:fill="F5EE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3348F"/>
                      <w:sz w:val="13"/>
                      <w:szCs w:val="13"/>
                    </w:rPr>
                    <w:t xml:space="preserve">Use: </w:t>
                  </w:r>
                  <w:r>
                    <w:rPr>
                      <w:rFonts w:ascii="Arial" w:cs="Arial" w:eastAsia="Arial" w:hAnsi="Arial"/>
                      <w:color w:val="5B595A"/>
                      <w:sz w:val="13"/>
                      <w:szCs w:val="13"/>
                    </w:rPr>
                    <w:t xml:space="preserve">Before any safety-significant action, especially irreversible ones. At every hold point. After interruptions.</w:t>
                  </w:r>
                </w:p>
              </w:tc>
            </w:tr>
          </w:tbl>
          <w:p/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87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79"/>
            </w:tblGrid>
            <w:tr>
              <w:tc>
                <w:tcPr>
                  <w:tcW w:type="dxa" w:w="3879"/>
                  <w:tcBorders>
                    <w:top w:val="single" w:color="83348F" w:sz="1"/>
                    <w:left w:val="single" w:color="83348F" w:sz="1"/>
                    <w:bottom w:val="single" w:color="83348F" w:sz="1"/>
                    <w:right w:val="single" w:color="83348F" w:sz="1"/>
                  </w:tcBorders>
                  <w:shd w:fill="83348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HP-3  PEER CHECK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1. Identify the specific action or result to check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2. Checker evaluates independently, not by following along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3. Checker confirms or challenges before action proceeds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4. Any disagreement resolved before proceeding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5. Both parties record their involvement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83348F" w:sz="1"/>
                    <w:right w:val="single" w:color="83348F" w:sz="1"/>
                  </w:tcBorders>
                  <w:shd w:fill="F5EE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3348F"/>
                      <w:sz w:val="13"/>
                      <w:szCs w:val="13"/>
                    </w:rPr>
                    <w:t xml:space="preserve">Use: </w:t>
                  </w:r>
                  <w:r>
                    <w:rPr>
                      <w:rFonts w:ascii="Arial" w:cs="Arial" w:eastAsia="Arial" w:hAnsi="Arial"/>
                      <w:color w:val="5B595A"/>
                      <w:sz w:val="13"/>
                      <w:szCs w:val="13"/>
                    </w:rPr>
                    <w:t xml:space="preserve">Grade 1/2 activities, irreversible actions, after interruptions, when an error precursor is present</w:t>
                  </w:r>
                </w:p>
              </w:tc>
            </w:tr>
          </w:tbl>
          <w:p/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87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79"/>
            </w:tblGrid>
            <w:tr>
              <w:tc>
                <w:tcPr>
                  <w:tcW w:type="dxa" w:w="3879"/>
                  <w:tcBorders>
                    <w:top w:val="single" w:color="375623" w:sz="1"/>
                    <w:left w:val="single" w:color="375623" w:sz="1"/>
                    <w:bottom w:val="single" w:color="375623" w:sz="1"/>
                    <w:right w:val="single" w:color="375623" w:sz="1"/>
                  </w:tcBorders>
                  <w:shd w:fill="37562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HP-4  THREE-WAY COMMUNICATION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375623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1. Sender states information clearly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375623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2. Receiver repeats back in their own words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375623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3. Sender confirms or corrects the repeat-back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375623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4. If any uncertainty remains, repeat from the start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375623" w:sz="1"/>
                    <w:bottom w:val="single" w:color="375623" w:sz="1"/>
                    <w:right w:val="single" w:color="375623" w:sz="1"/>
                  </w:tcBorders>
                  <w:shd w:fill="F5EE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3348F"/>
                      <w:sz w:val="13"/>
                      <w:szCs w:val="13"/>
                    </w:rPr>
                    <w:t xml:space="preserve">Use: </w:t>
                  </w:r>
                  <w:r>
                    <w:rPr>
                      <w:rFonts w:ascii="Arial" w:cs="Arial" w:eastAsia="Arial" w:hAnsi="Arial"/>
                      <w:color w:val="5B595A"/>
                      <w:sz w:val="13"/>
                      <w:szCs w:val="13"/>
                    </w:rPr>
                    <w:t xml:space="preserve">Any safety-significant verbal instruction or information transfer: hold points, stop-work, procedure changes, shift handover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9"/>
        <w:gridCol w:w="60"/>
        <w:gridCol w:w="3879"/>
        <w:gridCol w:w="60"/>
        <w:gridCol w:w="3879"/>
        <w:gridCol w:w="60"/>
        <w:gridCol w:w="3879"/>
      </w:tblGrid>
      <w:tr>
        <w:tc>
          <w:tcPr>
            <w:tcW w:type="dxa" w:w="3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87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79"/>
            </w:tblGrid>
            <w:tr>
              <w:tc>
                <w:tcPr>
                  <w:tcW w:type="dxa" w:w="3879"/>
                  <w:tcBorders>
                    <w:top w:val="single" w:color="001E3C" w:sz="1"/>
                    <w:left w:val="single" w:color="001E3C" w:sz="1"/>
                    <w:bottom w:val="single" w:color="001E3C" w:sz="1"/>
                    <w:right w:val="single" w:color="001E3C" w:sz="1"/>
                  </w:tcBorders>
                  <w:shd w:fill="001E3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HP-5  PLACE KEEPING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1. Mark each completed step on the procedure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2. Never rely on memory alone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3. Mark last completed step before any interruption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4. Verify position from marking before resuming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5. Never skip steps, even apparently unnecessary ones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1E3C" w:sz="1"/>
                    <w:bottom w:val="single" w:color="001E3C" w:sz="1"/>
                    <w:right w:val="single" w:color="001E3C" w:sz="1"/>
                  </w:tcBorders>
                  <w:shd w:fill="F5EE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3348F"/>
                      <w:sz w:val="13"/>
                      <w:szCs w:val="13"/>
                    </w:rPr>
                    <w:t xml:space="preserve">Use: </w:t>
                  </w:r>
                  <w:r>
                    <w:rPr>
                      <w:rFonts w:ascii="Arial" w:cs="Arial" w:eastAsia="Arial" w:hAnsi="Arial"/>
                      <w:color w:val="5B595A"/>
                      <w:sz w:val="13"/>
                      <w:szCs w:val="13"/>
                    </w:rPr>
                    <w:t xml:space="preserve">Any multi-step nuclear procedure. Essential where interruptions are likely.</w:t>
                  </w:r>
                </w:p>
              </w:tc>
            </w:tr>
          </w:tbl>
          <w:p/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87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79"/>
            </w:tblGrid>
            <w:tr>
              <w:tc>
                <w:tcPr>
                  <w:tcW w:type="dxa" w:w="3879"/>
                  <w:tcBorders>
                    <w:top w:val="single" w:color="009FE3" w:sz="1"/>
                    <w:left w:val="single" w:color="009FE3" w:sz="1"/>
                    <w:bottom w:val="single" w:color="009FE3" w:sz="1"/>
                    <w:right w:val="single" w:color="009FE3" w:sz="1"/>
                  </w:tcBorders>
                  <w:shd w:fill="009FE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HP-6  CONCURRENT VERIFICATION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1. Both individuals review the item independently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2. Neither communicates their finding to the other first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3. Both state findings simultaneously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4. If findings agree: verified, record it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5. If findings disagree: STOP, resolve before any action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009FE3" w:sz="1"/>
                    <w:bottom w:val="single" w:color="009FE3" w:sz="1"/>
                    <w:right w:val="single" w:color="009FE3" w:sz="1"/>
                  </w:tcBorders>
                  <w:shd w:fill="F5EE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3348F"/>
                      <w:sz w:val="13"/>
                      <w:szCs w:val="13"/>
                    </w:rPr>
                    <w:t xml:space="preserve">Use: </w:t>
                  </w:r>
                  <w:r>
                    <w:rPr>
                      <w:rFonts w:ascii="Arial" w:cs="Arial" w:eastAsia="Arial" w:hAnsi="Arial"/>
                      <w:color w:val="5B595A"/>
                      <w:sz w:val="13"/>
                      <w:szCs w:val="13"/>
                    </w:rPr>
                    <w:t xml:space="preserve">Critical measurements, safety settings, or system states where a single verification carries high consequence of error</w:t>
                  </w:r>
                </w:p>
              </w:tc>
            </w:tr>
          </w:tbl>
          <w:p/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87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79"/>
            </w:tblGrid>
            <w:tr>
              <w:tc>
                <w:tcPr>
                  <w:tcW w:type="dxa" w:w="3879"/>
                  <w:tcBorders>
                    <w:top w:val="single" w:color="83348F" w:sz="1"/>
                    <w:left w:val="single" w:color="83348F" w:sz="1"/>
                    <w:bottom w:val="single" w:color="83348F" w:sz="1"/>
                    <w:right w:val="single" w:color="83348F" w:sz="1"/>
                  </w:tcBorders>
                  <w:shd w:fill="83348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HP-7  STOP-WORK AUTHORITY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1. Recognise: something does not seem right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2. State: tell the relevant person clearly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3. Stop: do not proceed past the point of concern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4. Escalate: contact Nuclear Quality Lead or supervisor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5. Wait: task does not restart until concern is resolved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6. Record: log the stop-work event and resolution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3348F" w:sz="1"/>
                    <w:bottom w:val="single" w:color="83348F" w:sz="1"/>
                    <w:right w:val="single" w:color="83348F" w:sz="1"/>
                  </w:tcBorders>
                  <w:shd w:fill="F5EEF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3348F"/>
                      <w:sz w:val="13"/>
                      <w:szCs w:val="13"/>
                    </w:rPr>
                    <w:t xml:space="preserve">Use: </w:t>
                  </w:r>
                  <w:r>
                    <w:rPr>
                      <w:rFonts w:ascii="Arial" w:cs="Arial" w:eastAsia="Arial" w:hAnsi="Arial"/>
                      <w:color w:val="5B595A"/>
                      <w:sz w:val="13"/>
                      <w:szCs w:val="13"/>
                    </w:rPr>
                    <w:t xml:space="preserve">Any time. Any person. Any task. The threshold is a CONCERN, not certainty.</w:t>
                  </w:r>
                </w:p>
              </w:tc>
            </w:tr>
          </w:tbl>
          <w:p/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87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79"/>
            </w:tblGrid>
            <w:tr>
              <w:tc>
                <w:tcPr>
                  <w:tcW w:type="dxa" w:w="3879"/>
                  <w:tcBorders>
                    <w:top w:val="single" w:color="8B0000" w:sz="2"/>
                    <w:left w:val="single" w:color="8B0000" w:sz="2"/>
                    <w:bottom w:val="single" w:color="8B0000" w:sz="1"/>
                    <w:right w:val="single" w:color="8B0000" w:sz="2"/>
                  </w:tcBorders>
                  <w:shd w:fill="8B00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COMMON ERROR TRAPS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B0000" w:sz="2"/>
                    <w:bottom w:val="single" w:color="CCCCCC" w:sz="1"/>
                    <w:right w:val="single" w:color="8B0000" w:sz="2"/>
                  </w:tcBorders>
                  <w:shd w:fill="FBE8E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4"/>
                      <w:szCs w:val="14"/>
                    </w:rPr>
                    <w:t xml:space="preserve">1.  Time pressure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B0000" w:sz="2"/>
                    <w:bottom w:val="single" w:color="CCCCCC" w:sz="1"/>
                    <w:right w:val="single" w:color="8B0000" w:sz="2"/>
                  </w:tcBorders>
                  <w:shd w:fill="FFF0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4"/>
                      <w:szCs w:val="14"/>
                    </w:rPr>
                    <w:t xml:space="preserve">2.  Distraction or interruption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B0000" w:sz="2"/>
                    <w:bottom w:val="single" w:color="CCCCCC" w:sz="1"/>
                    <w:right w:val="single" w:color="8B0000" w:sz="2"/>
                  </w:tcBorders>
                  <w:shd w:fill="FBE8E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4"/>
                      <w:szCs w:val="14"/>
                    </w:rPr>
                    <w:t xml:space="preserve">3.  Habit and complacency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B0000" w:sz="2"/>
                    <w:bottom w:val="single" w:color="CCCCCC" w:sz="1"/>
                    <w:right w:val="single" w:color="8B0000" w:sz="2"/>
                  </w:tcBorders>
                  <w:shd w:fill="FFF0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4"/>
                      <w:szCs w:val="14"/>
                    </w:rPr>
                    <w:t xml:space="preserve">4.  First time or infrequent task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B0000" w:sz="2"/>
                    <w:bottom w:val="single" w:color="CCCCCC" w:sz="1"/>
                    <w:right w:val="single" w:color="8B0000" w:sz="2"/>
                  </w:tcBorders>
                  <w:shd w:fill="FBE8E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4"/>
                      <w:szCs w:val="14"/>
                    </w:rPr>
                    <w:t xml:space="preserve">5.  Overconfidence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B0000" w:sz="2"/>
                    <w:bottom w:val="single" w:color="CCCCCC" w:sz="1"/>
                    <w:right w:val="single" w:color="8B0000" w:sz="2"/>
                  </w:tcBorders>
                  <w:shd w:fill="FFF0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4"/>
                      <w:szCs w:val="14"/>
                    </w:rPr>
                    <w:t xml:space="preserve">6.  Unclear procedure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B0000" w:sz="2"/>
                    <w:bottom w:val="single" w:color="CCCCCC" w:sz="1"/>
                    <w:right w:val="single" w:color="8B0000" w:sz="2"/>
                  </w:tcBorders>
                  <w:shd w:fill="FBE8E8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4"/>
                      <w:szCs w:val="14"/>
                    </w:rPr>
                    <w:t xml:space="preserve">7.  Poor physical environment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CCCCCC" w:sz="1"/>
                    <w:left w:val="single" w:color="8B0000" w:sz="2"/>
                    <w:bottom w:val="single" w:color="CCCCCC" w:sz="1"/>
                    <w:right w:val="single" w:color="8B0000" w:sz="2"/>
                  </w:tcBorders>
                  <w:shd w:fill="FFF0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4"/>
                      <w:szCs w:val="14"/>
                    </w:rPr>
                    <w:t xml:space="preserve">8.  Simultaneous tasks</w:t>
                  </w:r>
                </w:p>
              </w:tc>
            </w:tr>
            <w:tr>
              <w:tc>
                <w:tcPr>
                  <w:tcW w:type="dxa" w:w="3879"/>
                  <w:tcBorders>
                    <w:top w:val="single" w:color="8B0000" w:sz="1"/>
                    <w:left w:val="single" w:color="8B0000" w:sz="2"/>
                    <w:bottom w:val="single" w:color="8B0000" w:sz="2"/>
                    <w:right w:val="single" w:color="8B0000" w:sz="2"/>
                  </w:tcBorders>
                  <w:shd w:fill="001E3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Spot a trap? Increase HP tool use. Do not proceed on autopilot.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shd w:fill="83348F" w:val="clear"/>
        <w:spacing w:after="0" w:before="0"/>
      </w:pPr>
      <w:r>
        <w:rPr>
          <w:rFonts w:ascii="Arial" w:cs="Arial" w:eastAsia="Arial" w:hAnsi="Arial"/>
          <w:color w:val="FFFFFF"/>
          <w:sz w:val="15"/>
          <w:szCs w:val="15"/>
        </w:rPr>
        <w:t xml:space="preserve">  Refer to NSS-05a (Training Guide) for full detail on each tool  |  NSS-05c (Pre-Job Briefing Template)  |  NSS-05g (Fatigue and Fitness for Duty Policy)</w:t>
      </w:r>
    </w:p>
    <w:sectPr>
      <w:footerReference w:type="default" r:id="rId7"/>
      <w:headerReference w:type="default" r:id="rId9"/>
      <w:pgSz w:w="16838" w:h="11906" w:orient="landscape"/>
      <w:pgMar w:top="700" w:right="560" w:bottom="700" w:left="560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B595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839843-EB22-44D8-8992-BA780BD5EFCA}"/>
</file>

<file path=customXml/itemProps2.xml><?xml version="1.0" encoding="utf-8"?>
<ds:datastoreItem xmlns:ds="http://schemas.openxmlformats.org/officeDocument/2006/customXml" ds:itemID="{70E0DF77-D853-41AB-89E8-A0D2E10DF611}"/>
</file>

<file path=customXml/itemProps3.xml><?xml version="1.0" encoding="utf-8"?>
<ds:datastoreItem xmlns:ds="http://schemas.openxmlformats.org/officeDocument/2006/customXml" ds:itemID="{53D0AFD0-350D-4064-8681-66154172819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NSS-05b Human Performance Tools Reference Card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