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1E3C" w:val="clear"/>
        <w:spacing w:after="0" w:before="0"/>
      </w:pPr>
      <w:r>
        <w:rPr>
          <w:rFonts w:ascii="Arial" w:cs="Arial" w:eastAsia="Arial" w:hAnsi="Arial"/>
          <w:sz w:val="8"/>
          <w:szCs w:val="8"/>
        </w:rPr>
        <w:t xml:space="preserve"> </w:t>
      </w:r>
    </w:p>
    <w:p>
      <w:pPr>
        <w:spacing w:after="60" w:before="60"/>
      </w:pPr>
      <w:r>
        <w:t xml:space="preserve"/>
      </w:r>
    </w:p>
    <w:p>
      <w:pPr>
        <w:spacing w:after="60" w:before="60"/>
      </w:pPr>
      <w:r>
        <w:t xml:space="preserve"/>
      </w:r>
    </w:p>
    <w:p>
      <w:pPr>
        <w:spacing w:after="200" w:before="400"/>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143000"/>
                    </a:xfrm>
                    <a:prstGeom prst="rect">
                      <a:avLst/>
                    </a:prstGeom>
                  </pic:spPr>
                </pic:pic>
              </a:graphicData>
            </a:graphic>
          </wp:inline>
        </w:drawing>
      </w:r>
    </w:p>
    <w:p>
      <w:pPr>
        <w:shd w:fill="009FE3" w:val="clear"/>
        <w:spacing w:after="0" w:before="500"/>
        <w:jc w:val="center"/>
      </w:pPr>
      <w:r>
        <w:rPr>
          <w:rFonts w:ascii="Arial" w:cs="Arial" w:eastAsia="Arial" w:hAnsi="Arial"/>
          <w:b/>
          <w:bCs/>
          <w:color w:val="FFFFFF"/>
          <w:sz w:val="42"/>
          <w:szCs w:val="42"/>
        </w:rPr>
        <w:t xml:space="preserve">NUCLEAR COMPETENCE</w:t>
      </w:r>
    </w:p>
    <w:p>
      <w:pPr>
        <w:shd w:fill="009FE3" w:val="clear"/>
        <w:spacing w:after="0" w:before="0"/>
        <w:jc w:val="center"/>
      </w:pPr>
      <w:r>
        <w:rPr>
          <w:rFonts w:ascii="Arial" w:cs="Arial" w:eastAsia="Arial" w:hAnsi="Arial"/>
          <w:b/>
          <w:bCs/>
          <w:color w:val="FFFFFF"/>
          <w:sz w:val="36"/>
          <w:szCs w:val="36"/>
        </w:rPr>
        <w:t xml:space="preserve">MANAGEMENT FRAMEWORK</w:t>
      </w:r>
    </w:p>
    <w:p>
      <w:pPr>
        <w:shd w:fill="83348F" w:val="clear"/>
        <w:spacing w:after="0" w:before="0"/>
        <w:jc w:val="center"/>
      </w:pPr>
      <w:r>
        <w:rPr>
          <w:rFonts w:ascii="Arial" w:cs="Arial" w:eastAsia="Arial" w:hAnsi="Arial"/>
          <w:b/>
          <w:bCs/>
          <w:color w:val="FFFFFF"/>
          <w:sz w:val="26"/>
          <w:szCs w:val="26"/>
        </w:rPr>
        <w:t xml:space="preserve">Working Procedure  |  NSS-05d</w:t>
      </w:r>
    </w:p>
    <w:p>
      <w:pPr>
        <w:spacing w:after="60" w:before="60"/>
      </w:pPr>
      <w:r>
        <w:t xml:space="preserve"/>
      </w:r>
    </w:p>
    <w:p>
      <w:pPr>
        <w:spacing w:after="60" w:before="60"/>
      </w:pPr>
      <w:r>
        <w:t xml:space="preserve"/>
      </w:r>
    </w:p>
    <w:p>
      <w:pPr>
        <w:spacing w:after="80" w:before="360"/>
        <w:jc w:val="center"/>
      </w:pPr>
      <w:r>
        <w:rPr>
          <w:rFonts w:ascii="Arial" w:cs="Arial" w:eastAsia="Arial" w:hAnsi="Arial"/>
          <w:b/>
          <w:bCs/>
          <w:color w:val="5B595A"/>
          <w:sz w:val="22"/>
          <w:szCs w:val="22"/>
        </w:rPr>
        <w:t xml:space="preserve">NSS-05d</w:t>
      </w:r>
    </w:p>
    <w:p>
      <w:pPr>
        <w:spacing w:after="80" w:before="0"/>
        <w:jc w:val="center"/>
      </w:pPr>
      <w:r>
        <w:rPr>
          <w:rFonts w:ascii="Arial" w:cs="Arial" w:eastAsia="Arial" w:hAnsi="Arial"/>
          <w:color w:val="5B595A"/>
          <w:sz w:val="20"/>
          <w:szCs w:val="20"/>
        </w:rPr>
        <w:t xml:space="preserve">Nuclear Sector Specific Programme  |  Delivered by NucCol</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hd w:fill="001E3C" w:val="clear"/>
        <w:spacing w:after="0" w:before="0"/>
        <w:jc w:val="center"/>
      </w:pPr>
      <w:r>
        <w:rPr>
          <w:rFonts w:ascii="Arial" w:cs="Arial" w:eastAsia="Arial" w:hAnsi="Arial"/>
          <w:color w:val="FFFFFF"/>
          <w:sz w:val="18"/>
          <w:szCs w:val="18"/>
        </w:rPr>
        <w:t xml:space="preserve">www.nuccol.co.uk  |  Commercial in Confidence</w:t>
      </w:r>
    </w:p>
    <w:p>
      <w:r>
        <w:br w:type="page"/>
      </w:r>
    </w:p>
    <w:p>
      <w:pPr>
        <w:sectPr>
          <w:headerReference w:type="default" r:id="rId11"/>
          <w:footerReference w:type="default" r:id="rId12"/>
          <w:pgSz w:w="11906" w:h="16838" w:orient="portrait"/>
          <w:pgMar w:top="720" w:right="1080" w:bottom="720" w:left="1080" w:header="283" w:footer="283" w:gutter="0"/>
          <w:pgNumType/>
          <w:docGrid w:linePitch="360"/>
        </w:sectP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rHeight w:val="360" w:hRule="atLeast"/>
        </w:trPr>
        <w:tc>
          <w:tcPr>
            <w:tcW w:type="dxa" w:w="28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Document Reference: NSS-05d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Field</w:t>
            </w:r>
          </w:p>
        </w:tc>
        <w:tc>
          <w:tcPr>
            <w:tcW w:type="dxa" w:w="62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Owner</w:t>
            </w:r>
          </w:p>
        </w:tc>
        <w:tc>
          <w:tcPr>
            <w:tcW w:type="dxa" w:w="62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[Nuclear Quality Lead]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Approved By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[Director]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Date of Issue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Review Frequency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Annual or following significant change in nuclear scope or personnel</w:t>
            </w:r>
          </w:p>
        </w:tc>
      </w:tr>
    </w:tbl>
    <w:p>
      <w:pPr>
        <w:spacing w:after="60" w:before="60"/>
      </w:pPr>
      <w:r>
        <w:t xml:space="preserve"/>
      </w:r>
    </w:p>
    <w:p>
      <w:pPr>
        <w:pStyle w:val="Heading1"/>
        <w:spacing w:after="100" w:before="280"/>
      </w:pPr>
      <w:r>
        <w:rPr>
          <w:rFonts w:ascii="Arial" w:cs="Arial" w:eastAsia="Arial" w:hAnsi="Arial"/>
          <w:b/>
          <w:bCs/>
          <w:color w:val="29ABE2"/>
          <w:sz w:val="34"/>
          <w:szCs w:val="34"/>
        </w:rPr>
        <w:t xml:space="preserve">Purpose and Scope</w:t>
      </w:r>
    </w:p>
    <w:p>
      <w:pPr>
        <w:spacing w:after="80" w:before="60"/>
      </w:pPr>
      <w:r>
        <w:rPr>
          <w:rFonts w:ascii="Arial" w:cs="Arial" w:eastAsia="Arial" w:hAnsi="Arial"/>
          <w:color w:val="5B595A"/>
          <w:sz w:val="21"/>
          <w:szCs w:val="21"/>
        </w:rPr>
        <w:t xml:space="preserve">This procedure defines how [Company Name] manages competence for personnel performing nuclear ITNS work. It establishes how nuclear-specific competence requirements are defined, how individuals are assessed against those requirements, how authorisations are granted and recorded, how currency is maintained, and how the framework connects to SQEP requirements under ISO 19443.</w:t>
      </w:r>
    </w:p>
    <w:p>
      <w:pPr>
        <w:spacing w:after="80" w:before="60"/>
      </w:pPr>
      <w:r>
        <w:rPr>
          <w:rFonts w:ascii="Arial" w:cs="Arial" w:eastAsia="Arial" w:hAnsi="Arial"/>
          <w:color w:val="5B595A"/>
          <w:sz w:val="21"/>
          <w:szCs w:val="21"/>
        </w:rPr>
        <w:t xml:space="preserve">This procedure extends the general skills matrix and training records approach used in the BE People Excellence suite by adding the nuclear-specific stages of demonstrated competence and formal authorisation that ISO 19443 requires for safety-significant activities.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SCOPE</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0"/>
                <w:szCs w:val="20"/>
              </w:rPr>
              <w:t xml:space="preserve">This procedure applies to all personnel performing nuclear-classified ITNS activities at Grade 1 or Grade 2. It supplements the general training and competence processes that apply to all staff. The Nuclear Competence and Authorisation Register (NSS-05e) is the live record maintained under this procedure.</w:t>
            </w:r>
          </w:p>
        </w:tc>
      </w:tr>
    </w:tbl>
    <w:p>
      <w:pPr>
        <w:spacing w:after="60" w:before="60"/>
      </w:pPr>
      <w:r>
        <w:t xml:space="preserve"/>
      </w:r>
    </w:p>
    <w:p>
      <w:pPr>
        <w:shd w:fill="001E3C" w:val="clear"/>
        <w:spacing w:after="80" w:before="200"/>
        <w:ind w:left="120" w:right="120"/>
      </w:pPr>
      <w:r>
        <w:rPr>
          <w:rFonts w:ascii="Arial" w:cs="Arial" w:eastAsia="Arial" w:hAnsi="Arial"/>
          <w:b/>
          <w:bCs/>
          <w:color w:val="FFFFFF"/>
          <w:sz w:val="24"/>
          <w:szCs w:val="24"/>
        </w:rPr>
        <w:t xml:space="preserve">SECTION 1: THE THREE-STAGE NUCLEAR COMPETENCE FRAMEWORK</w:t>
      </w:r>
    </w:p>
    <w:p>
      <w:pPr>
        <w:spacing w:after="60" w:before="60"/>
      </w:pPr>
      <w:r>
        <w:t xml:space="preserve"/>
      </w:r>
    </w:p>
    <w:p>
      <w:pPr>
        <w:spacing w:after="80" w:before="60"/>
      </w:pPr>
      <w:r>
        <w:rPr>
          <w:rFonts w:ascii="Arial" w:cs="Arial" w:eastAsia="Arial" w:hAnsi="Arial"/>
          <w:color w:val="5B595A"/>
          <w:sz w:val="21"/>
          <w:szCs w:val="21"/>
        </w:rPr>
        <w:t xml:space="preserve">Nuclear competence is assessed and granted in three distinct stages. Generic training sign-off satisfies Stage 1 only. All three stages must be completed before an individual is authorised to perform nuclear ITNS work unsupervised.</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000"/>
        <w:gridCol w:w="3726"/>
      </w:tblGrid>
      <w:tr>
        <w:trPr>
          <w:tblHeader/>
        </w:trPr>
        <w:tc>
          <w:tcPr>
            <w:tcW w:type="dxa" w:w="9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Stage</w:t>
            </w:r>
          </w:p>
        </w:tc>
        <w:tc>
          <w:tcPr>
            <w:tcW w:type="dxa" w:w="14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Name</w:t>
            </w:r>
          </w:p>
        </w:tc>
        <w:tc>
          <w:tcPr>
            <w:tcW w:type="dxa" w:w="30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37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Evidence Required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B595A"/>
                <w:sz w:val="18"/>
                <w:szCs w:val="18"/>
              </w:rPr>
              <w:t xml:space="preserve">Stage 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Knowledge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Individual understands the relevant procedures, standards, nuclear safety significance, and applicable HP tools for the activity</w:t>
            </w:r>
          </w:p>
        </w:tc>
        <w:tc>
          <w:tcPr>
            <w:tcW w:type="dxa" w:w="37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Training completion record, written or oral assessment result, NSS awareness training records (NSS-01 to NSS-05)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5B595A"/>
                <w:sz w:val="18"/>
                <w:szCs w:val="18"/>
              </w:rPr>
              <w:t xml:space="preserve">Stage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Demonstrated Competence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Individual has performed the activity to the required standard under direct observation by a qualified assessor</w:t>
            </w:r>
          </w:p>
        </w:tc>
        <w:tc>
          <w:tcPr>
            <w:tcW w:type="dxa" w:w="37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Observed Assessment Record, assessor's sign-off, any applicable qualification or certification evidence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5B595A"/>
                <w:sz w:val="18"/>
                <w:szCs w:val="18"/>
              </w:rPr>
              <w:t xml:space="preserve">Stage 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Formal Authorisation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Organisation has formally granted authority to perform the activity without direct supervision</w:t>
            </w:r>
          </w:p>
        </w:tc>
        <w:tc>
          <w:tcPr>
            <w:tcW w:type="dxa" w:w="37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Signed entry on Nuclear Competence and Authorisation Register (NSS-05e), issued by Nuclear Quality Lead</w:t>
            </w:r>
          </w:p>
        </w:tc>
      </w:tr>
    </w:tbl>
    <w:p>
      <w:pPr>
        <w:spacing w:after="60" w:before="60"/>
      </w:pPr>
      <w:r>
        <w:t xml:space="preserve"/>
      </w:r>
    </w:p>
    <w:p>
      <w:pPr>
        <w:shd w:fill="009FE3" w:val="clear"/>
        <w:spacing w:after="80" w:before="200"/>
        <w:ind w:left="120" w:right="120"/>
      </w:pPr>
      <w:r>
        <w:rPr>
          <w:rFonts w:ascii="Arial" w:cs="Arial" w:eastAsia="Arial" w:hAnsi="Arial"/>
          <w:b/>
          <w:bCs/>
          <w:color w:val="FFFFFF"/>
          <w:sz w:val="24"/>
          <w:szCs w:val="24"/>
        </w:rPr>
        <w:t xml:space="preserve">SECTION 2: DEFINING COMPETENCE REQUIREMENTS</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2.1 Activity-Level Competence Profiles</w:t>
      </w:r>
    </w:p>
    <w:p>
      <w:pPr>
        <w:spacing w:after="80" w:before="60"/>
      </w:pPr>
      <w:r>
        <w:rPr>
          <w:rFonts w:ascii="Arial" w:cs="Arial" w:eastAsia="Arial" w:hAnsi="Arial"/>
          <w:color w:val="5B595A"/>
          <w:sz w:val="21"/>
          <w:szCs w:val="21"/>
        </w:rPr>
        <w:t xml:space="preserve">For each type of nuclear ITNS activity performed by the organisation, a documented competence profile must exist that specifies: the knowledge requirements, the practical skills to be demonstrated, any mandatory qualifications or certifications, the assessment method, and the currency period before renewal is required.</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400"/>
        <w:gridCol w:w="2826"/>
      </w:tblGrid>
      <w:tr>
        <w:trPr>
          <w:tblHeader/>
        </w:trPr>
        <w:tc>
          <w:tcPr>
            <w:tcW w:type="dxa" w:w="22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Activity Type</w:t>
            </w:r>
          </w:p>
        </w:tc>
        <w:tc>
          <w:tcPr>
            <w:tcW w:type="dxa" w:w="26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Typical Mandatory Qualifications</w:t>
            </w:r>
          </w:p>
        </w:tc>
        <w:tc>
          <w:tcPr>
            <w:tcW w:type="dxa" w:w="14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Currency Period</w:t>
            </w:r>
          </w:p>
        </w:tc>
        <w:tc>
          <w:tcPr>
            <w:tcW w:type="dxa" w:w="28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Assessment Method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Nuclear welding (ITNS Grade 1/2)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BS EN ISO 9606 / ASME IX welder qualification to applicable process and material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Typically 2 years; check applicable code</w:t>
            </w:r>
          </w:p>
        </w:tc>
        <w:tc>
          <w:tcPr>
            <w:tcW w:type="dxa" w:w="2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Weld test to applicable procedure and standard, qualified by approved examiner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NDE (UT, RT, MT, PT, VT)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PCN Level 2 (minimum) or ASNT Level II in applicable method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Typically 5 years; check PCN/ASNT rules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Practical examination by approved Level 3 examiner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Nuclear inspection and release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Relevant trade qualification + in-house nuclear quality assessment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Annual review, renewal if &gt;12 months since last nuclear inspection activity</w:t>
            </w:r>
          </w:p>
        </w:tc>
        <w:tc>
          <w:tcPr>
            <w:tcW w:type="dxa" w:w="2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Observed assessment against specific inspection procedure and acceptance criteria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Nuclear document control and records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In-house training + nuclear records awareness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Annual</w:t>
            </w:r>
          </w:p>
        </w:tc>
        <w:tc>
          <w:tcPr>
            <w:tcW w:type="dxa" w:w="2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Written assessment on record-keeping requirements and document control procedure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CFSI goods receipt inspection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CFSI awareness training (NSS-03g) + practical assessment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Annual or when a new CFSI alert relevant to scope is issued</w:t>
            </w:r>
          </w:p>
        </w:tc>
        <w:tc>
          <w:tcPr>
            <w:tcW w:type="dxa" w:w="2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Practical walkthrough of CFSI checklist (NSS-03h) against live delivery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HP tool application (all nuclear staff)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NSS-05a training + practical HP tool assessment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Annual</w:t>
            </w:r>
          </w:p>
        </w:tc>
        <w:tc>
          <w:tcPr>
            <w:tcW w:type="dxa" w:w="2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Observed HP observation (NSS-05h) confirming HP tool use on nuclear task</w:t>
            </w:r>
          </w:p>
        </w:tc>
      </w:tr>
    </w:tbl>
    <w:p>
      <w:pPr>
        <w:spacing w:after="60" w:before="60"/>
      </w:pPr>
      <w:r>
        <w:t xml:space="preserve"/>
      </w:r>
    </w:p>
    <w:p>
      <w:pPr>
        <w:shd w:fill="001E3C" w:val="clear"/>
        <w:spacing w:after="80" w:before="200"/>
        <w:ind w:left="120" w:right="120"/>
      </w:pPr>
      <w:r>
        <w:rPr>
          <w:rFonts w:ascii="Arial" w:cs="Arial" w:eastAsia="Arial" w:hAnsi="Arial"/>
          <w:b/>
          <w:bCs/>
          <w:color w:val="FFFFFF"/>
          <w:sz w:val="24"/>
          <w:szCs w:val="24"/>
        </w:rPr>
        <w:t xml:space="preserve">SECTION 3: ASSESSMENT AND AUTHORISATION PROCESS</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3.1 The Assessment Process</w:t>
      </w:r>
    </w:p>
    <w:p>
      <w:pPr>
        <w:pStyle w:val="ListParagraph"/>
        <w:numPr>
          <w:ilvl w:val="0"/>
          <w:numId w:val="2"/>
        </w:numPr>
        <w:spacing w:after="40" w:before="40"/>
      </w:pPr>
      <w:r>
        <w:rPr>
          <w:rFonts w:ascii="Arial" w:cs="Arial" w:eastAsia="Arial" w:hAnsi="Arial"/>
          <w:color w:val="5B595A"/>
          <w:sz w:val="21"/>
          <w:szCs w:val="21"/>
        </w:rPr>
        <w:t xml:space="preserve">The Nuclear Quality Lead identifies which personnel require authorisation for each nuclear ITNS activity type</w:t>
      </w:r>
    </w:p>
    <w:p>
      <w:pPr>
        <w:pStyle w:val="ListParagraph"/>
        <w:numPr>
          <w:ilvl w:val="0"/>
          <w:numId w:val="2"/>
        </w:numPr>
        <w:spacing w:after="40" w:before="40"/>
      </w:pPr>
      <w:r>
        <w:rPr>
          <w:rFonts w:ascii="Arial" w:cs="Arial" w:eastAsia="Arial" w:hAnsi="Arial"/>
          <w:color w:val="5B595A"/>
          <w:sz w:val="21"/>
          <w:szCs w:val="21"/>
        </w:rPr>
        <w:t xml:space="preserve">Stage 1 knowledge training is completed and recorded. Completion is confirmed by signed training record before Stage 2 is attempted</w:t>
      </w:r>
    </w:p>
    <w:p>
      <w:pPr>
        <w:pStyle w:val="ListParagraph"/>
        <w:numPr>
          <w:ilvl w:val="0"/>
          <w:numId w:val="2"/>
        </w:numPr>
        <w:spacing w:after="40" w:before="40"/>
      </w:pPr>
      <w:r>
        <w:rPr>
          <w:rFonts w:ascii="Arial" w:cs="Arial" w:eastAsia="Arial" w:hAnsi="Arial"/>
          <w:color w:val="5B595A"/>
          <w:sz w:val="21"/>
          <w:szCs w:val="21"/>
        </w:rPr>
        <w:t xml:space="preserve">A qualified assessor observes the individual performing the activity to the required standard and completes the Observed Assessment Record</w:t>
      </w:r>
    </w:p>
    <w:p>
      <w:pPr>
        <w:pStyle w:val="ListParagraph"/>
        <w:numPr>
          <w:ilvl w:val="0"/>
          <w:numId w:val="2"/>
        </w:numPr>
        <w:spacing w:after="40" w:before="40"/>
      </w:pPr>
      <w:r>
        <w:rPr>
          <w:rFonts w:ascii="Arial" w:cs="Arial" w:eastAsia="Arial" w:hAnsi="Arial"/>
          <w:color w:val="5B595A"/>
          <w:sz w:val="21"/>
          <w:szCs w:val="21"/>
        </w:rPr>
        <w:t xml:space="preserve">The assessor confirms in writing that the individual has met the competence criteria, or identifies the specific areas requiring further development before authorisation can be granted</w:t>
      </w:r>
    </w:p>
    <w:p>
      <w:pPr>
        <w:pStyle w:val="ListParagraph"/>
        <w:numPr>
          <w:ilvl w:val="0"/>
          <w:numId w:val="2"/>
        </w:numPr>
        <w:spacing w:after="40" w:before="40"/>
      </w:pPr>
      <w:r>
        <w:rPr>
          <w:rFonts w:ascii="Arial" w:cs="Arial" w:eastAsia="Arial" w:hAnsi="Arial"/>
          <w:color w:val="5B595A"/>
          <w:sz w:val="21"/>
          <w:szCs w:val="21"/>
        </w:rPr>
        <w:t xml:space="preserve">The Nuclear Quality Lead reviews the assessment evidence and, if satisfied, grants the formal authorisation by entering the individual on NSS-05e with the date, scope, and expiry date</w:t>
      </w:r>
    </w:p>
    <w:p>
      <w:pPr>
        <w:pStyle w:val="ListParagraph"/>
        <w:numPr>
          <w:ilvl w:val="0"/>
          <w:numId w:val="2"/>
        </w:numPr>
        <w:spacing w:after="40" w:before="40"/>
      </w:pPr>
      <w:r>
        <w:rPr>
          <w:rFonts w:ascii="Arial" w:cs="Arial" w:eastAsia="Arial" w:hAnsi="Arial"/>
          <w:color w:val="5B595A"/>
          <w:sz w:val="21"/>
          <w:szCs w:val="21"/>
        </w:rPr>
        <w:t xml:space="preserve">The individual is notified of their authorisation and the conditions and limits that apply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ASSESSOR QUALIFICATION</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0"/>
                <w:szCs w:val="20"/>
              </w:rPr>
              <w:t xml:space="preserve">The assessor for Stage 2 observed competence assessment must themselves be authorised to perform the activity, must have demonstrably relevant experience, and must not have a conflict of interest in the outcome of the assessment. For specialist activities such as welding or NDE, the assessor may be a third-party qualified examiner.</w:t>
            </w:r>
          </w:p>
        </w:tc>
      </w:tr>
    </w:tbl>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3.2 Authorisation Scope and Limits</w:t>
      </w:r>
    </w:p>
    <w:p>
      <w:pPr>
        <w:spacing w:after="80" w:before="60"/>
      </w:pPr>
      <w:r>
        <w:rPr>
          <w:rFonts w:ascii="Arial" w:cs="Arial" w:eastAsia="Arial" w:hAnsi="Arial"/>
          <w:color w:val="5B595A"/>
          <w:sz w:val="21"/>
          <w:szCs w:val="21"/>
        </w:rPr>
        <w:t xml:space="preserve">Nuclear authorisations are specific to a defined scope of activity. An authorisation to weld in one process and material group does not authorise welding in another. An authorisation for in-process inspection does not authorise final release. The scope of each authorisation must be explicitly documented in NSS-05e.</w:t>
      </w:r>
    </w:p>
    <w:p>
      <w:pPr>
        <w:pStyle w:val="ListParagraph"/>
        <w:numPr>
          <w:ilvl w:val="0"/>
          <w:numId w:val="2"/>
        </w:numPr>
        <w:spacing w:after="40" w:before="40"/>
      </w:pPr>
      <w:r>
        <w:rPr>
          <w:rFonts w:ascii="Arial" w:cs="Arial" w:eastAsia="Arial" w:hAnsi="Arial"/>
          <w:color w:val="5B595A"/>
          <w:sz w:val="21"/>
          <w:szCs w:val="21"/>
        </w:rPr>
        <w:t xml:space="preserve">Authorisations may be conditional: for example, requiring a second-person peer check for a defined period after initial grant</w:t>
      </w:r>
    </w:p>
    <w:p>
      <w:pPr>
        <w:pStyle w:val="ListParagraph"/>
        <w:numPr>
          <w:ilvl w:val="0"/>
          <w:numId w:val="2"/>
        </w:numPr>
        <w:spacing w:after="40" w:before="40"/>
      </w:pPr>
      <w:r>
        <w:rPr>
          <w:rFonts w:ascii="Arial" w:cs="Arial" w:eastAsia="Arial" w:hAnsi="Arial"/>
          <w:color w:val="5B595A"/>
          <w:sz w:val="21"/>
          <w:szCs w:val="21"/>
        </w:rPr>
        <w:t xml:space="preserve">Authorisations may be limited by contract: some nuclear clients specify additional requirements that restrict the scope of in-house authorisations</w:t>
      </w:r>
    </w:p>
    <w:p>
      <w:pPr>
        <w:pStyle w:val="ListParagraph"/>
        <w:numPr>
          <w:ilvl w:val="0"/>
          <w:numId w:val="2"/>
        </w:numPr>
        <w:spacing w:after="40" w:before="40"/>
      </w:pPr>
      <w:r>
        <w:rPr>
          <w:rFonts w:ascii="Arial" w:cs="Arial" w:eastAsia="Arial" w:hAnsi="Arial"/>
          <w:color w:val="5B595A"/>
          <w:sz w:val="21"/>
          <w:szCs w:val="21"/>
        </w:rPr>
        <w:t xml:space="preserve">Authorisations are personal: they are granted to a named individual and cannot be transferred or assumed by another person</w:t>
      </w:r>
    </w:p>
    <w:p>
      <w:pPr>
        <w:spacing w:after="60" w:before="60"/>
      </w:pPr>
      <w:r>
        <w:t xml:space="preserve"/>
      </w:r>
    </w:p>
    <w:p>
      <w:pPr>
        <w:shd w:fill="009FE3" w:val="clear"/>
        <w:spacing w:after="80" w:before="200"/>
        <w:ind w:left="120" w:right="120"/>
      </w:pPr>
      <w:r>
        <w:rPr>
          <w:rFonts w:ascii="Arial" w:cs="Arial" w:eastAsia="Arial" w:hAnsi="Arial"/>
          <w:b/>
          <w:bCs/>
          <w:color w:val="FFFFFF"/>
          <w:sz w:val="24"/>
          <w:szCs w:val="24"/>
        </w:rPr>
        <w:t xml:space="preserve">SECTION 4: MAINTAINING CURRENCY</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4.1 Currency Review Triggers</w:t>
      </w:r>
    </w:p>
    <w:p>
      <w:pPr>
        <w:spacing w:after="80" w:before="60"/>
      </w:pPr>
      <w:r>
        <w:rPr>
          <w:rFonts w:ascii="Arial" w:cs="Arial" w:eastAsia="Arial" w:hAnsi="Arial"/>
          <w:color w:val="5B595A"/>
          <w:sz w:val="21"/>
          <w:szCs w:val="21"/>
        </w:rPr>
        <w:t xml:space="preserve">The Nuclear Quality Lead is responsible for maintaining NSS-05e with accurate expiry dates and for planning renewals in advance. The following events trigger an immediate or scheduled currency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Trigger</w:t>
            </w:r>
          </w:p>
        </w:tc>
        <w:tc>
          <w:tcPr>
            <w:tcW w:type="dxa" w:w="58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Action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Approaching expiry date (within 3 months)</w:t>
            </w:r>
          </w:p>
        </w:tc>
        <w:tc>
          <w:tcPr>
            <w:tcW w:type="dxa" w:w="5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Plan and schedule renewal assessment before expiry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Absence from authorised activity for more than 12 months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Conduct refresher training and reassessment before reinstatement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Significant change to the applicable procedure or standard</w:t>
            </w:r>
          </w:p>
        </w:tc>
        <w:tc>
          <w:tcPr>
            <w:tcW w:type="dxa" w:w="5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Review and update competence profile; reassess where change is material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Human performance failure or near miss involving the individual</w:t>
            </w:r>
          </w:p>
        </w:tc>
        <w:tc>
          <w:tcPr>
            <w:tcW w:type="dxa" w:w="5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Review competence and consider targeted retraining or supervised practice period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Change in nuclear contract scope or quality grade requirements</w:t>
            </w:r>
          </w:p>
        </w:tc>
        <w:tc>
          <w:tcPr>
            <w:tcW w:type="dxa" w:w="5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Review whether existing authorisations remain appropriate for new scope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Qualification or certification approaching expiry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Plan renewal of the underlying qualification; authorisation cannot continue beyond qualification expiry</w:t>
            </w:r>
          </w:p>
        </w:tc>
      </w:tr>
    </w:tbl>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4.2 Lapsed Authorisations</w:t>
      </w:r>
    </w:p>
    <w:p>
      <w:pPr>
        <w:spacing w:after="80" w:before="60"/>
      </w:pPr>
      <w:r>
        <w:rPr>
          <w:rFonts w:ascii="Arial" w:cs="Arial" w:eastAsia="Arial" w:hAnsi="Arial"/>
          <w:color w:val="5B595A"/>
          <w:sz w:val="21"/>
          <w:szCs w:val="21"/>
        </w:rPr>
        <w:t xml:space="preserve">Where an authorisation has lapsed (expired without renewal) or is suspended, the individual must not perform the relevant nuclear ITNS activity without direct supervision by an authorised person until reinstatement. Reinstatement requires at minimum a Stage 1 knowledge refresh and a Stage 2 observed assessment.</w:t>
      </w:r>
    </w:p>
    <w:p>
      <w:pPr>
        <w:spacing w:after="60" w:before="60"/>
      </w:pPr>
      <w:r>
        <w:t xml:space="preserve"/>
      </w:r>
    </w:p>
    <w:p>
      <w:pPr>
        <w:shd w:fill="001E3C" w:val="clear"/>
        <w:spacing w:after="80" w:before="200"/>
        <w:ind w:left="120" w:right="120"/>
      </w:pPr>
      <w:r>
        <w:rPr>
          <w:rFonts w:ascii="Arial" w:cs="Arial" w:eastAsia="Arial" w:hAnsi="Arial"/>
          <w:b/>
          <w:bCs/>
          <w:color w:val="FFFFFF"/>
          <w:sz w:val="24"/>
          <w:szCs w:val="24"/>
        </w:rPr>
        <w:t xml:space="preserve">SECTION 5: RECORDS AND REPORTING</w:t>
      </w:r>
    </w:p>
    <w:p>
      <w:pPr>
        <w:spacing w:after="60" w:before="60"/>
      </w:pPr>
      <w:r>
        <w:t xml:space="preserve"/>
      </w:r>
    </w:p>
    <w:p>
      <w:pPr>
        <w:spacing w:after="80" w:before="60"/>
      </w:pPr>
      <w:r>
        <w:rPr>
          <w:rFonts w:ascii="Arial" w:cs="Arial" w:eastAsia="Arial" w:hAnsi="Arial"/>
          <w:color w:val="5B595A"/>
          <w:sz w:val="21"/>
          <w:szCs w:val="21"/>
        </w:rPr>
        <w:t xml:space="preserve">The Nuclear Competence and Authorisation Register (NSS-05e) is the master record under this procedure and must be kept current at all times. In addition to the register, the following records must be maintained:</w:t>
      </w:r>
    </w:p>
    <w:p>
      <w:pPr>
        <w:pStyle w:val="ListParagraph"/>
        <w:numPr>
          <w:ilvl w:val="0"/>
          <w:numId w:val="2"/>
        </w:numPr>
        <w:spacing w:after="40" w:before="40"/>
      </w:pPr>
      <w:r>
        <w:rPr>
          <w:rFonts w:ascii="Arial" w:cs="Arial" w:eastAsia="Arial" w:hAnsi="Arial"/>
          <w:color w:val="5B595A"/>
          <w:sz w:val="21"/>
          <w:szCs w:val="21"/>
        </w:rPr>
        <w:t xml:space="preserve">Observed Assessment Records for each Stage 2 assessment: retained as lifetime quality records for the individual's nuclear career</w:t>
      </w:r>
    </w:p>
    <w:p>
      <w:pPr>
        <w:pStyle w:val="ListParagraph"/>
        <w:numPr>
          <w:ilvl w:val="0"/>
          <w:numId w:val="2"/>
        </w:numPr>
        <w:spacing w:after="40" w:before="40"/>
      </w:pPr>
      <w:r>
        <w:rPr>
          <w:rFonts w:ascii="Arial" w:cs="Arial" w:eastAsia="Arial" w:hAnsi="Arial"/>
          <w:color w:val="5B595A"/>
          <w:sz w:val="21"/>
          <w:szCs w:val="21"/>
        </w:rPr>
        <w:t xml:space="preserve">Training completion records (NSS-05f): retained as quality records</w:t>
      </w:r>
    </w:p>
    <w:p>
      <w:pPr>
        <w:pStyle w:val="ListParagraph"/>
        <w:numPr>
          <w:ilvl w:val="0"/>
          <w:numId w:val="2"/>
        </w:numPr>
        <w:spacing w:after="40" w:before="40"/>
      </w:pPr>
      <w:r>
        <w:rPr>
          <w:rFonts w:ascii="Arial" w:cs="Arial" w:eastAsia="Arial" w:hAnsi="Arial"/>
          <w:color w:val="5B595A"/>
          <w:sz w:val="21"/>
          <w:szCs w:val="21"/>
        </w:rPr>
        <w:t xml:space="preserve">Qualification and certification documents: retained in the individual's personnel file and cross-referenced in NSS-05e</w:t>
      </w:r>
    </w:p>
    <w:p>
      <w:pPr>
        <w:pStyle w:val="ListParagraph"/>
        <w:numPr>
          <w:ilvl w:val="0"/>
          <w:numId w:val="2"/>
        </w:numPr>
        <w:spacing w:after="40" w:before="40"/>
      </w:pPr>
      <w:r>
        <w:rPr>
          <w:rFonts w:ascii="Arial" w:cs="Arial" w:eastAsia="Arial" w:hAnsi="Arial"/>
          <w:color w:val="5B595A"/>
          <w:sz w:val="21"/>
          <w:szCs w:val="21"/>
        </w:rPr>
        <w:t xml:space="preserve">Currency review records: retained for each renewal assessment</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Version</w:t>
            </w:r>
          </w:p>
        </w:tc>
        <w:tc>
          <w:tcPr>
            <w:tcW w:type="dxa" w:w="70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Date / 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Rev 1.0</w:t>
            </w:r>
          </w:p>
        </w:tc>
        <w:tc>
          <w:tcPr>
            <w:tcW w:type="dxa" w:w="7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Initial release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Rev 1.1</w:t>
            </w:r>
          </w:p>
        </w:tc>
        <w:tc>
          <w:tcPr>
            <w:tcW w:type="dxa" w:w="7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Rev 1.2</w:t>
            </w:r>
          </w:p>
        </w:tc>
        <w:tc>
          <w:tcPr>
            <w:tcW w:type="dxa" w:w="7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
            </w:r>
          </w:p>
        </w:tc>
      </w:tr>
    </w:tbl>
    <w:sectPr>
      <w:headerReference w:type="default" r:id="rId7"/>
      <w:footerReference w:type="default" r:id="rId8"/>
      <w:pgSz w:w="11906" w:h="16838" w:orient="portrait"/>
      <w:pgMar w:top="12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FE3" w:sz="4" w:space="2"/>
      </w:pBdr>
      <w:tabs>
        <w:tab w:val="right" w:pos="9026"/>
      </w:tabs>
    </w:pPr>
    <w:r>
      <w:rPr>
        <w:rFonts w:ascii="Arial" w:cs="Arial" w:eastAsia="Arial" w:hAnsi="Arial"/>
        <w:color w:val="5B595A"/>
        <w:sz w:val="16"/>
        <w:szCs w:val="16"/>
      </w:rPr>
      <w:t xml:space="preserve">Commercial in Confidence  |  Uncontrolled when printed</w:t>
    </w:r>
    <w:r>
      <w:rPr>
        <w:rFonts w:ascii="Arial" w:cs="Arial" w:eastAsia="Arial" w:hAnsi="Arial"/>
        <w:sz w:val="16"/>
        <w:szCs w:val="16"/>
      </w:rPr>
      <w:t xml:space="preserve">	</w:t>
    </w:r>
    <w:r>
      <w:rPr>
        <w:rFonts w:ascii="Arial" w:cs="Arial" w:eastAsia="Arial" w:hAnsi="Arial"/>
        <w:color w:val="5B595A"/>
        <w:sz w:val="16"/>
        <w:szCs w:val="16"/>
      </w:rPr>
      <w:t xml:space="preserve">NSS-05d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FE3" w:sz="4" w:space="2"/>
      </w:pBdr>
      <w:tabs>
        <w:tab w:val="right" w:pos="9026"/>
      </w:tabs>
    </w:pPr>
    <w:r>
      <w:rPr>
        <w:rFonts w:ascii="Arial" w:cs="Arial" w:eastAsia="Arial" w:hAnsi="Arial"/>
        <w:color w:val="5B595A"/>
        <w:sz w:val="18"/>
        <w:szCs w:val="18"/>
      </w:rPr>
      <w:t xml:space="preserve">Nuclear Competence Management Framework  |  NSS-05d</w:t>
    </w:r>
    <w:r>
      <w:rPr>
        <w:rFonts w:ascii="Arial" w:cs="Arial" w:eastAsia="Arial" w:hAnsi="Arial"/>
        <w:sz w:val="18"/>
        <w:szCs w:val="18"/>
      </w:rPr>
      <w:t xml:space="preserve">	</w:t>
    </w:r>
    <w:r>
      <w:drawing>
        <wp:inline distT="0" distB="0" distL="0" distR="0">
          <wp:extent cx="6096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409575"/>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B595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001E3C"/>
      <w:sz w:val="34"/>
      <w:szCs w:val="34"/>
    </w:rPr>
  </w:style>
  <w:style w:type="paragraph" w:styleId="Heading2">
    <w:name w:val="Heading 2"/>
    <w:basedOn w:val="Normal"/>
    <w:next w:val="Normal"/>
    <w:qFormat/>
    <w:pPr>
      <w:spacing w:after="80" w:before="200"/>
      <w:outlineLvl w:val="1"/>
    </w:pPr>
    <w:rPr>
      <w:rFonts w:ascii="Arial" w:cs="Arial" w:eastAsia="Arial" w:hAnsi="Arial"/>
      <w:b/>
      <w:bCs/>
      <w:color w:val="009FE3"/>
      <w:sz w:val="26"/>
      <w:szCs w:val="26"/>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190602d65f38789c43b873e1f7eec962748cd1fc.jpg"/><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0" Type="http://schemas.openxmlformats.org/officeDocument/2006/relationships/image" Target="media/ac12153cde4db10b7bdab657433563c4718979a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DE309F0-322A-46EE-B962-74DC5C00B87C}"/>
</file>

<file path=customXml/itemProps2.xml><?xml version="1.0" encoding="utf-8"?>
<ds:datastoreItem xmlns:ds="http://schemas.openxmlformats.org/officeDocument/2006/customXml" ds:itemID="{B6B41479-D796-4E1A-9DE9-0939BBD82784}"/>
</file>

<file path=customXml/itemProps3.xml><?xml version="1.0" encoding="utf-8"?>
<ds:datastoreItem xmlns:ds="http://schemas.openxmlformats.org/officeDocument/2006/customXml" ds:itemID="{9F619CE6-3413-4B12-88A0-FA053716D30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NSS-05d Nuclear Competence Management Framework</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