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60" w:before="60"/>
      </w:pPr>
      <w:r>
        <w:t xml:space="preserve"/>
      </w:r>
    </w:p>
    <w:p>
      <w:pPr>
        <w:spacing w:after="60" w:before="6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500"/>
        <w:jc w:val="center"/>
      </w:pPr>
      <w:r>
        <w:rPr>
          <w:rFonts w:ascii="Arial" w:cs="Arial" w:eastAsia="Arial" w:hAnsi="Arial"/>
          <w:b/>
          <w:bCs/>
          <w:color w:val="FFFFFF"/>
          <w:sz w:val="42"/>
          <w:szCs w:val="42"/>
        </w:rPr>
        <w:t xml:space="preserve">FATIGUE AND FITNESS</w:t>
      </w:r>
    </w:p>
    <w:p>
      <w:pPr>
        <w:shd w:fill="009FE3" w:val="clear"/>
        <w:spacing w:after="0" w:before="0"/>
        <w:jc w:val="center"/>
      </w:pPr>
      <w:r>
        <w:rPr>
          <w:rFonts w:ascii="Arial" w:cs="Arial" w:eastAsia="Arial" w:hAnsi="Arial"/>
          <w:b/>
          <w:bCs/>
          <w:color w:val="FFFFFF"/>
          <w:sz w:val="36"/>
          <w:szCs w:val="36"/>
        </w:rPr>
        <w:t xml:space="preserve">FOR DUTY POLICY</w:t>
      </w:r>
    </w:p>
    <w:p>
      <w:pPr>
        <w:shd w:fill="83348F" w:val="clear"/>
        <w:spacing w:after="0" w:before="0"/>
        <w:jc w:val="center"/>
      </w:pPr>
      <w:r>
        <w:rPr>
          <w:rFonts w:ascii="Arial" w:cs="Arial" w:eastAsia="Arial" w:hAnsi="Arial"/>
          <w:b/>
          <w:bCs/>
          <w:color w:val="FFFFFF"/>
          <w:sz w:val="26"/>
          <w:szCs w:val="26"/>
        </w:rPr>
        <w:t xml:space="preserve">Working Procedure  |  NSS-05g</w:t>
      </w:r>
    </w:p>
    <w:p>
      <w:pPr>
        <w:spacing w:after="60" w:before="60"/>
      </w:pPr>
      <w:r>
        <w:t xml:space="preserve"/>
      </w:r>
    </w:p>
    <w:p>
      <w:pPr>
        <w:spacing w:after="60" w:before="60"/>
      </w:pPr>
      <w:r>
        <w:t xml:space="preserve"/>
      </w:r>
    </w:p>
    <w:p>
      <w:pPr>
        <w:spacing w:after="80" w:before="360"/>
        <w:jc w:val="center"/>
      </w:pPr>
      <w:r>
        <w:rPr>
          <w:rFonts w:ascii="Arial" w:cs="Arial" w:eastAsia="Arial" w:hAnsi="Arial"/>
          <w:b/>
          <w:bCs/>
          <w:color w:val="5B595A"/>
          <w:sz w:val="22"/>
          <w:szCs w:val="22"/>
        </w:rPr>
        <w:t xml:space="preserve">NSS-05g</w:t>
      </w:r>
    </w:p>
    <w:p>
      <w:pPr>
        <w:spacing w:after="80" w:before="0"/>
        <w:jc w:val="center"/>
      </w:pPr>
      <w:r>
        <w:rPr>
          <w:rFonts w:ascii="Arial" w:cs="Arial" w:eastAsia="Arial" w:hAnsi="Arial"/>
          <w:color w:val="5B595A"/>
          <w:sz w:val="20"/>
          <w:szCs w:val="20"/>
        </w:rPr>
        <w:t xml:space="preserve">Nuclear Sector Specific Programme  |  Delivered by NucCol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Document Reference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NSS-05g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Owner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[Nuclear Quality Lead / HR 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Approved By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[Director]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Date of Issue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Review Frequency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Annual or following any significant change in shift patterns or nuclear work scope</w:t>
            </w:r>
          </w:p>
        </w:tc>
      </w:tr>
    </w:tbl>
    <w:p>
      <w:pPr>
        <w:spacing w:after="60" w:before="60"/>
      </w:pPr>
      <w:r>
        <w:t xml:space="preserve"/>
      </w:r>
    </w:p>
    <w:p>
      <w:pPr>
        <w:pStyle w:val="Heading1"/>
        <w:spacing w:after="100" w:before="280"/>
      </w:pPr>
      <w:r>
        <w:rPr>
          <w:rFonts w:ascii="Arial" w:cs="Arial" w:eastAsia="Arial" w:hAnsi="Arial"/>
          <w:b/>
          <w:bCs/>
          <w:color w:val="29ABE2"/>
          <w:sz w:val="34"/>
          <w:szCs w:val="34"/>
        </w:rPr>
        <w:t xml:space="preserve">Purpose and Scope</w:t>
      </w:r>
    </w:p>
    <w:p>
      <w:pPr>
        <w:spacing w:after="80" w:before="60"/>
      </w:pPr>
      <w:r>
        <w:rPr>
          <w:rFonts w:ascii="Arial" w:cs="Arial" w:eastAsia="Arial" w:hAnsi="Arial"/>
          <w:color w:val="5B595A"/>
          <w:sz w:val="21"/>
          <w:szCs w:val="21"/>
        </w:rPr>
        <w:t xml:space="preserve">This policy and procedure defines how [Company Name] manages fatigue and ensures fitness for duty for personnel performing nuclear ITNS work. It recognises that fatigue is one of the most significant contributors to human error in safety-critical operations, and that ensuring individuals are fit for duty before performing nuclear-significant tasks is a specific organisational obligation under the Human Performance framework.</w:t>
      </w:r>
    </w:p>
    <w:p>
      <w:pPr>
        <w:spacing w:after="80" w:before="60"/>
      </w:pPr>
      <w:r>
        <w:rPr>
          <w:rFonts w:ascii="Arial" w:cs="Arial" w:eastAsia="Arial" w:hAnsi="Arial"/>
          <w:color w:val="5B595A"/>
          <w:sz w:val="21"/>
          <w:szCs w:val="21"/>
        </w:rPr>
        <w:t xml:space="preserve">This procedure applies to all personnel performing nuclear-classified ITNS activities at Grade 1 or Grade 2. It supplements the general health and welfare policies that apply to all staff. This procedure is specifically calibrated to nuclear safety-significant work and does not replace the organisation's standard occupational health and H&amp;S arrangements.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WHY THIS MATTERS</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Research across safety-critical industries shows that fatigue reduces attention, slows reaction time, impairs judgement, increases the tendency toward shortcuts, and reduces awareness of the consequences of errors. A fatigued individual conducting a pre-job briefing, inspecting a component, or operating safety-significant equipment is significantly more likely to make an error than a rested individual. Managing fatigue is not optional in nuclear work.</w:t>
            </w:r>
          </w:p>
        </w:tc>
      </w:tr>
    </w:tbl>
    <w:p>
      <w:pPr>
        <w:spacing w:after="60" w:before="60"/>
      </w:pPr>
      <w:r>
        <w:t xml:space="preserve"/>
      </w:r>
    </w:p>
    <w:p>
      <w:pPr>
        <w:shd w:fill="001E3C" w:val="clear"/>
        <w:spacing w:after="80" w:before="200"/>
        <w:ind w:left="120" w:right="120"/>
      </w:pPr>
      <w:r>
        <w:rPr>
          <w:rFonts w:ascii="Arial" w:cs="Arial" w:eastAsia="Arial" w:hAnsi="Arial"/>
          <w:b/>
          <w:bCs/>
          <w:color w:val="FFFFFF"/>
          <w:sz w:val="24"/>
          <w:szCs w:val="24"/>
        </w:rPr>
        <w:t xml:space="preserve">SECTION 1: WORKING HOURS AND REST REQUIREMENTS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1.1 Standard Working Hour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Minimum Standard</w:t>
            </w:r>
          </w:p>
        </w:tc>
        <w:tc>
          <w:tcPr>
            <w:tcW w:type="dxa" w:w="4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Nuclear ITNS Enhancement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Maximum working day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In line with Working Time Regulations: 48 hours average per week</w:t>
            </w:r>
          </w:p>
        </w:tc>
        <w:tc>
          <w:tcPr>
            <w:tcW w:type="dxa" w:w="4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No single shift exceeding 12 hours should include Grade 1 safety-significant tasks in the final 2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Rest between shifts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Minimum 11 consecutive hours before return to work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Minimum 12 hours recommended before Grade 1 activities where an error would be irreversible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Maximum consecutive working days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6 days without a rest day</w:t>
            </w:r>
          </w:p>
        </w:tc>
        <w:tc>
          <w:tcPr>
            <w:tcW w:type="dxa" w:w="4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5 days before a rest day where daily Grade 1 activities are performed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Night shift and early start considerations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Covered by standard arrangements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Specific HP tool use confirmation required at start of any shift beginning before 06:00 or after 22:00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On-call and overtime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Covered by standard arrangements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Personnel who have been on call and disturbed during rest hours must self-declare fitness before Grade 1 ITNS work on return</w:t>
            </w:r>
          </w:p>
        </w:tc>
      </w:tr>
    </w:tbl>
    <w:p>
      <w:pPr>
        <w:spacing w:after="60" w:before="60"/>
      </w:pPr>
      <w:r>
        <w:t xml:space="preserve"/>
      </w:r>
    </w:p>
    <w:p>
      <w:pPr>
        <w:shd w:fill="009FE3" w:val="clear"/>
        <w:spacing w:after="80" w:before="200"/>
        <w:ind w:left="120" w:right="120"/>
      </w:pPr>
      <w:r>
        <w:rPr>
          <w:rFonts w:ascii="Arial" w:cs="Arial" w:eastAsia="Arial" w:hAnsi="Arial"/>
          <w:b/>
          <w:bCs/>
          <w:color w:val="FFFFFF"/>
          <w:sz w:val="24"/>
          <w:szCs w:val="24"/>
        </w:rPr>
        <w:t xml:space="preserve">SECTION 2: FITNESS FOR DUTY DECLARATION</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2.1 What Fitness for Duty Means</w:t>
      </w:r>
    </w:p>
    <w:p>
      <w:pPr>
        <w:spacing w:after="80" w:before="60"/>
      </w:pPr>
      <w:r>
        <w:rPr>
          <w:rFonts w:ascii="Arial" w:cs="Arial" w:eastAsia="Arial" w:hAnsi="Arial"/>
          <w:color w:val="5B595A"/>
          <w:sz w:val="21"/>
          <w:szCs w:val="21"/>
        </w:rPr>
        <w:t xml:space="preserve">An individual is fit for duty for nuclear ITNS work when they are:</w:t>
      </w:r>
    </w:p>
    <w:p>
      <w:pPr>
        <w:pStyle w:val="ListParagraph"/>
        <w:numPr>
          <w:ilvl w:val="0"/>
          <w:numId w:val="2"/>
        </w:numPr>
        <w:spacing w:after="40" w:before="40"/>
      </w:pPr>
      <w:r>
        <w:rPr>
          <w:rFonts w:ascii="Arial" w:cs="Arial" w:eastAsia="Arial" w:hAnsi="Arial"/>
          <w:color w:val="5B595A"/>
          <w:sz w:val="21"/>
          <w:szCs w:val="21"/>
        </w:rPr>
        <w:t xml:space="preserve">Adequately rested: not suffering the performance-impairing effects of fatigue from extended working hours, inadequate rest, or poor sleep quality</w:t>
      </w:r>
    </w:p>
    <w:p>
      <w:pPr>
        <w:pStyle w:val="ListParagraph"/>
        <w:numPr>
          <w:ilvl w:val="0"/>
          <w:numId w:val="2"/>
        </w:numPr>
        <w:spacing w:after="40" w:before="40"/>
      </w:pPr>
      <w:r>
        <w:rPr>
          <w:rFonts w:ascii="Arial" w:cs="Arial" w:eastAsia="Arial" w:hAnsi="Arial"/>
          <w:color w:val="5B595A"/>
          <w:sz w:val="21"/>
          <w:szCs w:val="21"/>
        </w:rPr>
        <w:t xml:space="preserve">Free from the effects of alcohol, drugs, or any substance that could impair judgement, reaction time, or attention</w:t>
      </w:r>
    </w:p>
    <w:p>
      <w:pPr>
        <w:pStyle w:val="ListParagraph"/>
        <w:numPr>
          <w:ilvl w:val="0"/>
          <w:numId w:val="2"/>
        </w:numPr>
        <w:spacing w:after="40" w:before="40"/>
      </w:pPr>
      <w:r>
        <w:rPr>
          <w:rFonts w:ascii="Arial" w:cs="Arial" w:eastAsia="Arial" w:hAnsi="Arial"/>
          <w:color w:val="5B595A"/>
          <w:sz w:val="21"/>
          <w:szCs w:val="21"/>
        </w:rPr>
        <w:t xml:space="preserve">Free from the effects of prescribed or over-the-counter medications that carry warnings about operating machinery or performing safety-critical tasks</w:t>
      </w:r>
    </w:p>
    <w:p>
      <w:pPr>
        <w:pStyle w:val="ListParagraph"/>
        <w:numPr>
          <w:ilvl w:val="0"/>
          <w:numId w:val="2"/>
        </w:numPr>
        <w:spacing w:after="40" w:before="40"/>
      </w:pPr>
      <w:r>
        <w:rPr>
          <w:rFonts w:ascii="Arial" w:cs="Arial" w:eastAsia="Arial" w:hAnsi="Arial"/>
          <w:color w:val="5B595A"/>
          <w:sz w:val="21"/>
          <w:szCs w:val="21"/>
        </w:rPr>
        <w:t xml:space="preserve">Free from any acute medical condition or injury that would significantly impair their ability to perform the task safely and to the required standard</w:t>
      </w:r>
    </w:p>
    <w:p>
      <w:pPr>
        <w:pStyle w:val="ListParagraph"/>
        <w:numPr>
          <w:ilvl w:val="0"/>
          <w:numId w:val="2"/>
        </w:numPr>
        <w:spacing w:after="40" w:before="40"/>
      </w:pPr>
      <w:r>
        <w:rPr>
          <w:rFonts w:ascii="Arial" w:cs="Arial" w:eastAsia="Arial" w:hAnsi="Arial"/>
          <w:color w:val="5B595A"/>
          <w:sz w:val="21"/>
          <w:szCs w:val="21"/>
        </w:rPr>
        <w:t xml:space="preserve">Mentally and emotionally in a state that allows the sustained concentration required for nuclear-significant work</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2.2 Self-Declaration Process</w:t>
      </w:r>
    </w:p>
    <w:p>
      <w:pPr>
        <w:spacing w:after="80" w:before="60"/>
      </w:pPr>
      <w:r>
        <w:rPr>
          <w:rFonts w:ascii="Arial" w:cs="Arial" w:eastAsia="Arial" w:hAnsi="Arial"/>
          <w:color w:val="5B595A"/>
          <w:sz w:val="21"/>
          <w:szCs w:val="21"/>
        </w:rPr>
        <w:t xml:space="preserve">Before commencing any Grade 1 or Grade 2 nuclear ITNS activity, individuals must confirm their fitness for duty. This confirmation is captured as part of Section 6 of the Pre-Job Briefing Template (NSS-05c). For tasks not preceded by a formal pre-job briefing, a verbal fitness confirmation to the supervisor is required.</w:t>
      </w:r>
    </w:p>
    <w:p>
      <w:pPr>
        <w:pStyle w:val="ListParagraph"/>
        <w:numPr>
          <w:ilvl w:val="0"/>
          <w:numId w:val="2"/>
        </w:numPr>
        <w:spacing w:after="40" w:before="40"/>
      </w:pPr>
      <w:r>
        <w:rPr>
          <w:rFonts w:ascii="Arial" w:cs="Arial" w:eastAsia="Arial" w:hAnsi="Arial"/>
          <w:color w:val="5B595A"/>
          <w:sz w:val="21"/>
          <w:szCs w:val="21"/>
        </w:rPr>
        <w:t xml:space="preserve">If an individual has any doubt about their fitness for a specific task, they are expected and encouraged to say so before the task begins, not during it</w:t>
      </w:r>
    </w:p>
    <w:p>
      <w:pPr>
        <w:pStyle w:val="ListParagraph"/>
        <w:numPr>
          <w:ilvl w:val="0"/>
          <w:numId w:val="2"/>
        </w:numPr>
        <w:spacing w:after="40" w:before="40"/>
      </w:pPr>
      <w:r>
        <w:rPr>
          <w:rFonts w:ascii="Arial" w:cs="Arial" w:eastAsia="Arial" w:hAnsi="Arial"/>
          <w:color w:val="5B595A"/>
          <w:sz w:val="21"/>
          <w:szCs w:val="21"/>
        </w:rPr>
        <w:t xml:space="preserve">Declaring reduced fitness is not a disciplinary matter. It is a responsible and valued act that protects both the individual and the organisation</w:t>
      </w:r>
    </w:p>
    <w:p>
      <w:pPr>
        <w:pStyle w:val="ListParagraph"/>
        <w:numPr>
          <w:ilvl w:val="0"/>
          <w:numId w:val="2"/>
        </w:numPr>
        <w:spacing w:after="40" w:before="40"/>
      </w:pPr>
      <w:r>
        <w:rPr>
          <w:rFonts w:ascii="Arial" w:cs="Arial" w:eastAsia="Arial" w:hAnsi="Arial"/>
          <w:color w:val="5B595A"/>
          <w:sz w:val="21"/>
          <w:szCs w:val="21"/>
        </w:rPr>
        <w:t xml:space="preserve">Supervisors must accept fitness declarations and reassign work without pressure, penalty, or adverse comment to the individual</w:t>
      </w:r>
    </w:p>
    <w:p>
      <w:pPr>
        <w:pStyle w:val="ListParagraph"/>
        <w:numPr>
          <w:ilvl w:val="0"/>
          <w:numId w:val="2"/>
        </w:numPr>
        <w:spacing w:after="40" w:before="40"/>
      </w:pPr>
      <w:r>
        <w:rPr>
          <w:rFonts w:ascii="Arial" w:cs="Arial" w:eastAsia="Arial" w:hAnsi="Arial"/>
          <w:color w:val="5B595A"/>
          <w:sz w:val="21"/>
          <w:szCs w:val="21"/>
        </w:rPr>
        <w:t xml:space="preserve">Where a fitness concern is identified that the individual is not comfortable raising with their direct supervisor, the Nuclear Quality Lead or Independent Concerns Contact route may be used</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2.3 Supervisor Responsibility</w:t>
      </w:r>
    </w:p>
    <w:p>
      <w:pPr>
        <w:spacing w:after="80" w:before="60"/>
      </w:pPr>
      <w:r>
        <w:rPr>
          <w:rFonts w:ascii="Arial" w:cs="Arial" w:eastAsia="Arial" w:hAnsi="Arial"/>
          <w:color w:val="5B595A"/>
          <w:sz w:val="21"/>
          <w:szCs w:val="21"/>
        </w:rPr>
        <w:t xml:space="preserve">Before assigning an individual to a Grade 1 or Grade 2 nuclear ITNS task, the supervisor must make a reasonable assessment of the individual's fitness by:</w:t>
      </w:r>
    </w:p>
    <w:p>
      <w:pPr>
        <w:pStyle w:val="ListParagraph"/>
        <w:numPr>
          <w:ilvl w:val="0"/>
          <w:numId w:val="2"/>
        </w:numPr>
        <w:spacing w:after="40" w:before="40"/>
      </w:pPr>
      <w:r>
        <w:rPr>
          <w:rFonts w:ascii="Arial" w:cs="Arial" w:eastAsia="Arial" w:hAnsi="Arial"/>
          <w:color w:val="5B595A"/>
          <w:sz w:val="21"/>
          <w:szCs w:val="21"/>
        </w:rPr>
        <w:t xml:space="preserve">Observing for visible signs of fatigue, distraction, or impairment at the start of the shift or before task assignment</w:t>
      </w:r>
    </w:p>
    <w:p>
      <w:pPr>
        <w:pStyle w:val="ListParagraph"/>
        <w:numPr>
          <w:ilvl w:val="0"/>
          <w:numId w:val="2"/>
        </w:numPr>
        <w:spacing w:after="40" w:before="40"/>
      </w:pPr>
      <w:r>
        <w:rPr>
          <w:rFonts w:ascii="Arial" w:cs="Arial" w:eastAsia="Arial" w:hAnsi="Arial"/>
          <w:color w:val="5B595A"/>
          <w:sz w:val="21"/>
          <w:szCs w:val="21"/>
        </w:rPr>
        <w:t xml:space="preserve">Reviewing the individual's recent working hours if there is any reason to believe rest requirements may not have been met</w:t>
      </w:r>
    </w:p>
    <w:p>
      <w:pPr>
        <w:pStyle w:val="ListParagraph"/>
        <w:numPr>
          <w:ilvl w:val="0"/>
          <w:numId w:val="2"/>
        </w:numPr>
        <w:spacing w:after="40" w:before="40"/>
      </w:pPr>
      <w:r>
        <w:rPr>
          <w:rFonts w:ascii="Arial" w:cs="Arial" w:eastAsia="Arial" w:hAnsi="Arial"/>
          <w:color w:val="5B595A"/>
          <w:sz w:val="21"/>
          <w:szCs w:val="21"/>
        </w:rPr>
        <w:t xml:space="preserve">Asking directly whether the individual is fit to perform the task if any concern exists</w:t>
      </w:r>
    </w:p>
    <w:p>
      <w:pPr>
        <w:pStyle w:val="ListParagraph"/>
        <w:numPr>
          <w:ilvl w:val="0"/>
          <w:numId w:val="2"/>
        </w:numPr>
        <w:spacing w:after="40" w:before="40"/>
      </w:pPr>
      <w:r>
        <w:rPr>
          <w:rFonts w:ascii="Arial" w:cs="Arial" w:eastAsia="Arial" w:hAnsi="Arial"/>
          <w:color w:val="5B595A"/>
          <w:sz w:val="21"/>
          <w:szCs w:val="21"/>
        </w:rPr>
        <w:t xml:space="preserve">Raising any fitness concern with the Nuclear Quality Lead if the supervisor is uncertain how to proceed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SUPERVISOR DUTY</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A supervisor who assigns an individual to a nuclear-significant task while knowing or suspecting that the individual is not fit for duty shares accountability for any human performance failure that results. If in doubt, do not assign the task.</w:t>
            </w:r>
          </w:p>
        </w:tc>
      </w:tr>
    </w:tbl>
    <w:p>
      <w:pPr>
        <w:spacing w:after="60" w:before="60"/>
      </w:pPr>
      <w:r>
        <w:t xml:space="preserve"/>
      </w:r>
    </w:p>
    <w:p>
      <w:pPr>
        <w:shd w:fill="001E3C" w:val="clear"/>
        <w:spacing w:after="80" w:before="200"/>
        <w:ind w:left="120" w:right="120"/>
      </w:pPr>
      <w:r>
        <w:rPr>
          <w:rFonts w:ascii="Arial" w:cs="Arial" w:eastAsia="Arial" w:hAnsi="Arial"/>
          <w:b/>
          <w:bCs/>
          <w:color w:val="FFFFFF"/>
          <w:sz w:val="24"/>
          <w:szCs w:val="24"/>
        </w:rPr>
        <w:t xml:space="preserve">SECTION 3: MANAGING FATIGUE IN WORK PLANNING</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3.1 Task Planning Considerations</w:t>
      </w:r>
    </w:p>
    <w:p>
      <w:pPr>
        <w:spacing w:after="80" w:before="60"/>
      </w:pPr>
      <w:r>
        <w:rPr>
          <w:rFonts w:ascii="Arial" w:cs="Arial" w:eastAsia="Arial" w:hAnsi="Arial"/>
          <w:color w:val="5B595A"/>
          <w:sz w:val="21"/>
          <w:szCs w:val="21"/>
        </w:rPr>
        <w:t xml:space="preserve">Where planning decisions can reduce fatigue risk, they should. The following principles apply to scheduling nuclear-significant work:</w:t>
      </w:r>
    </w:p>
    <w:p>
      <w:pPr>
        <w:pStyle w:val="ListParagraph"/>
        <w:numPr>
          <w:ilvl w:val="0"/>
          <w:numId w:val="2"/>
        </w:numPr>
        <w:spacing w:after="40" w:before="40"/>
      </w:pPr>
      <w:r>
        <w:rPr>
          <w:rFonts w:ascii="Arial" w:cs="Arial" w:eastAsia="Arial" w:hAnsi="Arial"/>
          <w:color w:val="5B595A"/>
          <w:sz w:val="21"/>
          <w:szCs w:val="21"/>
        </w:rPr>
        <w:t xml:space="preserve">Schedule Grade 1 and 2 nuclear tasks earlier in shifts rather than at the end of long working periods where possible</w:t>
      </w:r>
    </w:p>
    <w:p>
      <w:pPr>
        <w:pStyle w:val="ListParagraph"/>
        <w:numPr>
          <w:ilvl w:val="0"/>
          <w:numId w:val="2"/>
        </w:numPr>
        <w:spacing w:after="40" w:before="40"/>
      </w:pPr>
      <w:r>
        <w:rPr>
          <w:rFonts w:ascii="Arial" w:cs="Arial" w:eastAsia="Arial" w:hAnsi="Arial"/>
          <w:color w:val="5B595A"/>
          <w:sz w:val="21"/>
          <w:szCs w:val="21"/>
        </w:rPr>
        <w:t xml:space="preserve">Avoid scheduling complex, first-time, or high-consequence nuclear tasks immediately after overtime periods or extended consecutive working</w:t>
      </w:r>
    </w:p>
    <w:p>
      <w:pPr>
        <w:pStyle w:val="ListParagraph"/>
        <w:numPr>
          <w:ilvl w:val="0"/>
          <w:numId w:val="2"/>
        </w:numPr>
        <w:spacing w:after="40" w:before="40"/>
      </w:pPr>
      <w:r>
        <w:rPr>
          <w:rFonts w:ascii="Arial" w:cs="Arial" w:eastAsia="Arial" w:hAnsi="Arial"/>
          <w:color w:val="5B595A"/>
          <w:sz w:val="21"/>
          <w:szCs w:val="21"/>
        </w:rPr>
        <w:t xml:space="preserve">Build adequate handover time into shift changes on nuclear contracts so incoming staff are fully briefed before taking over tasks</w:t>
      </w:r>
    </w:p>
    <w:p>
      <w:pPr>
        <w:pStyle w:val="ListParagraph"/>
        <w:numPr>
          <w:ilvl w:val="0"/>
          <w:numId w:val="2"/>
        </w:numPr>
        <w:spacing w:after="40" w:before="40"/>
      </w:pPr>
      <w:r>
        <w:rPr>
          <w:rFonts w:ascii="Arial" w:cs="Arial" w:eastAsia="Arial" w:hAnsi="Arial"/>
          <w:color w:val="5B595A"/>
          <w:sz w:val="21"/>
          <w:szCs w:val="21"/>
        </w:rPr>
        <w:t xml:space="preserve">Allow adequate time for pre-job briefings: rushing the briefing under schedule pressure is itself an error precursor</w:t>
      </w:r>
    </w:p>
    <w:p>
      <w:pPr>
        <w:pStyle w:val="ListParagraph"/>
        <w:numPr>
          <w:ilvl w:val="0"/>
          <w:numId w:val="2"/>
        </w:numPr>
        <w:spacing w:after="40" w:before="40"/>
      </w:pPr>
      <w:r>
        <w:rPr>
          <w:rFonts w:ascii="Arial" w:cs="Arial" w:eastAsia="Arial" w:hAnsi="Arial"/>
          <w:color w:val="5B595A"/>
          <w:sz w:val="21"/>
          <w:szCs w:val="21"/>
        </w:rPr>
        <w:t xml:space="preserve">Where possible, schedule rest breaks during long nuclear tasks at natural hold points rather than mid-activity</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3.2 Reporting Route for Fatigue Concerns</w:t>
      </w:r>
    </w:p>
    <w:p>
      <w:pPr>
        <w:spacing w:after="80" w:before="60"/>
      </w:pPr>
      <w:r>
        <w:rPr>
          <w:rFonts w:ascii="Arial" w:cs="Arial" w:eastAsia="Arial" w:hAnsi="Arial"/>
          <w:color w:val="5B595A"/>
          <w:sz w:val="21"/>
          <w:szCs w:val="21"/>
        </w:rPr>
        <w:t xml:space="preserve">Any person who has a concern about fatigue affecting nuclear safety — whether their own or someone else's — should report it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Concern Type</w:t>
            </w:r>
          </w:p>
        </w:tc>
        <w:tc>
          <w:tcPr>
            <w:tcW w:type="dxa" w:w="3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Primary Route</w:t>
            </w:r>
          </w:p>
        </w:tc>
        <w:tc>
          <w:tcPr>
            <w:tcW w:type="dxa" w:w="34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If Unresolved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Own fitness for duty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Inform direct supervisor or Nuclear Quality Lead before the task begins</w:t>
            </w:r>
          </w:p>
        </w:tc>
        <w:tc>
          <w:tcPr>
            <w:tcW w:type="dxa" w:w="3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Contact Independent Concerns Contact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Colleague fitness concern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Inform supervisor directly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Inform Nuclear Quality Lead if supervisor does not 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Systemic fatigue (e.g. shift pattern creating persistent fatigue)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Raise with HR and Nuclear Quality Lead jointly</w:t>
            </w:r>
          </w:p>
        </w:tc>
        <w:tc>
          <w:tcPr>
            <w:tcW w:type="dxa" w:w="3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Raise with director or Independent Concerns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Fatigue-related near miss or 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Log in Near Miss and OPEX Log (NSS-02d) and inform Nuclear Quality Lead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Escalate to director if systemic issue identified</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Rev 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Rev 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Rev 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B595A"/>
                <w:sz w:val="18"/>
                <w:szCs w:val="18"/>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NSS-05g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Fatigue and Fitness for Duty Policy  |  NSS-05g</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1E3C"/>
      <w:sz w:val="34"/>
      <w:szCs w:val="34"/>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E49F31-AA65-4B97-B48F-75B007B7F768}"/>
</file>

<file path=customXml/itemProps2.xml><?xml version="1.0" encoding="utf-8"?>
<ds:datastoreItem xmlns:ds="http://schemas.openxmlformats.org/officeDocument/2006/customXml" ds:itemID="{E1C0B369-A8A1-40FA-BEC3-B39D066D324C}"/>
</file>

<file path=customXml/itemProps3.xml><?xml version="1.0" encoding="utf-8"?>
<ds:datastoreItem xmlns:ds="http://schemas.openxmlformats.org/officeDocument/2006/customXml" ds:itemID="{6A149ABD-ADE9-4698-AF31-06F9F481023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NSS-05g Fatigue Fitness for Duty Policy</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