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80" w:before="0"/>
      </w:pPr>
      <w:r>
        <w:rPr>
          <w:rFonts w:ascii="Arial" w:cs="Arial" w:eastAsia="Arial" w:hAnsi="Arial"/>
          <w:b/>
          <w:bCs/>
          <w:color w:val="FFFFFF"/>
          <w:sz w:val="22"/>
          <w:szCs w:val="22"/>
        </w:rPr>
        <w:t xml:space="preserve">  UK NUCLEAR REGULATORY LANDSCAPE  |  Quick Reference for Supply Chain Companies</w:t>
      </w:r>
    </w:p>
    <w:p>
      <w:pPr>
        <w:shd w:fill="009FE3" w:val="clear"/>
        <w:spacing w:after="60" w:before="120"/>
      </w:pPr>
      <w:r>
        <w:rPr>
          <w:rFonts w:ascii="Arial" w:cs="Arial" w:eastAsia="Arial" w:hAnsi="Arial"/>
          <w:b/>
          <w:bCs/>
          <w:color w:val="FFFFFF"/>
          <w:sz w:val="20"/>
          <w:szCs w:val="20"/>
        </w:rPr>
        <w:t xml:space="preserve">  CORE NUCLEAR SAFETY PRINCIPLES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892"/>
        <w:gridCol w:w="4892"/>
        <w:gridCol w:w="4894"/>
      </w:tblGrid>
      <w:tr>
        <w:tc>
          <w:tcPr>
            <w:tcW w:type="dxa" w:w="4892"/>
            <w:tcBorders>
              <w:top w:val="single" w:color="009FE3" w:sz="1"/>
              <w:left w:val="single" w:color="009FE3" w:sz="1"/>
              <w:bottom w:val="single" w:color="009FE3" w:sz="1"/>
              <w:right w:val="single" w:color="009FE3" w:sz="1"/>
            </w:tcBorders>
            <w:shd w:fill="009FE3" w:val="clear"/>
            <w:tcMar>
              <w:top w:type="dxa" w:w="120"/>
              <w:left w:type="dxa" w:w="120"/>
              <w:bottom w:type="dxa" w:w="120"/>
              <w:right w:type="dxa" w:w="120"/>
            </w:tcMar>
          </w:tcPr>
          <w:p>
            <w:pPr>
              <w:spacing w:after="60" w:before="0"/>
            </w:pPr>
            <w:r>
              <w:rPr>
                <w:rFonts w:ascii="Arial" w:cs="Arial" w:eastAsia="Arial" w:hAnsi="Arial"/>
                <w:b/>
                <w:bCs/>
                <w:color w:val="FFFFFF"/>
                <w:sz w:val="20"/>
                <w:szCs w:val="20"/>
              </w:rPr>
              <w:t xml:space="preserve">Defence in Depth</w:t>
            </w:r>
          </w:p>
          <w:p>
            <w:pPr>
              <w:spacing w:after="0" w:before="0"/>
            </w:pPr>
            <w:r>
              <w:rPr>
                <w:rFonts w:ascii="Arial" w:cs="Arial" w:eastAsia="Arial" w:hAnsi="Arial"/>
                <w:color w:val="FFFFFF"/>
                <w:sz w:val="16"/>
                <w:szCs w:val="16"/>
              </w:rPr>
              <w:t xml:space="preserve">Multiple independent layers of protection so that no single failure can cause a safety event. Your quality controls, documentation, and people are all layers of this defence.</w:t>
            </w:r>
          </w:p>
        </w:tc>
        <w:tc>
          <w:tcPr>
            <w:tcW w:type="dxa" w:w="4892"/>
            <w:tcBorders>
              <w:top w:val="single" w:color="009FE3" w:sz="1"/>
              <w:left w:val="single" w:color="009FE3" w:sz="1"/>
              <w:bottom w:val="single" w:color="009FE3" w:sz="1"/>
              <w:right w:val="single" w:color="009FE3" w:sz="1"/>
            </w:tcBorders>
            <w:shd w:fill="83348F" w:val="clear"/>
            <w:tcMar>
              <w:top w:type="dxa" w:w="120"/>
              <w:left w:type="dxa" w:w="120"/>
              <w:bottom w:type="dxa" w:w="120"/>
              <w:right w:type="dxa" w:w="120"/>
            </w:tcMar>
          </w:tcPr>
          <w:p>
            <w:pPr>
              <w:spacing w:after="60" w:before="0"/>
            </w:pPr>
            <w:r>
              <w:rPr>
                <w:rFonts w:ascii="Arial" w:cs="Arial" w:eastAsia="Arial" w:hAnsi="Arial"/>
                <w:b/>
                <w:bCs/>
                <w:color w:val="FFFFFF"/>
                <w:sz w:val="20"/>
                <w:szCs w:val="20"/>
              </w:rPr>
              <w:t xml:space="preserve">ALARP</w:t>
            </w:r>
          </w:p>
          <w:p>
            <w:pPr>
              <w:spacing w:after="0" w:before="0"/>
            </w:pPr>
            <w:r>
              <w:rPr>
                <w:rFonts w:ascii="Arial" w:cs="Arial" w:eastAsia="Arial" w:hAnsi="Arial"/>
                <w:color w:val="FFFFFF"/>
                <w:sz w:val="16"/>
                <w:szCs w:val="16"/>
              </w:rPr>
              <w:t xml:space="preserve">As Low As Reasonably Practicable. Risks must be reduced to the lowest level achievable where further reduction is not grossly disproportionate in cost.</w:t>
            </w:r>
          </w:p>
        </w:tc>
        <w:tc>
          <w:tcPr>
            <w:tcW w:type="dxa" w:w="4894"/>
            <w:tcBorders>
              <w:top w:val="single" w:color="009FE3" w:sz="1"/>
              <w:left w:val="single" w:color="009FE3" w:sz="1"/>
              <w:bottom w:val="single" w:color="009FE3" w:sz="1"/>
              <w:right w:val="single" w:color="009FE3" w:sz="1"/>
            </w:tcBorders>
            <w:shd w:fill="001E3C" w:val="clear"/>
            <w:tcMar>
              <w:top w:type="dxa" w:w="120"/>
              <w:left w:type="dxa" w:w="120"/>
              <w:bottom w:type="dxa" w:w="120"/>
              <w:right w:type="dxa" w:w="120"/>
            </w:tcMar>
          </w:tcPr>
          <w:p>
            <w:pPr>
              <w:spacing w:after="60" w:before="0"/>
            </w:pPr>
            <w:r>
              <w:rPr>
                <w:rFonts w:ascii="Arial" w:cs="Arial" w:eastAsia="Arial" w:hAnsi="Arial"/>
                <w:b/>
                <w:bCs/>
                <w:color w:val="FFFFFF"/>
                <w:sz w:val="20"/>
                <w:szCs w:val="20"/>
              </w:rPr>
              <w:t xml:space="preserve">The Safety Case</w:t>
            </w:r>
          </w:p>
          <w:p>
            <w:pPr>
              <w:spacing w:after="0" w:before="0"/>
            </w:pPr>
            <w:r>
              <w:rPr>
                <w:rFonts w:ascii="Arial" w:cs="Arial" w:eastAsia="Arial" w:hAnsi="Arial"/>
                <w:color w:val="FFFFFF"/>
                <w:sz w:val="16"/>
                <w:szCs w:val="16"/>
              </w:rPr>
              <w:t xml:space="preserve">The documented argument that a facility or activity is acceptably safe. Your quality records, certificates, and test results are evidence that supports the safety case.</w:t>
            </w:r>
          </w:p>
        </w:tc>
      </w:tr>
    </w:tbl>
    <w:p>
      <w:pPr>
        <w:shd w:fill="001E3C" w:val="clear"/>
        <w:spacing w:after="60" w:before="120"/>
      </w:pPr>
      <w:r>
        <w:rPr>
          <w:rFonts w:ascii="Arial" w:cs="Arial" w:eastAsia="Arial" w:hAnsi="Arial"/>
          <w:b/>
          <w:bCs/>
          <w:color w:val="FFFFFF"/>
          <w:sz w:val="20"/>
          <w:szCs w:val="20"/>
        </w:rPr>
        <w:t xml:space="preserve">  KEY REGULATORY BODIES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gridCol w:w="6278"/>
      </w:tblGrid>
      <w:tr>
        <w:trPr>
          <w:tblHeader/>
        </w:trPr>
        <w:tc>
          <w:tcPr>
            <w:tcW w:type="dxa" w:w="24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8"/>
                <w:szCs w:val="18"/>
              </w:rPr>
              <w:t xml:space="preserve">Regulator</w:t>
            </w:r>
          </w:p>
        </w:tc>
        <w:tc>
          <w:tcPr>
            <w:tcW w:type="dxa" w:w="60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6278"/>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8"/>
                <w:szCs w:val="18"/>
              </w:rPr>
              <w:t xml:space="preserve">What this means for your business</w:t>
            </w:r>
          </w:p>
        </w:tc>
      </w:tr>
      <w:tr>
        <w:tc>
          <w:tcPr>
            <w:tcW w:type="dxa" w:w="2400"/>
            <w:tcBorders>
              <w:top w:val="single" w:color="009FE3" w:sz="1"/>
              <w:left w:val="single" w:color="009FE3" w:sz="1"/>
              <w:bottom w:val="single" w:color="009FE3" w:sz="1"/>
              <w:right w:val="single" w:color="009FE3" w:sz="1"/>
            </w:tcBorders>
            <w:shd w:fill="D6EEF8" w:val="clear"/>
            <w:tcMar>
              <w:top w:type="dxa" w:w="100"/>
              <w:left w:type="dxa" w:w="100"/>
              <w:bottom w:type="dxa" w:w="100"/>
              <w:right w:type="dxa" w:w="100"/>
            </w:tcMar>
            <w:vAlign w:val="center"/>
          </w:tcPr>
          <w:p>
            <w:r>
              <w:rPr>
                <w:rFonts w:ascii="Arial" w:cs="Arial" w:eastAsia="Arial" w:hAnsi="Arial"/>
                <w:b/>
                <w:bCs/>
                <w:color w:val="001E3C"/>
                <w:sz w:val="18"/>
                <w:szCs w:val="18"/>
              </w:rPr>
              <w:t xml:space="preserve">ONR
Office for Nuclear Regulation</w:t>
            </w:r>
          </w:p>
        </w:tc>
        <w:tc>
          <w:tcPr>
            <w:tcW w:type="dxa" w:w="6000"/>
            <w:tcBorders>
              <w:top w:val="single" w:color="009FE3" w:sz="1"/>
              <w:left w:val="single" w:color="009FE3" w:sz="1"/>
              <w:bottom w:val="single" w:color="009FE3" w:sz="1"/>
              <w:right w:val="single" w:color="009FE3" w:sz="1"/>
            </w:tcBorders>
            <w:shd w:fill="D6EEF8" w:val="clear"/>
            <w:tcMar>
              <w:top w:type="dxa" w:w="100"/>
              <w:left w:type="dxa" w:w="100"/>
              <w:bottom w:type="dxa" w:w="100"/>
              <w:right w:type="dxa" w:w="100"/>
            </w:tcMar>
          </w:tcPr>
          <w:p>
            <w:r>
              <w:rPr>
                <w:rFonts w:ascii="Arial" w:cs="Arial" w:eastAsia="Arial" w:hAnsi="Arial"/>
                <w:color w:val="5B595A"/>
                <w:sz w:val="17"/>
                <w:szCs w:val="17"/>
              </w:rPr>
              <w:t xml:space="preserve">Primary nuclear safety and security regulator in the UK. Grants and enforces nuclear site licences under the Nuclear Installations Act 1965. Regulates safety across design, construction, operation, and decommissioning. Can assess supply chain quality systems and safety culture.</w:t>
            </w:r>
          </w:p>
        </w:tc>
        <w:tc>
          <w:tcPr>
            <w:tcW w:type="dxa" w:w="6278"/>
            <w:tcBorders>
              <w:top w:val="single" w:color="009FE3" w:sz="1"/>
              <w:left w:val="single" w:color="009FE3" w:sz="1"/>
              <w:bottom w:val="single" w:color="009FE3" w:sz="1"/>
              <w:right w:val="single" w:color="009FE3" w:sz="1"/>
            </w:tcBorders>
            <w:shd w:fill="D6EEF8" w:val="clear"/>
            <w:tcMar>
              <w:top w:type="dxa" w:w="100"/>
              <w:left w:type="dxa" w:w="100"/>
              <w:bottom w:type="dxa" w:w="100"/>
              <w:right w:type="dxa" w:w="100"/>
            </w:tcMar>
          </w:tcPr>
          <w:p>
            <w:r>
              <w:rPr>
                <w:rFonts w:ascii="Arial" w:cs="Arial" w:eastAsia="Arial" w:hAnsi="Arial"/>
                <w:color w:val="5B595A"/>
                <w:sz w:val="17"/>
                <w:szCs w:val="17"/>
              </w:rPr>
              <w:t xml:space="preserve">Comply with client quality requirements that flow from ONR licence conditions. Maintain robust quality management, CFSI controls, and demonstrable safety culture. ONR can inspect your client's supply chain.</w:t>
            </w:r>
          </w:p>
        </w:tc>
      </w:tr>
      <w:tr>
        <w:tc>
          <w:tcPr>
            <w:tcW w:type="dxa" w:w="2400"/>
            <w:tcBorders>
              <w:top w:val="single" w:color="009FE3" w:sz="1"/>
              <w:left w:val="single" w:color="009FE3" w:sz="1"/>
              <w:bottom w:val="single" w:color="009FE3" w:sz="1"/>
              <w:right w:val="single" w:color="009FE3" w:sz="1"/>
            </w:tcBorders>
            <w:shd w:fill="EBF5FF" w:val="clear"/>
            <w:tcMar>
              <w:top w:type="dxa" w:w="100"/>
              <w:left w:type="dxa" w:w="100"/>
              <w:bottom w:type="dxa" w:w="100"/>
              <w:right w:type="dxa" w:w="100"/>
            </w:tcMar>
            <w:vAlign w:val="center"/>
          </w:tcPr>
          <w:p>
            <w:r>
              <w:rPr>
                <w:rFonts w:ascii="Arial" w:cs="Arial" w:eastAsia="Arial" w:hAnsi="Arial"/>
                <w:b/>
                <w:bCs/>
                <w:color w:val="001E3C"/>
                <w:sz w:val="18"/>
                <w:szCs w:val="18"/>
              </w:rPr>
              <w:t xml:space="preserve">EA / SEPA / NRW
Environment Agency (and equivalents)</w:t>
            </w:r>
          </w:p>
        </w:tc>
        <w:tc>
          <w:tcPr>
            <w:tcW w:type="dxa" w:w="6000"/>
            <w:tcBorders>
              <w:top w:val="single" w:color="009FE3" w:sz="1"/>
              <w:left w:val="single" w:color="009FE3" w:sz="1"/>
              <w:bottom w:val="single" w:color="009FE3" w:sz="1"/>
              <w:right w:val="single" w:color="009FE3" w:sz="1"/>
            </w:tcBorders>
            <w:shd w:fill="EBF5FF" w:val="clear"/>
            <w:tcMar>
              <w:top w:type="dxa" w:w="100"/>
              <w:left w:type="dxa" w:w="100"/>
              <w:bottom w:type="dxa" w:w="100"/>
              <w:right w:type="dxa" w:w="100"/>
            </w:tcMar>
          </w:tcPr>
          <w:p>
            <w:r>
              <w:rPr>
                <w:rFonts w:ascii="Arial" w:cs="Arial" w:eastAsia="Arial" w:hAnsi="Arial"/>
                <w:color w:val="5B595A"/>
                <w:sz w:val="17"/>
                <w:szCs w:val="17"/>
              </w:rPr>
              <w:t xml:space="preserve">Regulates environmental discharges and radioactive waste in England (EA), Scotland (SEPA), and Wales (NRW). Issues environmental permits for nuclear operations.</w:t>
            </w:r>
          </w:p>
        </w:tc>
        <w:tc>
          <w:tcPr>
            <w:tcW w:type="dxa" w:w="6278"/>
            <w:tcBorders>
              <w:top w:val="single" w:color="009FE3" w:sz="1"/>
              <w:left w:val="single" w:color="009FE3" w:sz="1"/>
              <w:bottom w:val="single" w:color="009FE3" w:sz="1"/>
              <w:right w:val="single" w:color="009FE3" w:sz="1"/>
            </w:tcBorders>
            <w:shd w:fill="EBF5FF" w:val="clear"/>
            <w:tcMar>
              <w:top w:type="dxa" w:w="100"/>
              <w:left w:type="dxa" w:w="100"/>
              <w:bottom w:type="dxa" w:w="100"/>
              <w:right w:type="dxa" w:w="100"/>
            </w:tcMar>
          </w:tcPr>
          <w:p>
            <w:r>
              <w:rPr>
                <w:rFonts w:ascii="Arial" w:cs="Arial" w:eastAsia="Arial" w:hAnsi="Arial"/>
                <w:color w:val="5B595A"/>
                <w:sz w:val="17"/>
                <w:szCs w:val="17"/>
              </w:rPr>
              <w:t xml:space="preserve">Comply with environmental controls when working on or near licensed sites. Manage waste appropriately. Follow your client's site environmental rules.</w:t>
            </w:r>
          </w:p>
        </w:tc>
      </w:tr>
      <w:tr>
        <w:tc>
          <w:tcPr>
            <w:tcW w:type="dxa" w:w="2400"/>
            <w:tcBorders>
              <w:top w:val="single" w:color="009FE3" w:sz="1"/>
              <w:left w:val="single" w:color="009FE3" w:sz="1"/>
              <w:bottom w:val="single" w:color="009FE3" w:sz="1"/>
              <w:right w:val="single" w:color="009FE3" w:sz="1"/>
            </w:tcBorders>
            <w:shd w:fill="D6EEF8" w:val="clear"/>
            <w:tcMar>
              <w:top w:type="dxa" w:w="100"/>
              <w:left w:type="dxa" w:w="100"/>
              <w:bottom w:type="dxa" w:w="100"/>
              <w:right w:type="dxa" w:w="100"/>
            </w:tcMar>
            <w:vAlign w:val="center"/>
          </w:tcPr>
          <w:p>
            <w:r>
              <w:rPr>
                <w:rFonts w:ascii="Arial" w:cs="Arial" w:eastAsia="Arial" w:hAnsi="Arial"/>
                <w:b/>
                <w:bCs/>
                <w:color w:val="001E3C"/>
                <w:sz w:val="18"/>
                <w:szCs w:val="18"/>
              </w:rPr>
              <w:t xml:space="preserve">NDA
Nuclear Decommissioning Authority</w:t>
            </w:r>
          </w:p>
        </w:tc>
        <w:tc>
          <w:tcPr>
            <w:tcW w:type="dxa" w:w="6000"/>
            <w:tcBorders>
              <w:top w:val="single" w:color="009FE3" w:sz="1"/>
              <w:left w:val="single" w:color="009FE3" w:sz="1"/>
              <w:bottom w:val="single" w:color="009FE3" w:sz="1"/>
              <w:right w:val="single" w:color="009FE3" w:sz="1"/>
            </w:tcBorders>
            <w:shd w:fill="D6EEF8" w:val="clear"/>
            <w:tcMar>
              <w:top w:type="dxa" w:w="100"/>
              <w:left w:type="dxa" w:w="100"/>
              <w:bottom w:type="dxa" w:w="100"/>
              <w:right w:type="dxa" w:w="100"/>
            </w:tcMar>
          </w:tcPr>
          <w:p>
            <w:r>
              <w:rPr>
                <w:rFonts w:ascii="Arial" w:cs="Arial" w:eastAsia="Arial" w:hAnsi="Arial"/>
                <w:color w:val="5B595A"/>
                <w:sz w:val="17"/>
                <w:szCs w:val="17"/>
              </w:rPr>
              <w:t xml:space="preserve">Government body responsible for the clean-up and decommissioning of the UK's civil nuclear legacy estate, including Sellafield and 17 other sites. Also a major client organisation.</w:t>
            </w:r>
          </w:p>
        </w:tc>
        <w:tc>
          <w:tcPr>
            <w:tcW w:type="dxa" w:w="6278"/>
            <w:tcBorders>
              <w:top w:val="single" w:color="009FE3" w:sz="1"/>
              <w:left w:val="single" w:color="009FE3" w:sz="1"/>
              <w:bottom w:val="single" w:color="009FE3" w:sz="1"/>
              <w:right w:val="single" w:color="009FE3" w:sz="1"/>
            </w:tcBorders>
            <w:shd w:fill="D6EEF8" w:val="clear"/>
            <w:tcMar>
              <w:top w:type="dxa" w:w="100"/>
              <w:left w:type="dxa" w:w="100"/>
              <w:bottom w:type="dxa" w:w="100"/>
              <w:right w:type="dxa" w:w="100"/>
            </w:tcMar>
          </w:tcPr>
          <w:p>
            <w:r>
              <w:rPr>
                <w:rFonts w:ascii="Arial" w:cs="Arial" w:eastAsia="Arial" w:hAnsi="Arial"/>
                <w:color w:val="5B595A"/>
                <w:sz w:val="17"/>
                <w:szCs w:val="17"/>
              </w:rPr>
              <w:t xml:space="preserve">Understand NDA's role if working on decommissioning programmes. Apply the same quality and safety standards as for new build work.</w:t>
            </w:r>
          </w:p>
        </w:tc>
      </w:tr>
      <w:tr>
        <w:tc>
          <w:tcPr>
            <w:tcW w:type="dxa" w:w="2400"/>
            <w:tcBorders>
              <w:top w:val="single" w:color="009FE3" w:sz="1"/>
              <w:left w:val="single" w:color="009FE3" w:sz="1"/>
              <w:bottom w:val="single" w:color="009FE3" w:sz="1"/>
              <w:right w:val="single" w:color="009FE3" w:sz="1"/>
            </w:tcBorders>
            <w:shd w:fill="EBF5FF" w:val="clear"/>
            <w:tcMar>
              <w:top w:type="dxa" w:w="100"/>
              <w:left w:type="dxa" w:w="100"/>
              <w:bottom w:type="dxa" w:w="100"/>
              <w:right w:type="dxa" w:w="100"/>
            </w:tcMar>
            <w:vAlign w:val="center"/>
          </w:tcPr>
          <w:p>
            <w:r>
              <w:rPr>
                <w:rFonts w:ascii="Arial" w:cs="Arial" w:eastAsia="Arial" w:hAnsi="Arial"/>
                <w:b/>
                <w:bCs/>
                <w:color w:val="001E3C"/>
                <w:sz w:val="18"/>
                <w:szCs w:val="18"/>
              </w:rPr>
              <w:t xml:space="preserve">HSE
Health and Safety Executive</w:t>
            </w:r>
          </w:p>
        </w:tc>
        <w:tc>
          <w:tcPr>
            <w:tcW w:type="dxa" w:w="6000"/>
            <w:tcBorders>
              <w:top w:val="single" w:color="009FE3" w:sz="1"/>
              <w:left w:val="single" w:color="009FE3" w:sz="1"/>
              <w:bottom w:val="single" w:color="009FE3" w:sz="1"/>
              <w:right w:val="single" w:color="009FE3" w:sz="1"/>
            </w:tcBorders>
            <w:shd w:fill="EBF5FF" w:val="clear"/>
            <w:tcMar>
              <w:top w:type="dxa" w:w="100"/>
              <w:left w:type="dxa" w:w="100"/>
              <w:bottom w:type="dxa" w:w="100"/>
              <w:right w:type="dxa" w:w="100"/>
            </w:tcMar>
          </w:tcPr>
          <w:p>
            <w:r>
              <w:rPr>
                <w:rFonts w:ascii="Arial" w:cs="Arial" w:eastAsia="Arial" w:hAnsi="Arial"/>
                <w:color w:val="5B595A"/>
                <w:sz w:val="17"/>
                <w:szCs w:val="17"/>
              </w:rPr>
              <w:t xml:space="preserve">Retains responsibility for conventional health and safety on nuclear sites alongside ONR. Enforces the Health and Safety at Work Act 1974 and associated regulations including COSHH, LOLER, PUWER.</w:t>
            </w:r>
          </w:p>
        </w:tc>
        <w:tc>
          <w:tcPr>
            <w:tcW w:type="dxa" w:w="6278"/>
            <w:tcBorders>
              <w:top w:val="single" w:color="009FE3" w:sz="1"/>
              <w:left w:val="single" w:color="009FE3" w:sz="1"/>
              <w:bottom w:val="single" w:color="009FE3" w:sz="1"/>
              <w:right w:val="single" w:color="009FE3" w:sz="1"/>
            </w:tcBorders>
            <w:shd w:fill="EBF5FF" w:val="clear"/>
            <w:tcMar>
              <w:top w:type="dxa" w:w="100"/>
              <w:left w:type="dxa" w:w="100"/>
              <w:bottom w:type="dxa" w:w="100"/>
              <w:right w:type="dxa" w:w="100"/>
            </w:tcMar>
          </w:tcPr>
          <w:p>
            <w:r>
              <w:rPr>
                <w:rFonts w:ascii="Arial" w:cs="Arial" w:eastAsia="Arial" w:hAnsi="Arial"/>
                <w:color w:val="5B595A"/>
                <w:sz w:val="17"/>
                <w:szCs w:val="17"/>
              </w:rPr>
              <w:t xml:space="preserve">Maintain your standard H&amp;S management system. Comply with all relevant H&amp;S regulations on site. Ensure staff are trained and risk assessments are current.</w:t>
            </w:r>
          </w:p>
        </w:tc>
      </w:tr>
      <w:tr>
        <w:tc>
          <w:tcPr>
            <w:tcW w:type="dxa" w:w="2400"/>
            <w:tcBorders>
              <w:top w:val="single" w:color="009FE3" w:sz="1"/>
              <w:left w:val="single" w:color="009FE3" w:sz="1"/>
              <w:bottom w:val="single" w:color="009FE3" w:sz="1"/>
              <w:right w:val="single" w:color="009FE3" w:sz="1"/>
            </w:tcBorders>
            <w:shd w:fill="D6EEF8" w:val="clear"/>
            <w:tcMar>
              <w:top w:type="dxa" w:w="100"/>
              <w:left w:type="dxa" w:w="100"/>
              <w:bottom w:type="dxa" w:w="100"/>
              <w:right w:type="dxa" w:w="100"/>
            </w:tcMar>
            <w:vAlign w:val="center"/>
          </w:tcPr>
          <w:p>
            <w:r>
              <w:rPr>
                <w:rFonts w:ascii="Arial" w:cs="Arial" w:eastAsia="Arial" w:hAnsi="Arial"/>
                <w:b/>
                <w:bCs/>
                <w:color w:val="001E3C"/>
                <w:sz w:val="18"/>
                <w:szCs w:val="18"/>
              </w:rPr>
              <w:t xml:space="preserve">DNSR
Defence Nuclear Safety Regulator</w:t>
            </w:r>
          </w:p>
        </w:tc>
        <w:tc>
          <w:tcPr>
            <w:tcW w:type="dxa" w:w="6000"/>
            <w:tcBorders>
              <w:top w:val="single" w:color="009FE3" w:sz="1"/>
              <w:left w:val="single" w:color="009FE3" w:sz="1"/>
              <w:bottom w:val="single" w:color="009FE3" w:sz="1"/>
              <w:right w:val="single" w:color="009FE3" w:sz="1"/>
            </w:tcBorders>
            <w:shd w:fill="D6EEF8" w:val="clear"/>
            <w:tcMar>
              <w:top w:type="dxa" w:w="100"/>
              <w:left w:type="dxa" w:w="100"/>
              <w:bottom w:type="dxa" w:w="100"/>
              <w:right w:type="dxa" w:w="100"/>
            </w:tcMar>
          </w:tcPr>
          <w:p>
            <w:r>
              <w:rPr>
                <w:rFonts w:ascii="Arial" w:cs="Arial" w:eastAsia="Arial" w:hAnsi="Arial"/>
                <w:color w:val="5B595A"/>
                <w:sz w:val="17"/>
                <w:szCs w:val="17"/>
              </w:rPr>
              <w:t xml:space="preserve">Regulates nuclear safety for UK defence nuclear programmes including the Royal Navy's submarine fleet. Works closely with ONR.</w:t>
            </w:r>
          </w:p>
        </w:tc>
        <w:tc>
          <w:tcPr>
            <w:tcW w:type="dxa" w:w="6278"/>
            <w:tcBorders>
              <w:top w:val="single" w:color="009FE3" w:sz="1"/>
              <w:left w:val="single" w:color="009FE3" w:sz="1"/>
              <w:bottom w:val="single" w:color="009FE3" w:sz="1"/>
              <w:right w:val="single" w:color="009FE3" w:sz="1"/>
            </w:tcBorders>
            <w:shd w:fill="D6EEF8" w:val="clear"/>
            <w:tcMar>
              <w:top w:type="dxa" w:w="100"/>
              <w:left w:type="dxa" w:w="100"/>
              <w:bottom w:type="dxa" w:w="100"/>
              <w:right w:type="dxa" w:w="100"/>
            </w:tcMar>
          </w:tcPr>
          <w:p>
            <w:r>
              <w:rPr>
                <w:rFonts w:ascii="Arial" w:cs="Arial" w:eastAsia="Arial" w:hAnsi="Arial"/>
                <w:color w:val="5B595A"/>
                <w:sz w:val="17"/>
                <w:szCs w:val="17"/>
              </w:rPr>
              <w:t xml:space="preserve">Relevant to supply chain companies working on defence nuclear contracts. Apply equivalent standards to civilian nuclear requirements.</w:t>
            </w:r>
          </w:p>
        </w:tc>
      </w:tr>
    </w:tbl>
    <w:p>
      <w:pPr>
        <w:shd w:fill="83348F" w:val="clear"/>
        <w:spacing w:after="60" w:before="120"/>
      </w:pPr>
      <w:r>
        <w:rPr>
          <w:rFonts w:ascii="Arial" w:cs="Arial" w:eastAsia="Arial" w:hAnsi="Arial"/>
          <w:b/>
          <w:bCs/>
          <w:color w:val="FFFFFF"/>
          <w:sz w:val="20"/>
          <w:szCs w:val="20"/>
        </w:rPr>
        <w:t xml:space="preserve">  KEY LEGISLATION AND STANDARDS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339"/>
        <w:gridCol w:w="7339"/>
      </w:tblGrid>
      <w:tr>
        <w:tc>
          <w:tcPr>
            <w:tcW w:type="dxa" w:w="7339"/>
            <w:tcBorders>
              <w:top w:val="single" w:color="CCCCCC" w:sz="1"/>
              <w:left w:val="single" w:color="CCCCCC" w:sz="1"/>
              <w:bottom w:val="single" w:color="CCCCCC" w:sz="1"/>
              <w:right w:val="single" w:color="CCCCCC" w:sz="1"/>
            </w:tcBorders>
            <w:shd w:fill="F4F9FC" w:val="clear"/>
            <w:tcMar>
              <w:top w:type="dxa" w:w="70"/>
              <w:left w:type="dxa" w:w="100"/>
              <w:bottom w:type="dxa" w:w="70"/>
              <w:right w:type="dxa" w:w="100"/>
            </w:tcMar>
          </w:tcPr>
          <w:p>
            <w:r>
              <w:rPr>
                <w:rFonts w:ascii="Arial" w:cs="Arial" w:eastAsia="Arial" w:hAnsi="Arial"/>
                <w:b/>
                <w:bCs/>
                <w:color w:val="001E3C"/>
                <w:sz w:val="17"/>
                <w:szCs w:val="17"/>
              </w:rPr>
              <w:t xml:space="preserve">Nuclear Installations Act 1965</w:t>
            </w:r>
          </w:p>
        </w:tc>
        <w:tc>
          <w:tcPr>
            <w:tcW w:type="dxa" w:w="7339"/>
            <w:tcBorders>
              <w:top w:val="single" w:color="CCCCCC" w:sz="1"/>
              <w:left w:val="single" w:color="CCCCCC" w:sz="1"/>
              <w:bottom w:val="single" w:color="CCCCCC" w:sz="1"/>
              <w:right w:val="single" w:color="CCCCCC" w:sz="1"/>
            </w:tcBorders>
            <w:shd w:fill="F4F9FC" w:val="clear"/>
            <w:tcMar>
              <w:top w:type="dxa" w:w="70"/>
              <w:left w:type="dxa" w:w="100"/>
              <w:bottom w:type="dxa" w:w="70"/>
              <w:right w:type="dxa" w:w="100"/>
            </w:tcMar>
          </w:tcPr>
          <w:p>
            <w:r>
              <w:rPr>
                <w:rFonts w:ascii="Arial" w:cs="Arial" w:eastAsia="Arial" w:hAnsi="Arial"/>
                <w:color w:val="5B595A"/>
                <w:sz w:val="17"/>
                <w:szCs w:val="17"/>
              </w:rPr>
              <w:t xml:space="preserve">Primary statute for nuclear site licensing in the UK.</w:t>
            </w:r>
          </w:p>
        </w:tc>
      </w:tr>
      <w:tr>
        <w:tc>
          <w:tcPr>
            <w:tcW w:type="dxa" w:w="7339"/>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01E3C"/>
                <w:sz w:val="17"/>
                <w:szCs w:val="17"/>
              </w:rPr>
              <w:t xml:space="preserve">Health and Safety at Work Act 1974</w:t>
            </w:r>
          </w:p>
        </w:tc>
        <w:tc>
          <w:tcPr>
            <w:tcW w:type="dxa" w:w="7339"/>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595A"/>
                <w:sz w:val="17"/>
                <w:szCs w:val="17"/>
              </w:rPr>
              <w:t xml:space="preserve">Applies to all workplaces. Requires employers to protect health, safety, and welfare.</w:t>
            </w:r>
          </w:p>
        </w:tc>
      </w:tr>
      <w:tr>
        <w:tc>
          <w:tcPr>
            <w:tcW w:type="dxa" w:w="7339"/>
            <w:tcBorders>
              <w:top w:val="single" w:color="CCCCCC" w:sz="1"/>
              <w:left w:val="single" w:color="CCCCCC" w:sz="1"/>
              <w:bottom w:val="single" w:color="CCCCCC" w:sz="1"/>
              <w:right w:val="single" w:color="CCCCCC" w:sz="1"/>
            </w:tcBorders>
            <w:shd w:fill="F4F9FC" w:val="clear"/>
            <w:tcMar>
              <w:top w:type="dxa" w:w="70"/>
              <w:left w:type="dxa" w:w="100"/>
              <w:bottom w:type="dxa" w:w="70"/>
              <w:right w:type="dxa" w:w="100"/>
            </w:tcMar>
          </w:tcPr>
          <w:p>
            <w:r>
              <w:rPr>
                <w:rFonts w:ascii="Arial" w:cs="Arial" w:eastAsia="Arial" w:hAnsi="Arial"/>
                <w:b/>
                <w:bCs/>
                <w:color w:val="001E3C"/>
                <w:sz w:val="17"/>
                <w:szCs w:val="17"/>
              </w:rPr>
              <w:t xml:space="preserve">Ionising Radiations Regulations 2017 (IRR17)</w:t>
            </w:r>
          </w:p>
        </w:tc>
        <w:tc>
          <w:tcPr>
            <w:tcW w:type="dxa" w:w="7339"/>
            <w:tcBorders>
              <w:top w:val="single" w:color="CCCCCC" w:sz="1"/>
              <w:left w:val="single" w:color="CCCCCC" w:sz="1"/>
              <w:bottom w:val="single" w:color="CCCCCC" w:sz="1"/>
              <w:right w:val="single" w:color="CCCCCC" w:sz="1"/>
            </w:tcBorders>
            <w:shd w:fill="F4F9FC" w:val="clear"/>
            <w:tcMar>
              <w:top w:type="dxa" w:w="70"/>
              <w:left w:type="dxa" w:w="100"/>
              <w:bottom w:type="dxa" w:w="70"/>
              <w:right w:type="dxa" w:w="100"/>
            </w:tcMar>
          </w:tcPr>
          <w:p>
            <w:r>
              <w:rPr>
                <w:rFonts w:ascii="Arial" w:cs="Arial" w:eastAsia="Arial" w:hAnsi="Arial"/>
                <w:color w:val="5B595A"/>
                <w:sz w:val="17"/>
                <w:szCs w:val="17"/>
              </w:rPr>
              <w:t xml:space="preserve">Governs use and control of ionising radiation. Applies to anyone working in or near radiation areas.</w:t>
            </w:r>
          </w:p>
        </w:tc>
      </w:tr>
      <w:tr>
        <w:tc>
          <w:tcPr>
            <w:tcW w:type="dxa" w:w="7339"/>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01E3C"/>
                <w:sz w:val="17"/>
                <w:szCs w:val="17"/>
              </w:rPr>
              <w:t xml:space="preserve">Nuclear Industries Security Regulations 2003</w:t>
            </w:r>
          </w:p>
        </w:tc>
        <w:tc>
          <w:tcPr>
            <w:tcW w:type="dxa" w:w="7339"/>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595A"/>
                <w:sz w:val="17"/>
                <w:szCs w:val="17"/>
              </w:rPr>
              <w:t xml:space="preserve">Covers security of nuclear material and sensitive information.</w:t>
            </w:r>
          </w:p>
        </w:tc>
      </w:tr>
      <w:tr>
        <w:tc>
          <w:tcPr>
            <w:tcW w:type="dxa" w:w="7339"/>
            <w:tcBorders>
              <w:top w:val="single" w:color="CCCCCC" w:sz="1"/>
              <w:left w:val="single" w:color="CCCCCC" w:sz="1"/>
              <w:bottom w:val="single" w:color="CCCCCC" w:sz="1"/>
              <w:right w:val="single" w:color="CCCCCC" w:sz="1"/>
            </w:tcBorders>
            <w:shd w:fill="F4F9FC" w:val="clear"/>
            <w:tcMar>
              <w:top w:type="dxa" w:w="70"/>
              <w:left w:type="dxa" w:w="100"/>
              <w:bottom w:type="dxa" w:w="70"/>
              <w:right w:type="dxa" w:w="100"/>
            </w:tcMar>
          </w:tcPr>
          <w:p>
            <w:r>
              <w:rPr>
                <w:rFonts w:ascii="Arial" w:cs="Arial" w:eastAsia="Arial" w:hAnsi="Arial"/>
                <w:b/>
                <w:bCs/>
                <w:color w:val="001E3C"/>
                <w:sz w:val="17"/>
                <w:szCs w:val="17"/>
              </w:rPr>
              <w:t xml:space="preserve">Environmental Permitting Regulations 2016</w:t>
            </w:r>
          </w:p>
        </w:tc>
        <w:tc>
          <w:tcPr>
            <w:tcW w:type="dxa" w:w="7339"/>
            <w:tcBorders>
              <w:top w:val="single" w:color="CCCCCC" w:sz="1"/>
              <w:left w:val="single" w:color="CCCCCC" w:sz="1"/>
              <w:bottom w:val="single" w:color="CCCCCC" w:sz="1"/>
              <w:right w:val="single" w:color="CCCCCC" w:sz="1"/>
            </w:tcBorders>
            <w:shd w:fill="F4F9FC" w:val="clear"/>
            <w:tcMar>
              <w:top w:type="dxa" w:w="70"/>
              <w:left w:type="dxa" w:w="100"/>
              <w:bottom w:type="dxa" w:w="70"/>
              <w:right w:type="dxa" w:w="100"/>
            </w:tcMar>
          </w:tcPr>
          <w:p>
            <w:r>
              <w:rPr>
                <w:rFonts w:ascii="Arial" w:cs="Arial" w:eastAsia="Arial" w:hAnsi="Arial"/>
                <w:color w:val="5B595A"/>
                <w:sz w:val="17"/>
                <w:szCs w:val="17"/>
              </w:rPr>
              <w:t xml:space="preserve">Regulates discharges and waste management from nuclear operations.</w:t>
            </w:r>
          </w:p>
        </w:tc>
      </w:tr>
      <w:tr>
        <w:tc>
          <w:tcPr>
            <w:tcW w:type="dxa" w:w="7339"/>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001E3C"/>
                <w:sz w:val="17"/>
                <w:szCs w:val="17"/>
              </w:rPr>
              <w:t xml:space="preserve">Management of Health and Safety at Work Regs 1999</w:t>
            </w:r>
          </w:p>
        </w:tc>
        <w:tc>
          <w:tcPr>
            <w:tcW w:type="dxa" w:w="7339"/>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5B595A"/>
                <w:sz w:val="17"/>
                <w:szCs w:val="17"/>
              </w:rPr>
              <w:t xml:space="preserve">Requires suitable risk assessments and management systems.</w:t>
            </w:r>
          </w:p>
        </w:tc>
      </w:tr>
      <w:tr>
        <w:tc>
          <w:tcPr>
            <w:tcW w:type="dxa" w:w="7339"/>
            <w:tcBorders>
              <w:top w:val="single" w:color="CCCCCC" w:sz="1"/>
              <w:left w:val="single" w:color="CCCCCC" w:sz="1"/>
              <w:bottom w:val="single" w:color="CCCCCC" w:sz="1"/>
              <w:right w:val="single" w:color="CCCCCC" w:sz="1"/>
            </w:tcBorders>
            <w:shd w:fill="F4F9FC" w:val="clear"/>
            <w:tcMar>
              <w:top w:type="dxa" w:w="70"/>
              <w:left w:type="dxa" w:w="100"/>
              <w:bottom w:type="dxa" w:w="70"/>
              <w:right w:type="dxa" w:w="100"/>
            </w:tcMar>
          </w:tcPr>
          <w:p>
            <w:r>
              <w:rPr>
                <w:rFonts w:ascii="Arial" w:cs="Arial" w:eastAsia="Arial" w:hAnsi="Arial"/>
                <w:b/>
                <w:bCs/>
                <w:color w:val="001E3C"/>
                <w:sz w:val="17"/>
                <w:szCs w:val="17"/>
              </w:rPr>
              <w:t xml:space="preserve">ISO 19443:2018</w:t>
            </w:r>
          </w:p>
        </w:tc>
        <w:tc>
          <w:tcPr>
            <w:tcW w:type="dxa" w:w="7339"/>
            <w:tcBorders>
              <w:top w:val="single" w:color="CCCCCC" w:sz="1"/>
              <w:left w:val="single" w:color="CCCCCC" w:sz="1"/>
              <w:bottom w:val="single" w:color="CCCCCC" w:sz="1"/>
              <w:right w:val="single" w:color="CCCCCC" w:sz="1"/>
            </w:tcBorders>
            <w:shd w:fill="F4F9FC" w:val="clear"/>
            <w:tcMar>
              <w:top w:type="dxa" w:w="70"/>
              <w:left w:type="dxa" w:w="100"/>
              <w:bottom w:type="dxa" w:w="70"/>
              <w:right w:type="dxa" w:w="100"/>
            </w:tcMar>
          </w:tcPr>
          <w:p>
            <w:r>
              <w:rPr>
                <w:rFonts w:ascii="Arial" w:cs="Arial" w:eastAsia="Arial" w:hAnsi="Arial"/>
                <w:color w:val="5B595A"/>
                <w:sz w:val="17"/>
                <w:szCs w:val="17"/>
              </w:rPr>
              <w:t xml:space="preserve">Nuclear sector-specific quality management standard. Builds on ISO 9001 with nuclear-specific requirements for supply chain quality.</w:t>
            </w:r>
          </w:p>
        </w:tc>
      </w:tr>
    </w:tbl>
    <w:sectPr>
      <w:headerReference w:type="default" r:id="rId7"/>
      <w:footerReference w:type="default" r:id="rId8"/>
      <w:pgSz w:w="16838" w:h="11906" w:orient="landscape"/>
      <w:pgMar w:top="900" w:right="1080" w:bottom="72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F0A1AB-4525-4641-9A10-F9EE28163BD5}"/>
</file>

<file path=customXml/itemProps2.xml><?xml version="1.0" encoding="utf-8"?>
<ds:datastoreItem xmlns:ds="http://schemas.openxmlformats.org/officeDocument/2006/customXml" ds:itemID="{24C29950-16BE-4D74-B043-7575A5FC3C76}"/>
</file>

<file path=customXml/itemProps3.xml><?xml version="1.0" encoding="utf-8"?>
<ds:datastoreItem xmlns:ds="http://schemas.openxmlformats.org/officeDocument/2006/customXml" ds:itemID="{993D9C7C-D88D-4F9D-9F57-FD00C16AA10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NSS-01b Regulatory Landscape Quick Reference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