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1E3C" w:val="clear"/>
        <w:spacing w:after="0" w:before="0"/>
      </w:pPr>
      <w:r>
        <w:rPr>
          <w:rFonts w:ascii="Arial" w:cs="Arial" w:eastAsia="Arial" w:hAnsi="Arial"/>
          <w:sz w:val="8"/>
          <w:szCs w:val="8"/>
        </w:rPr>
        <w:t xml:space="preserve"> </w:t>
      </w:r>
    </w:p>
    <w:p>
      <w:pPr>
        <w:spacing w:after="60" w:before="60"/>
      </w:pPr>
      <w:r>
        <w:t xml:space="preserve"/>
      </w:r>
    </w:p>
    <w:p>
      <w:pPr>
        <w:spacing w:after="60" w:before="60"/>
      </w:pPr>
      <w:r>
        <w:t xml:space="preserve"/>
      </w:r>
    </w:p>
    <w:p>
      <w:pPr>
        <w:spacing w:after="200" w:before="400"/>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143000"/>
                    </a:xfrm>
                    <a:prstGeom prst="rect">
                      <a:avLst/>
                    </a:prstGeom>
                  </pic:spPr>
                </pic:pic>
              </a:graphicData>
            </a:graphic>
          </wp:inline>
        </w:drawing>
      </w:r>
    </w:p>
    <w:p>
      <w:pPr>
        <w:shd w:fill="009FE3" w:val="clear"/>
        <w:spacing w:after="0" w:before="560"/>
        <w:jc w:val="center"/>
      </w:pPr>
      <w:r>
        <w:rPr>
          <w:rFonts w:ascii="Arial" w:cs="Arial" w:eastAsia="Arial" w:hAnsi="Arial"/>
          <w:b/>
          <w:bCs/>
          <w:color w:val="FFFFFF"/>
          <w:sz w:val="44"/>
          <w:szCs w:val="44"/>
        </w:rPr>
        <w:t xml:space="preserve">NUCLEAR STAKEHOLDER</w:t>
      </w:r>
    </w:p>
    <w:p>
      <w:pPr>
        <w:shd w:fill="009FE3" w:val="clear"/>
        <w:spacing w:after="0" w:before="0"/>
        <w:jc w:val="center"/>
      </w:pPr>
      <w:r>
        <w:rPr>
          <w:rFonts w:ascii="Arial" w:cs="Arial" w:eastAsia="Arial" w:hAnsi="Arial"/>
          <w:b/>
          <w:bCs/>
          <w:color w:val="FFFFFF"/>
          <w:sz w:val="44"/>
          <w:szCs w:val="44"/>
        </w:rPr>
        <w:t xml:space="preserve">ENGAGEMENT PLAN</w:t>
      </w:r>
    </w:p>
    <w:p>
      <w:pPr>
        <w:shd w:fill="83348F" w:val="clear"/>
        <w:spacing w:after="0" w:before="0"/>
        <w:jc w:val="center"/>
      </w:pPr>
      <w:r>
        <w:rPr>
          <w:rFonts w:ascii="Arial" w:cs="Arial" w:eastAsia="Arial" w:hAnsi="Arial"/>
          <w:b/>
          <w:bCs/>
          <w:color w:val="FFFFFF"/>
          <w:sz w:val="32"/>
          <w:szCs w:val="32"/>
        </w:rPr>
        <w:t xml:space="preserve">Working Template</w:t>
      </w:r>
    </w:p>
    <w:p>
      <w:pPr>
        <w:spacing w:after="60" w:before="60"/>
      </w:pPr>
      <w:r>
        <w:t xml:space="preserve"/>
      </w:r>
    </w:p>
    <w:p>
      <w:pPr>
        <w:spacing w:after="60" w:before="60"/>
      </w:pPr>
      <w:r>
        <w:t xml:space="preserve"/>
      </w:r>
    </w:p>
    <w:p>
      <w:pPr>
        <w:spacing w:after="80" w:before="360"/>
        <w:jc w:val="center"/>
      </w:pPr>
      <w:r>
        <w:rPr>
          <w:rFonts w:ascii="Arial" w:cs="Arial" w:eastAsia="Arial" w:hAnsi="Arial"/>
          <w:b/>
          <w:bCs/>
          <w:color w:val="5B595A"/>
          <w:sz w:val="22"/>
          <w:szCs w:val="22"/>
        </w:rPr>
        <w:t xml:space="preserve">NSS-01e</w:t>
      </w:r>
    </w:p>
    <w:p>
      <w:pPr>
        <w:spacing w:after="80" w:before="0"/>
        <w:jc w:val="center"/>
      </w:pPr>
      <w:r>
        <w:rPr>
          <w:rFonts w:ascii="Arial" w:cs="Arial" w:eastAsia="Arial" w:hAnsi="Arial"/>
          <w:color w:val="5B595A"/>
          <w:sz w:val="20"/>
          <w:szCs w:val="20"/>
        </w:rPr>
        <w:t xml:space="preserve">Nuclear Sector Specific Programme</w:t>
      </w:r>
    </w:p>
    <w:p>
      <w:pPr>
        <w:spacing w:after="80" w:before="0"/>
        <w:jc w:val="center"/>
      </w:pPr>
      <w:r>
        <w:rPr>
          <w:rFonts w:ascii="Arial" w:cs="Arial" w:eastAsia="Arial" w:hAnsi="Arial"/>
          <w:b/>
          <w:bCs/>
          <w:color w:val="009FE3"/>
          <w:sz w:val="20"/>
          <w:szCs w:val="20"/>
        </w:rPr>
        <w:t xml:space="preserve">Delivered by NucCol</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hd w:fill="001E3C" w:val="clear"/>
        <w:spacing w:after="0" w:before="0"/>
        <w:jc w:val="center"/>
      </w:pPr>
      <w:r>
        <w:rPr>
          <w:rFonts w:ascii="Arial" w:cs="Arial" w:eastAsia="Arial" w:hAnsi="Arial"/>
          <w:color w:val="FFFFFF"/>
          <w:sz w:val="18"/>
          <w:szCs w:val="18"/>
        </w:rPr>
        <w:t xml:space="preserve">www.nuccol.co.uk  |  Commercial in Confidence</w:t>
      </w:r>
    </w:p>
    <w:p>
      <w:r>
        <w:br w:type="page"/>
      </w:r>
    </w:p>
    <w:p>
      <w:pPr>
        <w:sectPr>
          <w:headerReference w:type="default" r:id="rId11"/>
          <w:footerReference w:type="default" r:id="rId12"/>
          <w:pgSz w:w="11906" w:h="16838" w:orient="portrait"/>
          <w:pgMar w:top="720" w:right="1080" w:bottom="720" w:left="1080" w:header="283" w:footer="283" w:gutter="0"/>
          <w:pgNumType/>
          <w:docGrid w:linePitch="360"/>
        </w:sectPr>
      </w:pPr>
    </w:p>
    <w:p>
      <w:pPr>
        <w:pStyle w:val="Heading1"/>
        <w:spacing w:after="120" w:before="300"/>
      </w:pPr>
      <w:r>
        <w:rPr>
          <w:rFonts w:ascii="Arial" w:cs="Arial" w:eastAsia="Arial" w:hAnsi="Arial"/>
          <w:b/>
          <w:bCs/>
          <w:color w:val="29ABE2"/>
          <w:sz w:val="34"/>
          <w:szCs w:val="34"/>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62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Document Title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Nuclear Stakeholder Engagement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Document Reference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NSS-01e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Company Name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Prepared By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Approved By</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Issue Date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Review Frequency</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Annual or following a significant change in nuclear activities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1.0</w:t>
            </w:r>
          </w:p>
        </w:tc>
      </w:tr>
    </w:tbl>
    <w:p>
      <w:pPr>
        <w:spacing w:after="60" w:before="60"/>
      </w:pPr>
      <w:r>
        <w:t xml:space="preserve"/>
      </w:r>
    </w:p>
    <w:p>
      <w:pPr>
        <w:pStyle w:val="Heading1"/>
        <w:spacing w:after="120" w:before="300"/>
      </w:pPr>
      <w:r>
        <w:rPr>
          <w:rFonts w:ascii="Arial" w:cs="Arial" w:eastAsia="Arial" w:hAnsi="Arial"/>
          <w:b/>
          <w:bCs/>
          <w:color w:val="29ABE2"/>
          <w:sz w:val="34"/>
          <w:szCs w:val="34"/>
        </w:rPr>
        <w:t xml:space="preserve">1. Purpose and Scope</w:t>
      </w:r>
    </w:p>
    <w:p>
      <w:pPr>
        <w:spacing w:after="80" w:before="60"/>
      </w:pPr>
      <w:r>
        <w:rPr>
          <w:rFonts w:ascii="Arial" w:cs="Arial" w:eastAsia="Arial" w:hAnsi="Arial"/>
          <w:i w:val="false"/>
          <w:iCs w:val="false"/>
          <w:color w:val="5B595A"/>
          <w:sz w:val="20"/>
          <w:szCs w:val="20"/>
        </w:rPr>
        <w:t xml:space="preserve">This plan sets out how [Company Name] identifies, engages, and maintains relationships with stakeholders relevant to its nuclear supply chain activities. Effective stakeholder engagement is a requirement of responsible nuclear supply chain participation. It supports regulatory compliance, builds client confidence, maintains workforce alignment, and contributes to the safety culture expected of companies operating in the nuclear sector.</w:t>
      </w:r>
    </w:p>
    <w:p>
      <w:pPr>
        <w:spacing w:after="80" w:before="60"/>
      </w:pPr>
      <w:r>
        <w:rPr>
          <w:rFonts w:ascii="Arial" w:cs="Arial" w:eastAsia="Arial" w:hAnsi="Arial"/>
          <w:i w:val="false"/>
          <w:iCs w:val="false"/>
          <w:color w:val="5B595A"/>
          <w:sz w:val="20"/>
          <w:szCs w:val="20"/>
        </w:rPr>
        <w:t xml:space="preserve">This plan covers all stakeholders with an interest in the company's nuclear activities, including regulators, nuclear clients, the workforce, local communities, and industry bodies. It should be reviewed annually and updated whenever the company's nuclear activities change significantly.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single" w:color="009FE3" w:sz="1"/>
              <w:left w:val="single" w:color="009FE3" w:sz="1"/>
              <w:bottom w:val="single" w:color="009FE3" w:sz="1"/>
              <w:right w:val="single" w:color="009FE3" w:sz="1"/>
            </w:tcBorders>
            <w:shd w:fill="009FE3"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WHY THIS MATTERS</w:t>
            </w:r>
          </w:p>
        </w:tc>
        <w:tc>
          <w:tcPr>
            <w:tcW w:type="dxa" w:w="7586"/>
            <w:tcBorders>
              <w:top w:val="single" w:color="009FE3" w:sz="1"/>
              <w:left w:val="single" w:color="009FE3" w:sz="1"/>
              <w:bottom w:val="single" w:color="009FE3" w:sz="1"/>
              <w:right w:val="single" w:color="009FE3" w:sz="1"/>
            </w:tcBorders>
            <w:shd w:fill="EBF5FF" w:val="clear"/>
            <w:tcMar>
              <w:top w:type="dxa" w:w="100"/>
              <w:left w:type="dxa" w:w="120"/>
              <w:bottom w:type="dxa" w:w="100"/>
              <w:right w:type="dxa" w:w="100"/>
            </w:tcMar>
          </w:tcPr>
          <w:p>
            <w:r>
              <w:rPr>
                <w:rFonts w:ascii="Arial" w:cs="Arial" w:eastAsia="Arial" w:hAnsi="Arial"/>
                <w:color w:val="5B595A"/>
                <w:sz w:val="19"/>
                <w:szCs w:val="19"/>
              </w:rPr>
              <w:t xml:space="preserve">ONR and nuclear clients will assess whether your organisation engages proactively and transparently with stakeholders on nuclear safety matters. This is not a passive activity. It requires a structured approach, regular review, and genuine two-way communication. The F4N Nuclear Sector Specific assessment includes a specific question on stakeholder engagement strategy.</w:t>
            </w:r>
          </w:p>
        </w:tc>
      </w:tr>
    </w:tbl>
    <w:p>
      <w:pPr>
        <w:spacing w:after="60" w:before="60"/>
      </w:pPr>
      <w:r>
        <w:t xml:space="preserve"/>
      </w:r>
    </w:p>
    <w:p>
      <w:r>
        <w:br w:type="page"/>
      </w:r>
    </w:p>
    <w:p>
      <w:pPr>
        <w:shd w:fill="001E3C" w:val="clear"/>
        <w:spacing w:after="80" w:before="200"/>
      </w:pPr>
      <w:r>
        <w:rPr>
          <w:rFonts w:ascii="Arial" w:cs="Arial" w:eastAsia="Arial" w:hAnsi="Arial"/>
          <w:b/>
          <w:bCs/>
          <w:color w:val="FFFFFF"/>
          <w:sz w:val="24"/>
          <w:szCs w:val="24"/>
        </w:rPr>
        <w:t xml:space="preserve">  SECTION 2: STAKEHOLDER IDENTIFICATION AND MAPPING</w:t>
      </w:r>
    </w:p>
    <w:p>
      <w:pPr>
        <w:spacing w:after="60" w:before="60"/>
      </w:pPr>
      <w:r>
        <w:t xml:space="preserve"/>
      </w:r>
    </w:p>
    <w:p>
      <w:pPr>
        <w:pStyle w:val="Heading2"/>
        <w:pBdr>
          <w:bottom w:val="single" w:color="009FE3" w:sz="4" w:space="1"/>
        </w:pBdr>
        <w:spacing w:after="80" w:before="220"/>
      </w:pPr>
      <w:r>
        <w:rPr>
          <w:rFonts w:ascii="Arial" w:cs="Arial" w:eastAsia="Arial" w:hAnsi="Arial"/>
          <w:b/>
          <w:bCs/>
          <w:color w:val="7B2D8B"/>
          <w:sz w:val="26"/>
          <w:szCs w:val="26"/>
        </w:rPr>
        <w:t xml:space="preserve">2.1 Stakeholder Categories</w:t>
      </w:r>
    </w:p>
    <w:p>
      <w:pPr>
        <w:spacing w:after="80" w:before="60"/>
      </w:pPr>
      <w:r>
        <w:rPr>
          <w:rFonts w:ascii="Arial" w:cs="Arial" w:eastAsia="Arial" w:hAnsi="Arial"/>
          <w:i w:val="false"/>
          <w:iCs w:val="false"/>
          <w:color w:val="5B595A"/>
          <w:sz w:val="20"/>
          <w:szCs w:val="20"/>
        </w:rPr>
        <w:t xml:space="preserve">The following categories cover the full range of stakeholders relevant to nuclear supply chain activities. Not all categories will be equally relevant to every company. Use the mapping table in section 2.2 to record which stakeholders are active for your business and the nature of your relationship with each.</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Who This Includes</w:t>
            </w:r>
          </w:p>
        </w:tc>
        <w:tc>
          <w:tcPr>
            <w:tcW w:type="dxa" w:w="38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Nature of Interest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Regulators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Office for Nuclear Regulation (ONR), Environment Agency (EA), Health and Safety Executive (HSE), SEPA (Scotland), NRW (Wales)</w:t>
            </w:r>
          </w:p>
        </w:tc>
        <w:tc>
          <w:tcPr>
            <w:tcW w:type="dxa" w:w="3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Statutory oversight of safety, environmental compliance, and worker protection. May assess supply chain practices directly or through clients.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Nuclear Clients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Tier 1 and Tier 2 contractors, licensees, and project owners such as EDF/HPC, NDA site companies, Sellafield Ltd, Rolls-Royce SMR, Urenco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Commercial relationship. Clients assess supplier quality systems, safety culture, and performance. They flow regulatory obligations down through contracts.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Workforce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All employees involved in nuclear work, including production, quality, engineering, purchasing, and management</w:t>
            </w:r>
          </w:p>
        </w:tc>
        <w:tc>
          <w:tcPr>
            <w:tcW w:type="dxa" w:w="3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Direct participants in nuclear safety. Their understanding, behaviour, and willingness to raise concerns are central to nuclear safety culture.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Supply Chain Partners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Subcontractors and material suppliers providing goods or services used on nuclear contracts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Must meet equivalent quality and safety standards. CFSI risk is managed through this group.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Local Community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Residents, local authorities, community groups near the company's operations or near nuclear sites where work is delivered</w:t>
            </w:r>
          </w:p>
        </w:tc>
        <w:tc>
          <w:tcPr>
            <w:tcW w:type="dxa" w:w="3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Expect safe, responsible operations and transparent communication about nuclear activities.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Industry Bodies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Nuclear Industry Association (NIA), NucCol, NSAN, Supply Chain Development Groups, relevant trade associations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Provide sector intelligence, training, benchmarking, and routes to market. Offer forums for sharing good practice.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Government and Policy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BEIS/DESNZ, UK Infrastructure Bank, local MPs and growth bodies</w:t>
            </w:r>
          </w:p>
        </w:tc>
        <w:tc>
          <w:tcPr>
            <w:tcW w:type="dxa" w:w="3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Shape the regulatory and investment environment for nuclear. Relevant where the company is involved in advocacy or sector development activities.</w:t>
            </w:r>
          </w:p>
        </w:tc>
      </w:tr>
    </w:tbl>
    <w:p>
      <w:pPr>
        <w:spacing w:after="60" w:before="60"/>
      </w:pPr>
      <w:r>
        <w:t xml:space="preserve"/>
      </w:r>
    </w:p>
    <w:p>
      <w:pPr>
        <w:pStyle w:val="Heading2"/>
        <w:pBdr>
          <w:bottom w:val="single" w:color="009FE3" w:sz="4" w:space="1"/>
        </w:pBdr>
        <w:spacing w:after="80" w:before="220"/>
      </w:pPr>
      <w:r>
        <w:rPr>
          <w:rFonts w:ascii="Arial" w:cs="Arial" w:eastAsia="Arial" w:hAnsi="Arial"/>
          <w:b/>
          <w:bCs/>
          <w:color w:val="7B2D8B"/>
          <w:sz w:val="26"/>
          <w:szCs w:val="26"/>
        </w:rPr>
        <w:t xml:space="preserve">2.2 Stakeholder Map</w:t>
      </w:r>
    </w:p>
    <w:p>
      <w:pPr>
        <w:spacing w:after="80" w:before="60"/>
      </w:pPr>
      <w:r>
        <w:rPr>
          <w:rFonts w:ascii="Arial" w:cs="Arial" w:eastAsia="Arial" w:hAnsi="Arial"/>
          <w:i w:val="false"/>
          <w:iCs w:val="false"/>
          <w:color w:val="5B595A"/>
          <w:sz w:val="20"/>
          <w:szCs w:val="20"/>
        </w:rPr>
        <w:t xml:space="preserve">Complete this table for each active stakeholder. Add rows as required. Review at least annually.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500"/>
        <w:gridCol w:w="1400"/>
        <w:gridCol w:w="1400"/>
        <w:gridCol w:w="1026"/>
      </w:tblGrid>
      <w:tr>
        <w:trPr>
          <w:tblHeader/>
        </w:trPr>
        <w:tc>
          <w:tcPr>
            <w:tcW w:type="dxa" w:w="15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Stakeholder Name / Organisation</w:t>
            </w:r>
          </w:p>
        </w:tc>
        <w:tc>
          <w:tcPr>
            <w:tcW w:type="dxa" w:w="11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11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Key Contact</w:t>
            </w:r>
          </w:p>
        </w:tc>
        <w:tc>
          <w:tcPr>
            <w:tcW w:type="dxa" w:w="15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Nature of Relationship</w:t>
            </w:r>
          </w:p>
        </w:tc>
        <w:tc>
          <w:tcPr>
            <w:tcW w:type="dxa" w:w="1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Our Interest in Them</w:t>
            </w:r>
          </w:p>
        </w:tc>
        <w:tc>
          <w:tcPr>
            <w:tcW w:type="dxa" w:w="1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Their Interest in Us</w:t>
            </w:r>
          </w:p>
        </w:tc>
        <w:tc>
          <w:tcPr>
            <w:tcW w:type="dxa" w:w="10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Engagement Priority (H/M/L)</w:t>
            </w:r>
          </w:p>
        </w:tc>
      </w:tr>
      <w:tr>
        <w:trPr>
          <w:trHeight w:val="600" w:hRule="atLeast"/>
        </w:trP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bl>
    <w:p>
      <w:pPr>
        <w:spacing w:after="60" w:before="60"/>
      </w:pPr>
      <w:r>
        <w:t xml:space="preserve"/>
      </w:r>
    </w:p>
    <w:p>
      <w:r>
        <w:br w:type="page"/>
      </w:r>
    </w:p>
    <w:p>
      <w:pPr>
        <w:shd w:fill="001E3C" w:val="clear"/>
        <w:spacing w:after="80" w:before="200"/>
      </w:pPr>
      <w:r>
        <w:rPr>
          <w:rFonts w:ascii="Arial" w:cs="Arial" w:eastAsia="Arial" w:hAnsi="Arial"/>
          <w:b/>
          <w:bCs/>
          <w:color w:val="FFFFFF"/>
          <w:sz w:val="24"/>
          <w:szCs w:val="24"/>
        </w:rPr>
        <w:t xml:space="preserve">  SECTION 3: ENGAGEMENT OBJECTIVES</w:t>
      </w:r>
    </w:p>
    <w:p>
      <w:pPr>
        <w:spacing w:after="60" w:before="60"/>
      </w:pPr>
      <w:r>
        <w:t xml:space="preserve"/>
      </w:r>
    </w:p>
    <w:p>
      <w:pPr>
        <w:pStyle w:val="Heading2"/>
        <w:pBdr>
          <w:bottom w:val="single" w:color="009FE3" w:sz="4" w:space="1"/>
        </w:pBdr>
        <w:spacing w:after="80" w:before="220"/>
      </w:pPr>
      <w:r>
        <w:rPr>
          <w:rFonts w:ascii="Arial" w:cs="Arial" w:eastAsia="Arial" w:hAnsi="Arial"/>
          <w:b/>
          <w:bCs/>
          <w:color w:val="7B2D8B"/>
          <w:sz w:val="26"/>
          <w:szCs w:val="26"/>
        </w:rPr>
        <w:t xml:space="preserve">3.1 What We Are Trying to Achieve</w:t>
      </w:r>
    </w:p>
    <w:p>
      <w:pPr>
        <w:spacing w:after="80" w:before="60"/>
      </w:pPr>
      <w:r>
        <w:rPr>
          <w:rFonts w:ascii="Arial" w:cs="Arial" w:eastAsia="Arial" w:hAnsi="Arial"/>
          <w:i w:val="false"/>
          <w:iCs w:val="false"/>
          <w:color w:val="5B595A"/>
          <w:sz w:val="20"/>
          <w:szCs w:val="20"/>
        </w:rPr>
        <w:t xml:space="preserve">Stakeholder engagement in a nuclear context goes beyond routine communications. The objectives below represent the minimum standards expected of a nuclear supply chain company. Record how your organisation is meeting each objective in the column provided.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26"/>
      </w:tblGrid>
      <w:tr>
        <w:trPr>
          <w:tblHeader/>
        </w:trPr>
        <w:tc>
          <w:tcPr>
            <w:tcW w:type="dxa" w:w="3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Engagement Objective</w:t>
            </w:r>
          </w:p>
        </w:tc>
        <w:tc>
          <w:tcPr>
            <w:tcW w:type="dxa" w:w="3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How We Meet This Objective</w:t>
            </w:r>
          </w:p>
        </w:tc>
        <w:tc>
          <w:tcPr>
            <w:tcW w:type="dxa" w:w="26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Evidence / Actions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26"/>
      </w:tblGrid>
      <w:tr>
        <w:trPr>
          <w:tblHeader/>
        </w:trPr>
        <w:tc>
          <w:tcPr>
            <w:tcW w:type="dxa" w:w="3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Engagement Objective</w:t>
            </w:r>
          </w:p>
        </w:tc>
        <w:tc>
          <w:tcPr>
            <w:tcW w:type="dxa" w:w="3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How We Meet This Objective</w:t>
            </w:r>
          </w:p>
        </w:tc>
        <w:tc>
          <w:tcPr>
            <w:tcW w:type="dxa" w:w="26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Evidence / Actions</w:t>
            </w:r>
          </w:p>
        </w:tc>
      </w:tr>
      <w:tr>
        <w:trPr>
          <w:trHeight w:val="500" w:hRule="atLeast"/>
        </w:trPr>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Maintain up-to-date awareness of the regulatory expectations relevant to our nuclear activities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rPr>
          <w:trHeight w:val="500" w:hRule="atLeast"/>
        </w:trP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Ensure all relevant staff understand nuclear sector requirements and what is expected of them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rPr>
          <w:trHeight w:val="500" w:hRule="atLeast"/>
        </w:trPr>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Engage proactively with nuclear clients on performance, issues, and improvements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rPr>
          <w:trHeight w:val="500" w:hRule="atLeast"/>
        </w:trP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Maintain transparent and timely communication with clients about non-conformances and quality issues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rPr>
          <w:trHeight w:val="500" w:hRule="atLeast"/>
        </w:trPr>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Build and sustain relationships with industry bodies that support our nuclear development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rPr>
          <w:trHeight w:val="500" w:hRule="atLeast"/>
        </w:trP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Engage our workforce in nuclear safety culture through regular briefings, toolbox talks, and feedback mechanisms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rPr>
          <w:trHeight w:val="500" w:hRule="atLeast"/>
        </w:trPr>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Understand and respond to the expectations of local communities where relevant to our nuclear activities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rPr>
          <w:trHeight w:val="500" w:hRule="atLeast"/>
        </w:trP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Monitor regulatory and policy developments that could affect our nuclear activities and respond accordingly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bl>
    <w:p>
      <w:pPr>
        <w:spacing w:after="60" w:before="60"/>
      </w:pPr>
      <w:r>
        <w:t xml:space="preserve"/>
      </w:r>
    </w:p>
    <w:p>
      <w:r>
        <w:br w:type="page"/>
      </w:r>
    </w:p>
    <w:p>
      <w:pPr>
        <w:shd w:fill="001E3C" w:val="clear"/>
        <w:spacing w:after="80" w:before="200"/>
      </w:pPr>
      <w:r>
        <w:rPr>
          <w:rFonts w:ascii="Arial" w:cs="Arial" w:eastAsia="Arial" w:hAnsi="Arial"/>
          <w:b/>
          <w:bCs/>
          <w:color w:val="FFFFFF"/>
          <w:sz w:val="24"/>
          <w:szCs w:val="24"/>
        </w:rPr>
        <w:t xml:space="preserve">  SECTION 4: ENGAGEMENT ACTIVITY LOG</w:t>
      </w:r>
    </w:p>
    <w:p>
      <w:pPr>
        <w:spacing w:after="60" w:before="60"/>
      </w:pPr>
      <w:r>
        <w:t xml:space="preserve"/>
      </w:r>
    </w:p>
    <w:p>
      <w:pPr>
        <w:pStyle w:val="Heading2"/>
        <w:pBdr>
          <w:bottom w:val="single" w:color="009FE3" w:sz="4" w:space="1"/>
        </w:pBdr>
        <w:spacing w:after="80" w:before="220"/>
      </w:pPr>
      <w:r>
        <w:rPr>
          <w:rFonts w:ascii="Arial" w:cs="Arial" w:eastAsia="Arial" w:hAnsi="Arial"/>
          <w:b/>
          <w:bCs/>
          <w:color w:val="7B2D8B"/>
          <w:sz w:val="26"/>
          <w:szCs w:val="26"/>
        </w:rPr>
        <w:t xml:space="preserve">4.1 How to Use This Log</w:t>
      </w:r>
    </w:p>
    <w:p>
      <w:pPr>
        <w:spacing w:after="80" w:before="60"/>
      </w:pPr>
      <w:r>
        <w:rPr>
          <w:rFonts w:ascii="Arial" w:cs="Arial" w:eastAsia="Arial" w:hAnsi="Arial"/>
          <w:i w:val="false"/>
          <w:iCs w:val="false"/>
          <w:color w:val="5B595A"/>
          <w:sz w:val="20"/>
          <w:szCs w:val="20"/>
        </w:rPr>
        <w:t xml:space="preserve">Record every significant stakeholder engagement activity in this log. This includes meetings with nuclear clients, regulatory contacts, industry events attended, workforce briefings on nuclear topics, community interactions, and responses to regulatory guidance or consultation. This log forms part of the evidence that your organisation engages proactively and systematically with nuclear sector stakeholders.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single" w:color="009FE3" w:sz="1"/>
              <w:left w:val="single" w:color="009FE3" w:sz="1"/>
              <w:bottom w:val="single" w:color="009FE3" w:sz="1"/>
              <w:right w:val="single" w:color="009FE3" w:sz="1"/>
            </w:tcBorders>
            <w:shd w:fill="009FE3"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WHAT COUNTS</w:t>
            </w:r>
          </w:p>
        </w:tc>
        <w:tc>
          <w:tcPr>
            <w:tcW w:type="dxa" w:w="7586"/>
            <w:tcBorders>
              <w:top w:val="single" w:color="009FE3" w:sz="1"/>
              <w:left w:val="single" w:color="009FE3" w:sz="1"/>
              <w:bottom w:val="single" w:color="009FE3" w:sz="1"/>
              <w:right w:val="single" w:color="009FE3" w:sz="1"/>
            </w:tcBorders>
            <w:shd w:fill="EBF5FF" w:val="clear"/>
            <w:tcMar>
              <w:top w:type="dxa" w:w="100"/>
              <w:left w:type="dxa" w:w="120"/>
              <w:bottom w:type="dxa" w:w="100"/>
              <w:right w:type="dxa" w:w="100"/>
            </w:tcMar>
          </w:tcPr>
          <w:p>
            <w:r>
              <w:rPr>
                <w:rFonts w:ascii="Arial" w:cs="Arial" w:eastAsia="Arial" w:hAnsi="Arial"/>
                <w:color w:val="5B595A"/>
                <w:sz w:val="19"/>
                <w:szCs w:val="19"/>
              </w:rPr>
              <w:t xml:space="preserve">Any interaction where nuclear safety, quality, regulatory compliance, or supply chain performance is discussed. This includes formal meetings, site visits, audits, written communications with regulators or clients, attendance at industry forums, and internal briefings where nuclear sector expectations are communicated to staff.</w:t>
            </w:r>
          </w:p>
        </w:tc>
      </w:tr>
    </w:tbl>
    <w:p>
      <w:pPr>
        <w:spacing w:after="60" w:before="60"/>
      </w:pPr>
      <w:r>
        <w:t xml:space="preserve"/>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900"/>
        <w:gridCol w:w="1600"/>
        <w:gridCol w:w="700"/>
        <w:gridCol w:w="1600"/>
        <w:gridCol w:w="1026"/>
        <w:gridCol w:w="700"/>
      </w:tblGrid>
      <w:tr>
        <w:trPr>
          <w:tblHeader/>
        </w:trPr>
        <w:tc>
          <w:tcPr>
            <w:tcW w:type="dxa" w:w="7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Date</w:t>
            </w:r>
          </w:p>
        </w:tc>
        <w:tc>
          <w:tcPr>
            <w:tcW w:type="dxa" w:w="1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Stakeholder</w:t>
            </w:r>
          </w:p>
        </w:tc>
        <w:tc>
          <w:tcPr>
            <w:tcW w:type="dxa" w:w="9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16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Topic / Purpose</w:t>
            </w:r>
          </w:p>
        </w:tc>
        <w:tc>
          <w:tcPr>
            <w:tcW w:type="dxa" w:w="7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16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Key Outcomes / Actions</w:t>
            </w:r>
          </w:p>
        </w:tc>
        <w:tc>
          <w:tcPr>
            <w:tcW w:type="dxa" w:w="10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Follow-up Required</w:t>
            </w:r>
          </w:p>
        </w:tc>
        <w:tc>
          <w:tcPr>
            <w:tcW w:type="dxa" w:w="7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Completed</w:t>
            </w:r>
          </w:p>
        </w:tc>
      </w:tr>
      <w:tr>
        <w:trPr>
          <w:trHeight w:val="600" w:hRule="atLeast"/>
        </w:trP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bl>
    <w:p>
      <w:pPr>
        <w:spacing w:after="60" w:before="60"/>
      </w:pPr>
      <w:r>
        <w:t xml:space="preserve"/>
      </w:r>
    </w:p>
    <w:p>
      <w:r>
        <w:br w:type="page"/>
      </w:r>
    </w:p>
    <w:p>
      <w:pPr>
        <w:shd w:fill="001E3C" w:val="clear"/>
        <w:spacing w:after="80" w:before="200"/>
      </w:pPr>
      <w:r>
        <w:rPr>
          <w:rFonts w:ascii="Arial" w:cs="Arial" w:eastAsia="Arial" w:hAnsi="Arial"/>
          <w:b/>
          <w:bCs/>
          <w:color w:val="FFFFFF"/>
          <w:sz w:val="24"/>
          <w:szCs w:val="24"/>
        </w:rPr>
        <w:t xml:space="preserve">  SECTION 5: REGULATORY ENGAGEMENT</w:t>
      </w:r>
    </w:p>
    <w:p>
      <w:pPr>
        <w:spacing w:after="60" w:before="60"/>
      </w:pPr>
      <w:r>
        <w:t xml:space="preserve"/>
      </w:r>
    </w:p>
    <w:p>
      <w:pPr>
        <w:pStyle w:val="Heading2"/>
        <w:pBdr>
          <w:bottom w:val="single" w:color="009FE3" w:sz="4" w:space="1"/>
        </w:pBdr>
        <w:spacing w:after="80" w:before="220"/>
      </w:pPr>
      <w:r>
        <w:rPr>
          <w:rFonts w:ascii="Arial" w:cs="Arial" w:eastAsia="Arial" w:hAnsi="Arial"/>
          <w:b/>
          <w:bCs/>
          <w:color w:val="7B2D8B"/>
          <w:sz w:val="26"/>
          <w:szCs w:val="26"/>
        </w:rPr>
        <w:t xml:space="preserve">5.1 Engaging with Regulators</w:t>
      </w:r>
    </w:p>
    <w:p>
      <w:pPr>
        <w:spacing w:after="80" w:before="60"/>
      </w:pPr>
      <w:r>
        <w:rPr>
          <w:rFonts w:ascii="Arial" w:cs="Arial" w:eastAsia="Arial" w:hAnsi="Arial"/>
          <w:i w:val="false"/>
          <w:iCs w:val="false"/>
          <w:color w:val="5B595A"/>
          <w:sz w:val="20"/>
          <w:szCs w:val="20"/>
        </w:rPr>
        <w:t xml:space="preserve">For most supply chain companies, direct engagement with ONR or the Environment Agency will be infrequent and primarily mediated through nuclear clients. However, companies should be aware of the regulatory environment, monitor published guidance, and ensure that any direct regulatory contact is handled appropriately and recorded.</w:t>
      </w:r>
    </w:p>
    <w:p>
      <w:pPr>
        <w:spacing w:after="60" w:before="60"/>
      </w:pPr>
      <w:r>
        <w:t xml:space="preserve"/>
      </w:r>
    </w:p>
    <w:p>
      <w:pPr>
        <w:spacing w:after="60" w:before="160"/>
      </w:pPr>
      <w:r>
        <w:rPr>
          <w:rFonts w:ascii="Arial" w:cs="Arial" w:eastAsia="Arial" w:hAnsi="Arial"/>
          <w:b/>
          <w:bCs/>
          <w:color w:val="83348F"/>
          <w:sz w:val="22"/>
          <w:szCs w:val="22"/>
        </w:rPr>
        <w:t xml:space="preserve">Monitoring Regulatory Guidance</w:t>
      </w:r>
    </w:p>
    <w:p>
      <w:pPr>
        <w:spacing w:after="80" w:before="60"/>
      </w:pPr>
      <w:r>
        <w:rPr>
          <w:rFonts w:ascii="Arial" w:cs="Arial" w:eastAsia="Arial" w:hAnsi="Arial"/>
          <w:i w:val="false"/>
          <w:iCs w:val="false"/>
          <w:color w:val="5B595A"/>
          <w:sz w:val="20"/>
          <w:szCs w:val="20"/>
        </w:rPr>
        <w:t xml:space="preserve">The following regulatory publications should be monitored for updates relevant to your nuclear activities:</w:t>
      </w:r>
    </w:p>
    <w:p>
      <w:pPr>
        <w:pStyle w:val="ListParagraph"/>
        <w:numPr>
          <w:ilvl w:val="0"/>
          <w:numId w:val="2"/>
        </w:numPr>
        <w:spacing w:after="40" w:before="40"/>
      </w:pPr>
      <w:r>
        <w:rPr>
          <w:rFonts w:ascii="Arial" w:cs="Arial" w:eastAsia="Arial" w:hAnsi="Arial"/>
          <w:color w:val="5B595A"/>
          <w:sz w:val="20"/>
          <w:szCs w:val="20"/>
        </w:rPr>
        <w:t xml:space="preserve">ONR Technical Assessment Guides (TAGs): published guidance on how ONR assesses specific areas of nuclear safety. Particularly relevant: TAG 77 (Supply Chain Management).</w:t>
      </w:r>
    </w:p>
    <w:p>
      <w:pPr>
        <w:pStyle w:val="ListParagraph"/>
        <w:numPr>
          <w:ilvl w:val="0"/>
          <w:numId w:val="2"/>
        </w:numPr>
        <w:spacing w:after="40" w:before="40"/>
      </w:pPr>
      <w:r>
        <w:rPr>
          <w:rFonts w:ascii="Arial" w:cs="Arial" w:eastAsia="Arial" w:hAnsi="Arial"/>
          <w:color w:val="5B595A"/>
          <w:sz w:val="20"/>
          <w:szCs w:val="20"/>
        </w:rPr>
        <w:t xml:space="preserve">ONR Chief Nuclear Inspector Annual Report: published annually, sets out regulatory priorities and emerging concerns.</w:t>
      </w:r>
    </w:p>
    <w:p>
      <w:pPr>
        <w:pStyle w:val="ListParagraph"/>
        <w:numPr>
          <w:ilvl w:val="0"/>
          <w:numId w:val="2"/>
        </w:numPr>
        <w:spacing w:after="40" w:before="40"/>
      </w:pPr>
      <w:r>
        <w:rPr>
          <w:rFonts w:ascii="Arial" w:cs="Arial" w:eastAsia="Arial" w:hAnsi="Arial"/>
          <w:color w:val="5B595A"/>
          <w:sz w:val="20"/>
          <w:szCs w:val="20"/>
        </w:rPr>
        <w:t xml:space="preserve">NDA Strategy and Business Plans: set out the decommissioning programme and priorities that drive supply chain demand.</w:t>
      </w:r>
    </w:p>
    <w:p>
      <w:pPr>
        <w:pStyle w:val="ListParagraph"/>
        <w:numPr>
          <w:ilvl w:val="0"/>
          <w:numId w:val="2"/>
        </w:numPr>
        <w:spacing w:after="40" w:before="40"/>
      </w:pPr>
      <w:r>
        <w:rPr>
          <w:rFonts w:ascii="Arial" w:cs="Arial" w:eastAsia="Arial" w:hAnsi="Arial"/>
          <w:color w:val="5B595A"/>
          <w:sz w:val="20"/>
          <w:szCs w:val="20"/>
        </w:rPr>
        <w:t xml:space="preserve">ISO 19443: the nuclear sector quality management standard. Monitor for revisions.</w:t>
      </w:r>
    </w:p>
    <w:p>
      <w:pPr>
        <w:pStyle w:val="ListParagraph"/>
        <w:numPr>
          <w:ilvl w:val="0"/>
          <w:numId w:val="2"/>
        </w:numPr>
        <w:spacing w:after="40" w:before="40"/>
      </w:pPr>
      <w:r>
        <w:rPr>
          <w:rFonts w:ascii="Arial" w:cs="Arial" w:eastAsia="Arial" w:hAnsi="Arial"/>
          <w:color w:val="5B595A"/>
          <w:sz w:val="20"/>
          <w:szCs w:val="20"/>
        </w:rPr>
        <w:t xml:space="preserve">NucCol and Nuclear Industry Association guidance: sector-specific good practice updates relevant to supply chain companies.</w:t>
      </w:r>
    </w:p>
    <w:p>
      <w:pPr>
        <w:spacing w:after="60" w:before="60"/>
      </w:pPr>
      <w:r>
        <w:t xml:space="preserve"/>
      </w:r>
    </w:p>
    <w:p>
      <w:pPr>
        <w:spacing w:after="60" w:before="160"/>
      </w:pPr>
      <w:r>
        <w:rPr>
          <w:rFonts w:ascii="Arial" w:cs="Arial" w:eastAsia="Arial" w:hAnsi="Arial"/>
          <w:b/>
          <w:bCs/>
          <w:color w:val="83348F"/>
          <w:sz w:val="22"/>
          <w:szCs w:val="22"/>
        </w:rPr>
        <w:t xml:space="preserve">Responding to Regulatory Requirements</w:t>
      </w:r>
    </w:p>
    <w:p>
      <w:pPr>
        <w:spacing w:after="80" w:before="60"/>
      </w:pPr>
      <w:r>
        <w:rPr>
          <w:rFonts w:ascii="Arial" w:cs="Arial" w:eastAsia="Arial" w:hAnsi="Arial"/>
          <w:i w:val="false"/>
          <w:iCs w:val="false"/>
          <w:color w:val="5B595A"/>
          <w:sz w:val="20"/>
          <w:szCs w:val="20"/>
        </w:rPr>
        <w:t xml:space="preserve">Where a regulatory requirement or guidance update is identified that affects your nuclear activities, it should be:</w:t>
      </w:r>
    </w:p>
    <w:p>
      <w:pPr>
        <w:pStyle w:val="ListParagraph"/>
        <w:numPr>
          <w:ilvl w:val="0"/>
          <w:numId w:val="2"/>
        </w:numPr>
        <w:spacing w:after="40" w:before="40"/>
      </w:pPr>
      <w:r>
        <w:rPr>
          <w:rFonts w:ascii="Arial" w:cs="Arial" w:eastAsia="Arial" w:hAnsi="Arial"/>
          <w:color w:val="5B595A"/>
          <w:sz w:val="20"/>
          <w:szCs w:val="20"/>
        </w:rPr>
        <w:t xml:space="preserve">Logged in the engagement activity log above</w:t>
      </w:r>
    </w:p>
    <w:p>
      <w:pPr>
        <w:pStyle w:val="ListParagraph"/>
        <w:numPr>
          <w:ilvl w:val="0"/>
          <w:numId w:val="2"/>
        </w:numPr>
        <w:spacing w:after="40" w:before="40"/>
      </w:pPr>
      <w:r>
        <w:rPr>
          <w:rFonts w:ascii="Arial" w:cs="Arial" w:eastAsia="Arial" w:hAnsi="Arial"/>
          <w:color w:val="5B595A"/>
          <w:sz w:val="20"/>
          <w:szCs w:val="20"/>
        </w:rPr>
        <w:t xml:space="preserve">Assessed for impact on your quality management system, procedures, or training</w:t>
      </w:r>
    </w:p>
    <w:p>
      <w:pPr>
        <w:pStyle w:val="ListParagraph"/>
        <w:numPr>
          <w:ilvl w:val="0"/>
          <w:numId w:val="2"/>
        </w:numPr>
        <w:spacing w:after="40" w:before="40"/>
      </w:pPr>
      <w:r>
        <w:rPr>
          <w:rFonts w:ascii="Arial" w:cs="Arial" w:eastAsia="Arial" w:hAnsi="Arial"/>
          <w:color w:val="5B595A"/>
          <w:sz w:val="20"/>
          <w:szCs w:val="20"/>
        </w:rPr>
        <w:t xml:space="preserve">Actioned through your normal management system review and CSIP processes</w:t>
      </w:r>
    </w:p>
    <w:p>
      <w:pPr>
        <w:pStyle w:val="ListParagraph"/>
        <w:numPr>
          <w:ilvl w:val="0"/>
          <w:numId w:val="2"/>
        </w:numPr>
        <w:spacing w:after="40" w:before="40"/>
      </w:pPr>
      <w:r>
        <w:rPr>
          <w:rFonts w:ascii="Arial" w:cs="Arial" w:eastAsia="Arial" w:hAnsi="Arial"/>
          <w:color w:val="5B595A"/>
          <w:sz w:val="20"/>
          <w:szCs w:val="20"/>
        </w:rPr>
        <w:t xml:space="preserve">Communicated to relevant staff as part of your nuclear awareness programme</w:t>
      </w:r>
    </w:p>
    <w:p>
      <w:pPr>
        <w:spacing w:after="60" w:before="60"/>
      </w:pPr>
      <w:r>
        <w:t xml:space="preserve"/>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800"/>
        <w:gridCol w:w="1600"/>
        <w:gridCol w:w="1400"/>
        <w:gridCol w:w="900"/>
        <w:gridCol w:w="826"/>
      </w:tblGrid>
      <w:tr>
        <w:trPr>
          <w:tblHeader/>
        </w:trPr>
        <w:tc>
          <w:tcPr>
            <w:tcW w:type="dxa" w:w="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Date Identified</w:t>
            </w:r>
          </w:p>
        </w:tc>
        <w:tc>
          <w:tcPr>
            <w:tcW w:type="dxa" w:w="11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Source</w:t>
            </w:r>
          </w:p>
        </w:tc>
        <w:tc>
          <w:tcPr>
            <w:tcW w:type="dxa" w:w="1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Guidance / Requirement</w:t>
            </w:r>
          </w:p>
        </w:tc>
        <w:tc>
          <w:tcPr>
            <w:tcW w:type="dxa" w:w="16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Impact Assessment</w:t>
            </w:r>
          </w:p>
        </w:tc>
        <w:tc>
          <w:tcPr>
            <w:tcW w:type="dxa" w:w="1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Action Required</w:t>
            </w:r>
          </w:p>
        </w:tc>
        <w:tc>
          <w:tcPr>
            <w:tcW w:type="dxa" w:w="9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8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Completed</w:t>
            </w:r>
          </w:p>
        </w:tc>
      </w:tr>
      <w:tr>
        <w:trPr>
          <w:trHeight w:val="600" w:hRule="atLeast"/>
        </w:trPr>
        <w:tc>
          <w:tcPr>
            <w:tcW w:type="dxa" w:w="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bl>
    <w:p>
      <w:pPr>
        <w:spacing w:after="60" w:before="60"/>
      </w:pPr>
      <w:r>
        <w:t xml:space="preserve"/>
      </w:r>
    </w:p>
    <w:p>
      <w:r>
        <w:br w:type="page"/>
      </w:r>
    </w:p>
    <w:p>
      <w:pPr>
        <w:shd w:fill="001E3C" w:val="clear"/>
        <w:spacing w:after="80" w:before="200"/>
      </w:pPr>
      <w:r>
        <w:rPr>
          <w:rFonts w:ascii="Arial" w:cs="Arial" w:eastAsia="Arial" w:hAnsi="Arial"/>
          <w:b/>
          <w:bCs/>
          <w:color w:val="FFFFFF"/>
          <w:sz w:val="24"/>
          <w:szCs w:val="24"/>
        </w:rPr>
        <w:t xml:space="preserve">  SECTION 6: NUCLEAR CLIENT ENGAGEMENT</w:t>
      </w:r>
    </w:p>
    <w:p>
      <w:pPr>
        <w:spacing w:after="60" w:before="60"/>
      </w:pPr>
      <w:r>
        <w:t xml:space="preserve"/>
      </w:r>
    </w:p>
    <w:p>
      <w:pPr>
        <w:pStyle w:val="Heading2"/>
        <w:pBdr>
          <w:bottom w:val="single" w:color="009FE3" w:sz="4" w:space="1"/>
        </w:pBdr>
        <w:spacing w:after="80" w:before="220"/>
      </w:pPr>
      <w:r>
        <w:rPr>
          <w:rFonts w:ascii="Arial" w:cs="Arial" w:eastAsia="Arial" w:hAnsi="Arial"/>
          <w:b/>
          <w:bCs/>
          <w:color w:val="7B2D8B"/>
          <w:sz w:val="26"/>
          <w:szCs w:val="26"/>
        </w:rPr>
        <w:t xml:space="preserve">6.1 Managing Client Relationships in Nuclear</w:t>
      </w:r>
    </w:p>
    <w:p>
      <w:pPr>
        <w:spacing w:after="80" w:before="60"/>
      </w:pPr>
      <w:r>
        <w:rPr>
          <w:rFonts w:ascii="Arial" w:cs="Arial" w:eastAsia="Arial" w:hAnsi="Arial"/>
          <w:i w:val="false"/>
          <w:iCs w:val="false"/>
          <w:color w:val="5B595A"/>
          <w:sz w:val="20"/>
          <w:szCs w:val="20"/>
        </w:rPr>
        <w:t xml:space="preserve">Nuclear client relationships carry additional obligations compared to commercial relationships in other sectors. Clients are responsible for ensuring that their supply chain meets the standards required to maintain their safety case and regulatory licence. They exercise this responsibility through supplier qualification, audits, performance reviews, and flow-down of requirements.</w:t>
      </w:r>
    </w:p>
    <w:p>
      <w:pPr>
        <w:spacing w:after="80" w:before="60"/>
      </w:pPr>
      <w:r>
        <w:rPr>
          <w:rFonts w:ascii="Arial" w:cs="Arial" w:eastAsia="Arial" w:hAnsi="Arial"/>
          <w:i w:val="false"/>
          <w:iCs w:val="false"/>
          <w:color w:val="5B595A"/>
          <w:sz w:val="20"/>
          <w:szCs w:val="20"/>
        </w:rPr>
        <w:t xml:space="preserve">Your engagement with nuclear clients should be proactive, transparent, and structured. Waiting to be asked is not an appropriate approach in a nuclear context.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Engagement Type</w:t>
            </w:r>
          </w:p>
        </w:tc>
        <w:tc>
          <w:tcPr>
            <w:tcW w:type="dxa" w:w="1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Minimum Frequency</w:t>
            </w:r>
          </w:p>
        </w:tc>
        <w:tc>
          <w:tcPr>
            <w:tcW w:type="dxa" w:w="50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What to Cover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Performance review meetings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Quarterly (or as contractually required)</w:t>
            </w:r>
          </w:p>
        </w:tc>
        <w:tc>
          <w:tcPr>
            <w:tcW w:type="dxa" w:w="5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Delivery performance, quality metrics, NCR status, improvement actions, upcoming risks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Non-conformance communication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Immediately on identification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Nature of the NC, immediate containment action, root cause investigation plan, timeline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Quality system updates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When significant changes are made</w:t>
            </w:r>
          </w:p>
        </w:tc>
        <w:tc>
          <w:tcPr>
            <w:tcW w:type="dxa" w:w="5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Changes to QMS, procedures, key personnel, certifications, or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Supplier audits (receiving)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As requested by client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Open, transparent access to processes, records, and staff. Corrective actions closed on time.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Pre-contract engagement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Before new nuclear work commences</w:t>
            </w:r>
          </w:p>
        </w:tc>
        <w:tc>
          <w:tcPr>
            <w:tcW w:type="dxa" w:w="5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Scope clarification, quality requirements, flow-down obligations, documentation expectations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Lessons learned sharing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At project close or annually</w:t>
            </w:r>
          </w:p>
        </w:tc>
        <w:tc>
          <w:tcPr>
            <w:tcW w:type="dxa" w:w="5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What worked, what did not, improvements made for future contracts</w:t>
            </w:r>
          </w:p>
        </w:tc>
      </w:tr>
    </w:tbl>
    <w:p>
      <w:pPr>
        <w:spacing w:after="60" w:before="60"/>
      </w:pPr>
      <w:r>
        <w:t xml:space="preserve"/>
      </w:r>
    </w:p>
    <w:p>
      <w:pPr>
        <w:pStyle w:val="Heading2"/>
        <w:pBdr>
          <w:bottom w:val="single" w:color="009FE3" w:sz="4" w:space="1"/>
        </w:pBdr>
        <w:spacing w:after="80" w:before="220"/>
      </w:pPr>
      <w:r>
        <w:rPr>
          <w:rFonts w:ascii="Arial" w:cs="Arial" w:eastAsia="Arial" w:hAnsi="Arial"/>
          <w:b/>
          <w:bCs/>
          <w:color w:val="7B2D8B"/>
          <w:sz w:val="26"/>
          <w:szCs w:val="26"/>
        </w:rPr>
        <w:t xml:space="preserve">6.2 Client Engagement Record</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900"/>
        <w:gridCol w:w="1000"/>
        <w:gridCol w:w="1800"/>
        <w:gridCol w:w="1200"/>
        <w:gridCol w:w="826"/>
      </w:tblGrid>
      <w:tr>
        <w:trPr>
          <w:tblHeader/>
        </w:trPr>
        <w:tc>
          <w:tcPr>
            <w:tcW w:type="dxa" w:w="1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Client Name</w:t>
            </w:r>
          </w:p>
        </w:tc>
        <w:tc>
          <w:tcPr>
            <w:tcW w:type="dxa" w:w="1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Contract / Project Ref</w:t>
            </w:r>
          </w:p>
        </w:tc>
        <w:tc>
          <w:tcPr>
            <w:tcW w:type="dxa" w:w="9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Last Contact Date</w:t>
            </w:r>
          </w:p>
        </w:tc>
        <w:tc>
          <w:tcPr>
            <w:tcW w:type="dxa" w:w="1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Contact Type</w:t>
            </w:r>
          </w:p>
        </w:tc>
        <w:tc>
          <w:tcPr>
            <w:tcW w:type="dxa" w:w="1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Key Outcomes</w:t>
            </w:r>
          </w:p>
        </w:tc>
        <w:tc>
          <w:tcPr>
            <w:tcW w:type="dxa" w:w="1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Next Action</w:t>
            </w:r>
          </w:p>
        </w:tc>
        <w:tc>
          <w:tcPr>
            <w:tcW w:type="dxa" w:w="8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Due Date</w:t>
            </w:r>
          </w:p>
        </w:tc>
      </w:tr>
      <w:tr>
        <w:trPr>
          <w:trHeight w:val="600" w:hRule="atLeast"/>
        </w:trP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bl>
    <w:p>
      <w:pPr>
        <w:spacing w:after="60" w:before="60"/>
      </w:pPr>
      <w:r>
        <w:t xml:space="preserve"/>
      </w:r>
    </w:p>
    <w:p>
      <w:r>
        <w:br w:type="page"/>
      </w:r>
    </w:p>
    <w:p>
      <w:pPr>
        <w:shd w:fill="001E3C" w:val="clear"/>
        <w:spacing w:after="80" w:before="200"/>
      </w:pPr>
      <w:r>
        <w:rPr>
          <w:rFonts w:ascii="Arial" w:cs="Arial" w:eastAsia="Arial" w:hAnsi="Arial"/>
          <w:b/>
          <w:bCs/>
          <w:color w:val="FFFFFF"/>
          <w:sz w:val="24"/>
          <w:szCs w:val="24"/>
        </w:rPr>
        <w:t xml:space="preserve">  SECTION 7: WORKFORCE ENGAGEMENT ON NUCLEAR MATTERS</w:t>
      </w:r>
    </w:p>
    <w:p>
      <w:pPr>
        <w:spacing w:after="60" w:before="60"/>
      </w:pPr>
      <w:r>
        <w:t xml:space="preserve"/>
      </w:r>
    </w:p>
    <w:p>
      <w:pPr>
        <w:pStyle w:val="Heading2"/>
        <w:pBdr>
          <w:bottom w:val="single" w:color="009FE3" w:sz="4" w:space="1"/>
        </w:pBdr>
        <w:spacing w:after="80" w:before="220"/>
      </w:pPr>
      <w:r>
        <w:rPr>
          <w:rFonts w:ascii="Arial" w:cs="Arial" w:eastAsia="Arial" w:hAnsi="Arial"/>
          <w:b/>
          <w:bCs/>
          <w:color w:val="7B2D8B"/>
          <w:sz w:val="26"/>
          <w:szCs w:val="26"/>
        </w:rPr>
        <w:t xml:space="preserve">7.1 Communicating Nuclear Expectations to Staff</w:t>
      </w:r>
    </w:p>
    <w:p>
      <w:pPr>
        <w:spacing w:after="80" w:before="60"/>
      </w:pPr>
      <w:r>
        <w:rPr>
          <w:rFonts w:ascii="Arial" w:cs="Arial" w:eastAsia="Arial" w:hAnsi="Arial"/>
          <w:i w:val="false"/>
          <w:iCs w:val="false"/>
          <w:color w:val="5B595A"/>
          <w:sz w:val="20"/>
          <w:szCs w:val="20"/>
        </w:rPr>
        <w:t xml:space="preserve">Your workforce is a critical stakeholder in your nuclear activities. Every person involved in nuclear work must understand what is expected of them, why the standards exist, and how to raise concerns. Workforce engagement is also a direct indicator of nuclear safety culture maturity and will be assessed during F4N verification.</w:t>
      </w:r>
    </w:p>
    <w:p>
      <w:pPr>
        <w:spacing w:after="60" w:before="60"/>
      </w:pPr>
      <w:r>
        <w:t xml:space="preserve"/>
      </w:r>
    </w:p>
    <w:p>
      <w:pPr>
        <w:spacing w:after="60" w:before="160"/>
      </w:pPr>
      <w:r>
        <w:rPr>
          <w:rFonts w:ascii="Arial" w:cs="Arial" w:eastAsia="Arial" w:hAnsi="Arial"/>
          <w:b/>
          <w:bCs/>
          <w:color w:val="83348F"/>
          <w:sz w:val="22"/>
          <w:szCs w:val="22"/>
        </w:rPr>
        <w:t xml:space="preserve">Minimum Engagement Activities</w:t>
      </w:r>
    </w:p>
    <w:p>
      <w:pPr>
        <w:pStyle w:val="ListParagraph"/>
        <w:numPr>
          <w:ilvl w:val="0"/>
          <w:numId w:val="2"/>
        </w:numPr>
        <w:spacing w:after="40" w:before="40"/>
      </w:pPr>
      <w:r>
        <w:rPr>
          <w:rFonts w:ascii="Arial" w:cs="Arial" w:eastAsia="Arial" w:hAnsi="Arial"/>
          <w:color w:val="5B595A"/>
          <w:sz w:val="20"/>
          <w:szCs w:val="20"/>
        </w:rPr>
        <w:t xml:space="preserve">Nuclear sector awareness induction: every new employee or contractor involved in nuclear work should receive nuclear sector awareness briefing before commencing that work. Record completion in the NSS-01c Awareness Register.</w:t>
      </w:r>
    </w:p>
    <w:p>
      <w:pPr>
        <w:pStyle w:val="ListParagraph"/>
        <w:numPr>
          <w:ilvl w:val="0"/>
          <w:numId w:val="2"/>
        </w:numPr>
        <w:spacing w:after="40" w:before="40"/>
      </w:pPr>
      <w:r>
        <w:rPr>
          <w:rFonts w:ascii="Arial" w:cs="Arial" w:eastAsia="Arial" w:hAnsi="Arial"/>
          <w:color w:val="5B595A"/>
          <w:sz w:val="20"/>
          <w:szCs w:val="20"/>
        </w:rPr>
        <w:t xml:space="preserve">Toolbox talk programme: deliver at least one nuclear-focused toolbox talk per quarter. Use the NSS-01d Toolbox Talk as a starting point and supplement with topic-specific talks from the wider NSS toolkit.</w:t>
      </w:r>
    </w:p>
    <w:p>
      <w:pPr>
        <w:pStyle w:val="ListParagraph"/>
        <w:numPr>
          <w:ilvl w:val="0"/>
          <w:numId w:val="2"/>
        </w:numPr>
        <w:spacing w:after="40" w:before="40"/>
      </w:pPr>
      <w:r>
        <w:rPr>
          <w:rFonts w:ascii="Arial" w:cs="Arial" w:eastAsia="Arial" w:hAnsi="Arial"/>
          <w:color w:val="5B595A"/>
          <w:sz w:val="20"/>
          <w:szCs w:val="20"/>
        </w:rPr>
        <w:t xml:space="preserve">Team briefings: include nuclear performance, quality concerns, and sector updates in regular team briefings. Do not limit nuclear communication to formal training events.</w:t>
      </w:r>
    </w:p>
    <w:p>
      <w:pPr>
        <w:pStyle w:val="ListParagraph"/>
        <w:numPr>
          <w:ilvl w:val="0"/>
          <w:numId w:val="2"/>
        </w:numPr>
        <w:spacing w:after="40" w:before="40"/>
      </w:pPr>
      <w:r>
        <w:rPr>
          <w:rFonts w:ascii="Arial" w:cs="Arial" w:eastAsia="Arial" w:hAnsi="Arial"/>
          <w:color w:val="5B595A"/>
          <w:sz w:val="20"/>
          <w:szCs w:val="20"/>
        </w:rPr>
        <w:t xml:space="preserve">Notice boards and visual management: display key nuclear messages, commitments, and performance data in workshop, production, and office areas. Use NSS-01f and NSS-02f posters.</w:t>
      </w:r>
    </w:p>
    <w:p>
      <w:pPr>
        <w:pStyle w:val="ListParagraph"/>
        <w:numPr>
          <w:ilvl w:val="0"/>
          <w:numId w:val="2"/>
        </w:numPr>
        <w:spacing w:after="40" w:before="40"/>
      </w:pPr>
      <w:r>
        <w:rPr>
          <w:rFonts w:ascii="Arial" w:cs="Arial" w:eastAsia="Arial" w:hAnsi="Arial"/>
          <w:color w:val="5B595A"/>
          <w:sz w:val="20"/>
          <w:szCs w:val="20"/>
        </w:rPr>
        <w:t xml:space="preserve">Feedback and concern reporting: ensure staff know how to raise concerns about nuclear quality or safety, and that they will be treated fairly when they do. Record concerns raised and actions taken.</w:t>
      </w:r>
    </w:p>
    <w:p>
      <w:pPr>
        <w:spacing w:after="60" w:before="60"/>
      </w:pPr>
      <w:r>
        <w:t xml:space="preserve"/>
      </w:r>
    </w:p>
    <w:p>
      <w:pPr>
        <w:pStyle w:val="Heading2"/>
        <w:pBdr>
          <w:bottom w:val="single" w:color="009FE3" w:sz="4" w:space="1"/>
        </w:pBdr>
        <w:spacing w:after="80" w:before="220"/>
      </w:pPr>
      <w:r>
        <w:rPr>
          <w:rFonts w:ascii="Arial" w:cs="Arial" w:eastAsia="Arial" w:hAnsi="Arial"/>
          <w:b/>
          <w:bCs/>
          <w:color w:val="7B2D8B"/>
          <w:sz w:val="26"/>
          <w:szCs w:val="26"/>
        </w:rPr>
        <w:t xml:space="preserve">7.2 Workforce Engagement Activity Record</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400"/>
        <w:gridCol w:w="1000"/>
        <w:gridCol w:w="700"/>
        <w:gridCol w:w="2000"/>
        <w:gridCol w:w="1826"/>
      </w:tblGrid>
      <w:tr>
        <w:trPr>
          <w:tblHeader/>
        </w:trPr>
        <w:tc>
          <w:tcPr>
            <w:tcW w:type="dxa" w:w="7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Date</w:t>
            </w:r>
          </w:p>
        </w:tc>
        <w:tc>
          <w:tcPr>
            <w:tcW w:type="dxa" w:w="1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Activity Type</w:t>
            </w:r>
          </w:p>
        </w:tc>
        <w:tc>
          <w:tcPr>
            <w:tcW w:type="dxa" w:w="1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Topic</w:t>
            </w:r>
          </w:p>
        </w:tc>
        <w:tc>
          <w:tcPr>
            <w:tcW w:type="dxa" w:w="1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Audience</w:t>
            </w:r>
          </w:p>
        </w:tc>
        <w:tc>
          <w:tcPr>
            <w:tcW w:type="dxa" w:w="7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Number of Staff</w:t>
            </w:r>
          </w:p>
        </w:tc>
        <w:tc>
          <w:tcPr>
            <w:tcW w:type="dxa" w:w="2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Key Messages Delivered</w:t>
            </w:r>
          </w:p>
        </w:tc>
        <w:tc>
          <w:tcPr>
            <w:tcW w:type="dxa" w:w="18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Actions / Follow-up</w:t>
            </w:r>
          </w:p>
        </w:tc>
      </w:tr>
      <w:tr>
        <w:trPr>
          <w:trHeight w:val="600" w:hRule="atLeast"/>
        </w:trP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bl>
    <w:p>
      <w:pPr>
        <w:spacing w:after="60" w:before="60"/>
      </w:pPr>
      <w:r>
        <w:t xml:space="preserve"/>
      </w:r>
    </w:p>
    <w:p>
      <w:r>
        <w:br w:type="page"/>
      </w:r>
    </w:p>
    <w:p>
      <w:pPr>
        <w:shd w:fill="001E3C" w:val="clear"/>
        <w:spacing w:after="80" w:before="200"/>
      </w:pPr>
      <w:r>
        <w:rPr>
          <w:rFonts w:ascii="Arial" w:cs="Arial" w:eastAsia="Arial" w:hAnsi="Arial"/>
          <w:b/>
          <w:bCs/>
          <w:color w:val="FFFFFF"/>
          <w:sz w:val="24"/>
          <w:szCs w:val="24"/>
        </w:rPr>
        <w:t xml:space="preserve">  SECTION 8: PLAN REVIEW AND EFFECTIVENESS</w:t>
      </w:r>
    </w:p>
    <w:p>
      <w:pPr>
        <w:spacing w:after="60" w:before="60"/>
      </w:pPr>
      <w:r>
        <w:t xml:space="preserve"/>
      </w:r>
    </w:p>
    <w:p>
      <w:pPr>
        <w:pStyle w:val="Heading2"/>
        <w:pBdr>
          <w:bottom w:val="single" w:color="009FE3" w:sz="4" w:space="1"/>
        </w:pBdr>
        <w:spacing w:after="80" w:before="220"/>
      </w:pPr>
      <w:r>
        <w:rPr>
          <w:rFonts w:ascii="Arial" w:cs="Arial" w:eastAsia="Arial" w:hAnsi="Arial"/>
          <w:b/>
          <w:bCs/>
          <w:color w:val="7B2D8B"/>
          <w:sz w:val="26"/>
          <w:szCs w:val="26"/>
        </w:rPr>
        <w:t xml:space="preserve">8.1 Reviewing This Plan</w:t>
      </w:r>
    </w:p>
    <w:p>
      <w:pPr>
        <w:spacing w:after="80" w:before="60"/>
      </w:pPr>
      <w:r>
        <w:rPr>
          <w:rFonts w:ascii="Arial" w:cs="Arial" w:eastAsia="Arial" w:hAnsi="Arial"/>
          <w:i w:val="false"/>
          <w:iCs w:val="false"/>
          <w:color w:val="5B595A"/>
          <w:sz w:val="20"/>
          <w:szCs w:val="20"/>
        </w:rPr>
        <w:t xml:space="preserve">This plan should be reviewed at least annually by the person responsible for nuclear quality or compliance. The review should assess whether the stakeholder map is still current, whether engagement objectives are being met, and whether the log reflects a genuinely active engagement programme.</w:t>
      </w:r>
    </w:p>
    <w:p>
      <w:pPr>
        <w:spacing w:after="60" w:before="60"/>
      </w:pPr>
      <w:r>
        <w:t xml:space="preserve"/>
      </w:r>
    </w:p>
    <w:p>
      <w:pPr>
        <w:pStyle w:val="Heading2"/>
        <w:pBdr>
          <w:bottom w:val="single" w:color="009FE3" w:sz="4" w:space="1"/>
        </w:pBdr>
        <w:spacing w:after="80" w:before="220"/>
      </w:pPr>
      <w:r>
        <w:rPr>
          <w:rFonts w:ascii="Arial" w:cs="Arial" w:eastAsia="Arial" w:hAnsi="Arial"/>
          <w:b/>
          <w:bCs/>
          <w:color w:val="7B2D8B"/>
          <w:sz w:val="26"/>
          <w:szCs w:val="26"/>
        </w:rPr>
        <w:t xml:space="preserve">8.2 Effectiveness Review Record</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200"/>
        <w:gridCol w:w="1000"/>
        <w:gridCol w:w="1600"/>
        <w:gridCol w:w="1600"/>
        <w:gridCol w:w="826"/>
      </w:tblGrid>
      <w:tr>
        <w:trPr>
          <w:tblHeader/>
        </w:trPr>
        <w:tc>
          <w:tcPr>
            <w:tcW w:type="dxa" w:w="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Review Date</w:t>
            </w:r>
          </w:p>
        </w:tc>
        <w:tc>
          <w:tcPr>
            <w:tcW w:type="dxa" w:w="1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Reviewed By</w:t>
            </w:r>
          </w:p>
        </w:tc>
        <w:tc>
          <w:tcPr>
            <w:tcW w:type="dxa" w:w="1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Stakeholder Map Current?</w:t>
            </w:r>
          </w:p>
        </w:tc>
        <w:tc>
          <w:tcPr>
            <w:tcW w:type="dxa" w:w="1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Objectives Met?</w:t>
            </w:r>
          </w:p>
        </w:tc>
        <w:tc>
          <w:tcPr>
            <w:tcW w:type="dxa" w:w="16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Gaps Identified</w:t>
            </w:r>
          </w:p>
        </w:tc>
        <w:tc>
          <w:tcPr>
            <w:tcW w:type="dxa" w:w="16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Actions Taken</w:t>
            </w:r>
          </w:p>
        </w:tc>
        <w:tc>
          <w:tcPr>
            <w:tcW w:type="dxa" w:w="8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Next Review Due</w:t>
            </w:r>
          </w:p>
        </w:tc>
      </w:tr>
      <w:tr>
        <w:trPr>
          <w:trHeight w:val="600" w:hRule="atLeast"/>
        </w:trPr>
        <w:tc>
          <w:tcPr>
            <w:tcW w:type="dxa" w:w="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r>
      <w:tr>
        <w:trPr>
          <w:trHeight w:val="600" w:hRule="atLeast"/>
        </w:trPr>
        <w:tc>
          <w:tcPr>
            <w:tcW w:type="dxa" w:w="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c>
          <w:tcPr>
            <w:tcW w:type="dxa" w:w="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009FE3" w:sz="4" w:space="1"/>
        </w:pBdr>
        <w:spacing w:after="80" w:before="220"/>
      </w:pPr>
      <w:r>
        <w:rPr>
          <w:rFonts w:ascii="Arial" w:cs="Arial" w:eastAsia="Arial" w:hAnsi="Arial"/>
          <w:b/>
          <w:bCs/>
          <w:color w:val="7B2D8B"/>
          <w:sz w:val="26"/>
          <w:szCs w:val="26"/>
        </w:rPr>
        <w:t xml:space="preserve">8.3 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800"/>
        <w:gridCol w:w="5126"/>
      </w:tblGrid>
      <w:tr>
        <w:trPr>
          <w:tblHeader/>
        </w:trPr>
        <w:tc>
          <w:tcPr>
            <w:tcW w:type="dxa" w:w="9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Version</w:t>
            </w:r>
          </w:p>
        </w:tc>
        <w:tc>
          <w:tcPr>
            <w:tcW w:type="dxa" w:w="1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Date</w:t>
            </w:r>
          </w:p>
        </w:tc>
        <w:tc>
          <w:tcPr>
            <w:tcW w:type="dxa" w:w="1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Author</w:t>
            </w:r>
          </w:p>
        </w:tc>
        <w:tc>
          <w:tcPr>
            <w:tcW w:type="dxa" w:w="51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Summary of Changes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51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Initial issue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51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1.2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51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bl>
    <w:sectPr>
      <w:headerReference w:type="default" r:id="rId7"/>
      <w:footerReference w:type="default" r:id="rId8"/>
      <w:pgSz w:w="11906" w:h="16838"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FE3" w:sz="4" w:space="2"/>
      </w:pBdr>
      <w:tabs>
        <w:tab w:val="right" w:pos="9026"/>
      </w:tabs>
    </w:pPr>
    <w:r>
      <w:rPr>
        <w:rFonts w:ascii="Arial" w:cs="Arial" w:eastAsia="Arial" w:hAnsi="Arial"/>
        <w:color w:val="5B595A"/>
        <w:sz w:val="16"/>
        <w:szCs w:val="16"/>
      </w:rPr>
      <w:t xml:space="preserve">Commercial in Confidence  |  Uncontrolled when printed</w:t>
    </w:r>
    <w:r>
      <w:rPr>
        <w:rFonts w:ascii="Arial" w:cs="Arial" w:eastAsia="Arial" w:hAnsi="Arial"/>
        <w:sz w:val="16"/>
        <w:szCs w:val="16"/>
      </w:rPr>
      <w:t xml:space="preserve">	</w:t>
    </w:r>
    <w:r>
      <w:rPr>
        <w:rFonts w:ascii="Arial" w:cs="Arial" w:eastAsia="Arial" w:hAnsi="Arial"/>
        <w:color w:val="5B595A"/>
        <w:sz w:val="16"/>
        <w:szCs w:val="16"/>
      </w:rPr>
      <w:t xml:space="preserve">NSS-01e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FE3" w:sz="4" w:space="2"/>
      </w:pBdr>
      <w:tabs>
        <w:tab w:val="right" w:pos="9026"/>
      </w:tabs>
    </w:pPr>
    <w:r>
      <w:rPr>
        <w:rFonts w:ascii="Arial" w:cs="Arial" w:eastAsia="Arial" w:hAnsi="Arial"/>
        <w:color w:val="5B595A"/>
        <w:sz w:val="18"/>
        <w:szCs w:val="18"/>
      </w:rPr>
      <w:t xml:space="preserve">Nuclear Stakeholder Engagement Plan</w:t>
    </w:r>
    <w:r>
      <w:rPr>
        <w:rFonts w:ascii="Arial" w:cs="Arial" w:eastAsia="Arial" w:hAnsi="Arial"/>
        <w:sz w:val="18"/>
        <w:szCs w:val="18"/>
      </w:rPr>
      <w:t xml:space="preserve">	</w:t>
    </w:r>
    <w:r>
      <w:drawing>
        <wp:inline distT="0" distB="0" distL="0" distR="0">
          <wp:extent cx="6096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409575"/>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1E3C"/>
      <w:sz w:val="34"/>
      <w:szCs w:val="34"/>
    </w:rPr>
  </w:style>
  <w:style w:type="paragraph" w:styleId="Heading2">
    <w:name w:val="Heading 2"/>
    <w:basedOn w:val="Normal"/>
    <w:next w:val="Normal"/>
    <w:qFormat/>
    <w:pPr>
      <w:spacing w:after="80" w:before="220"/>
      <w:outlineLvl w:val="1"/>
    </w:pPr>
    <w:rPr>
      <w:rFonts w:ascii="Arial" w:cs="Arial" w:eastAsia="Arial" w:hAnsi="Arial"/>
      <w:b/>
      <w:bCs/>
      <w:color w:val="009FE3"/>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90602d65f38789c43b873e1f7eec962748cd1fc.jp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0" Type="http://schemas.openxmlformats.org/officeDocument/2006/relationships/image" Target="media/ac12153cde4db10b7bdab657433563c4718979a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0D910B7-C0DB-47CB-8275-07FE7CE71481}"/>
</file>

<file path=customXml/itemProps2.xml><?xml version="1.0" encoding="utf-8"?>
<ds:datastoreItem xmlns:ds="http://schemas.openxmlformats.org/officeDocument/2006/customXml" ds:itemID="{50C7C259-C674-4550-900D-300A634154FC}"/>
</file>

<file path=customXml/itemProps3.xml><?xml version="1.0" encoding="utf-8"?>
<ds:datastoreItem xmlns:ds="http://schemas.openxmlformats.org/officeDocument/2006/customXml" ds:itemID="{34A0AA6B-8098-41A9-BDB6-0CA78BD0AE6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NSS-01e Nuclear Stakeholder Engagement Plan</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