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80" w:before="0"/>
      </w:pPr>
      <w:r>
        <w:rPr>
          <w:rFonts w:ascii="Arial" w:cs="Arial" w:eastAsia="Arial" w:hAnsi="Arial"/>
          <w:b/>
          <w:bCs/>
          <w:color w:val="FFFFFF"/>
          <w:sz w:val="24"/>
          <w:szCs w:val="24"/>
        </w:rPr>
        <w:t xml:space="preserve">  NUCLEAR RISKS AND SOCIETAL RESPONSIBILITY  |  What Every Member of Our Team Needs to Know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7699"/>
      </w:tblGrid>
      <w:tr>
        <w:tc>
          <w:tcPr>
            <w:tcW w:type="dxa" w:w="7699"/>
            <w:tcBorders>
              <w:top w:val="none"/>
              <w:left w:val="none"/>
              <w:bottom w:val="none"/>
              <w:right w:val="none"/>
            </w:tcBorders>
            <w:tcMar>
              <w:top w:type="dxa" w:w="0"/>
              <w:left w:type="dxa" w:w="0"/>
              <w:bottom w:type="dxa" w:w="0"/>
              <w:right w:type="dxa" w:w="120"/>
            </w:tcMar>
          </w:tcPr>
          <w:p>
            <w:pPr>
              <w:shd w:fill="009FE3" w:val="clear"/>
              <w:spacing w:after="60" w:before="0"/>
            </w:pPr>
            <w:r>
              <w:rPr>
                <w:rFonts w:ascii="Arial" w:cs="Arial" w:eastAsia="Arial" w:hAnsi="Arial"/>
                <w:b/>
                <w:bCs/>
                <w:color w:val="FFFFFF"/>
                <w:sz w:val="22"/>
                <w:szCs w:val="22"/>
              </w:rPr>
              <w:t xml:space="preserve">  RADIOLOGICAL RISK</w:t>
            </w:r>
          </w:p>
          <w:p>
            <w:pPr>
              <w:spacing w:after="50" w:before="40"/>
            </w:pPr>
            <w:r>
              <w:rPr>
                <w:rFonts w:ascii="Arial" w:cs="Arial" w:eastAsia="Arial" w:hAnsi="Arial"/>
                <w:color w:val="5B595A"/>
                <w:sz w:val="18"/>
                <w:szCs w:val="18"/>
              </w:rPr>
              <w:t xml:space="preserve">Radiological risk arises from exposure to ionising radiation. It is the risk type most associated with nuclear in the public mind, but for most supply chain companies the direct radiological exposure is low. The greater risk is in what your products and services enable.</w:t>
            </w:r>
          </w:p>
          <w:p>
            <w:pPr>
              <w:spacing w:after="40" w:before="40"/>
            </w:pPr>
            <w:r>
              <w:t xml:space="preserve"/>
            </w:r>
          </w:p>
          <w:tbl>
            <w:tblPr>
              <w:tblW w:type="dxa" w:w="7599"/>
              <w:tblBorders>
                <w:top w:val="single" w:color="auto" w:sz="4"/>
                <w:left w:val="single" w:color="auto" w:sz="4"/>
                <w:bottom w:val="single" w:color="auto" w:sz="4"/>
                <w:right w:val="single" w:color="auto" w:sz="4"/>
                <w:insideH w:val="single" w:color="auto" w:sz="4"/>
                <w:insideV w:val="single" w:color="auto" w:sz="4"/>
              </w:tblBorders>
            </w:tblPr>
            <w:tblGrid>
              <w:gridCol w:w="2887"/>
              <w:gridCol w:w="4711"/>
            </w:tblGrid>
            <w:tr>
              <w:tc>
                <w:tcPr>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Aspect</w:t>
                  </w:r>
                </w:p>
              </w:tc>
              <w:tc>
                <w:tcPr>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What This Means for Us</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5B595A"/>
                      <w:sz w:val="17"/>
                      <w:szCs w:val="17"/>
                    </w:rPr>
                    <w:t xml:space="preserve">Dose limits</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5B595A"/>
                      <w:sz w:val="17"/>
                      <w:szCs w:val="17"/>
                    </w:rPr>
                    <w:t xml:space="preserve">Workers in radiation areas are protected by legally binding dose limits under IRR17. Products we supply must not compromise radiation shielding or containment integrity.</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5B595A"/>
                      <w:sz w:val="17"/>
                      <w:szCs w:val="17"/>
                    </w:rPr>
                    <w:t xml:space="preserve">Contamination control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Products entering contaminated areas must meet material compatibility requirements. Cross-contamination of materials must be prevented.</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5B595A"/>
                      <w:sz w:val="17"/>
                      <w:szCs w:val="17"/>
                    </w:rPr>
                    <w:t xml:space="preserve">Long-term hazard</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5B595A"/>
                      <w:sz w:val="17"/>
                      <w:szCs w:val="17"/>
                    </w:rPr>
                    <w:t xml:space="preserve">Radioactive materials remain hazardous for decades or centuries. A quality failure we introduce today could have consequences long after our contract ends.</w:t>
                  </w:r>
                </w:p>
              </w:tc>
            </w:tr>
          </w:tbl>
          <w:p>
            <w:pPr>
              <w:spacing w:after="60" w:before="60"/>
            </w:pPr>
            <w:r>
              <w:t xml:space="preserve"/>
            </w:r>
          </w:p>
          <w:p>
            <w:pPr>
              <w:shd w:fill="83348F" w:val="clear"/>
              <w:spacing w:after="60" w:before="0"/>
            </w:pPr>
            <w:r>
              <w:rPr>
                <w:rFonts w:ascii="Arial" w:cs="Arial" w:eastAsia="Arial" w:hAnsi="Arial"/>
                <w:b/>
                <w:bCs/>
                <w:color w:val="FFFFFF"/>
                <w:sz w:val="22"/>
                <w:szCs w:val="22"/>
              </w:rPr>
              <w:t xml:space="preserve">  OPERATIONAL RISK</w:t>
            </w:r>
          </w:p>
          <w:p>
            <w:pPr>
              <w:spacing w:after="50" w:before="40"/>
            </w:pPr>
            <w:r>
              <w:rPr>
                <w:rFonts w:ascii="Arial" w:cs="Arial" w:eastAsia="Arial" w:hAnsi="Arial"/>
                <w:color w:val="5B595A"/>
                <w:sz w:val="18"/>
                <w:szCs w:val="18"/>
              </w:rPr>
              <w:t xml:space="preserve">Operational risk covers unplanned shutdowns, loss of cooling, loss of containment, and other events that could compromise a facility's safe operation. Every item we supply that goes into an operating nuclear facility is a potential contributor to or protector against operational risk.</w:t>
            </w:r>
          </w:p>
          <w:p>
            <w:pPr>
              <w:spacing w:after="30" w:before="30"/>
            </w:pPr>
            <w:r>
              <w:t xml:space="preserve"/>
            </w:r>
          </w:p>
          <w:p>
            <w:pPr>
              <w:pStyle w:val="ListParagraph"/>
              <w:numPr>
                <w:ilvl w:val="0"/>
                <w:numId w:val="2"/>
              </w:numPr>
              <w:spacing w:after="30" w:before="30"/>
            </w:pPr>
            <w:r>
              <w:rPr>
                <w:rFonts w:ascii="Arial" w:cs="Arial" w:eastAsia="Arial" w:hAnsi="Arial"/>
                <w:color w:val="5B595A"/>
                <w:sz w:val="18"/>
                <w:szCs w:val="18"/>
              </w:rPr>
              <w:t xml:space="preserve">A component that fails unexpectedly may trigger a safety-significant event requiring ONR notification</w:t>
            </w:r>
          </w:p>
          <w:p>
            <w:pPr>
              <w:pStyle w:val="ListParagraph"/>
              <w:numPr>
                <w:ilvl w:val="0"/>
                <w:numId w:val="2"/>
              </w:numPr>
              <w:spacing w:after="30" w:before="30"/>
            </w:pPr>
            <w:r>
              <w:rPr>
                <w:rFonts w:ascii="Arial" w:cs="Arial" w:eastAsia="Arial" w:hAnsi="Arial"/>
                <w:color w:val="5B595A"/>
                <w:sz w:val="18"/>
                <w:szCs w:val="18"/>
              </w:rPr>
              <w:t xml:space="preserve">Unplanned shutdowns at nuclear stations cost millions per day and carry significant regulatory consequences</w:t>
            </w:r>
          </w:p>
          <w:p>
            <w:pPr>
              <w:pStyle w:val="ListParagraph"/>
              <w:numPr>
                <w:ilvl w:val="0"/>
                <w:numId w:val="2"/>
              </w:numPr>
              <w:spacing w:after="30" w:before="30"/>
            </w:pPr>
            <w:r>
              <w:rPr>
                <w:rFonts w:ascii="Arial" w:cs="Arial" w:eastAsia="Arial" w:hAnsi="Arial"/>
                <w:color w:val="5B595A"/>
                <w:sz w:val="18"/>
                <w:szCs w:val="18"/>
              </w:rPr>
              <w:t xml:space="preserve">Root cause investigations will trace failures back through the supply chain to the original manufacturer</w:t>
            </w:r>
          </w:p>
          <w:p>
            <w:pPr>
              <w:pStyle w:val="ListParagraph"/>
              <w:numPr>
                <w:ilvl w:val="0"/>
                <w:numId w:val="2"/>
              </w:numPr>
              <w:spacing w:after="30" w:before="30"/>
            </w:pPr>
            <w:r>
              <w:rPr>
                <w:rFonts w:ascii="Arial" w:cs="Arial" w:eastAsia="Arial" w:hAnsi="Arial"/>
                <w:color w:val="5B595A"/>
                <w:sz w:val="18"/>
                <w:szCs w:val="18"/>
              </w:rPr>
              <w:t xml:space="preserve">Our quality records will be scrutinised. They must be accurate and complete.</w:t>
            </w:r>
          </w:p>
        </w:tc>
        <w:tc>
          <w:tcPr>
            <w:tcW w:type="dxa" w:w="7699"/>
            <w:tcBorders>
              <w:top w:val="none"/>
              <w:left w:val="none"/>
              <w:bottom w:val="none"/>
              <w:right w:val="none"/>
            </w:tcBorders>
            <w:tcMar>
              <w:top w:type="dxa" w:w="0"/>
              <w:left w:type="dxa" w:w="120"/>
              <w:bottom w:type="dxa" w:w="0"/>
              <w:right w:type="dxa" w:w="0"/>
            </w:tcMar>
          </w:tcPr>
          <w:p>
            <w:pPr>
              <w:shd w:fill="009FE3" w:val="clear"/>
              <w:spacing w:after="60" w:before="0"/>
            </w:pPr>
            <w:r>
              <w:rPr>
                <w:rFonts w:ascii="Arial" w:cs="Arial" w:eastAsia="Arial" w:hAnsi="Arial"/>
                <w:b/>
                <w:bCs/>
                <w:color w:val="FFFFFF"/>
                <w:sz w:val="22"/>
                <w:szCs w:val="22"/>
              </w:rPr>
              <w:t xml:space="preserve">  ENVIRONMENTAL RISK</w:t>
            </w:r>
          </w:p>
          <w:p>
            <w:pPr>
              <w:spacing w:after="50" w:before="40"/>
            </w:pPr>
            <w:r>
              <w:rPr>
                <w:rFonts w:ascii="Arial" w:cs="Arial" w:eastAsia="Arial" w:hAnsi="Arial"/>
                <w:color w:val="5B595A"/>
                <w:sz w:val="18"/>
                <w:szCs w:val="18"/>
              </w:rPr>
              <w:t xml:space="preserve">Environmental risk in nuclear includes the potential for radioactive contamination of land, groundwater, and air. The Environment Agency sets strict discharge limits for licensed nuclear sites. Our work must not contribute to environmental incidents on or near those sites.</w:t>
            </w:r>
          </w:p>
          <w:p>
            <w:pPr>
              <w:spacing w:after="30" w:before="30"/>
            </w:pPr>
            <w:r>
              <w:t xml:space="preserve"/>
            </w:r>
          </w:p>
          <w:p>
            <w:pPr>
              <w:pStyle w:val="ListParagraph"/>
              <w:numPr>
                <w:ilvl w:val="0"/>
                <w:numId w:val="2"/>
              </w:numPr>
              <w:spacing w:after="30" w:before="30"/>
            </w:pPr>
            <w:r>
              <w:rPr>
                <w:rFonts w:ascii="Arial" w:cs="Arial" w:eastAsia="Arial" w:hAnsi="Arial"/>
                <w:color w:val="5B595A"/>
                <w:sz w:val="18"/>
                <w:szCs w:val="18"/>
              </w:rPr>
              <w:t xml:space="preserve">Any materials or chemicals we bring on site must meet the site's environmental permit conditions</w:t>
            </w:r>
          </w:p>
          <w:p>
            <w:pPr>
              <w:pStyle w:val="ListParagraph"/>
              <w:numPr>
                <w:ilvl w:val="0"/>
                <w:numId w:val="2"/>
              </w:numPr>
              <w:spacing w:after="30" w:before="30"/>
            </w:pPr>
            <w:r>
              <w:rPr>
                <w:rFonts w:ascii="Arial" w:cs="Arial" w:eastAsia="Arial" w:hAnsi="Arial"/>
                <w:color w:val="5B595A"/>
                <w:sz w:val="18"/>
                <w:szCs w:val="18"/>
              </w:rPr>
              <w:t xml:space="preserve">Waste generated during on-site work must be segregated, classified, and disposed of through approved routes</w:t>
            </w:r>
          </w:p>
          <w:p>
            <w:pPr>
              <w:pStyle w:val="ListParagraph"/>
              <w:numPr>
                <w:ilvl w:val="0"/>
                <w:numId w:val="2"/>
              </w:numPr>
              <w:spacing w:after="30" w:before="30"/>
            </w:pPr>
            <w:r>
              <w:rPr>
                <w:rFonts w:ascii="Arial" w:cs="Arial" w:eastAsia="Arial" w:hAnsi="Arial"/>
                <w:color w:val="5B595A"/>
                <w:sz w:val="18"/>
                <w:szCs w:val="18"/>
              </w:rPr>
              <w:t xml:space="preserve">Environmental incidents on nuclear sites are regulatory events. They must be reported and investigated.</w:t>
            </w:r>
          </w:p>
          <w:p>
            <w:pPr>
              <w:pStyle w:val="ListParagraph"/>
              <w:numPr>
                <w:ilvl w:val="0"/>
                <w:numId w:val="2"/>
              </w:numPr>
              <w:spacing w:after="30" w:before="30"/>
            </w:pPr>
            <w:r>
              <w:rPr>
                <w:rFonts w:ascii="Arial" w:cs="Arial" w:eastAsia="Arial" w:hAnsi="Arial"/>
                <w:color w:val="5B595A"/>
                <w:sz w:val="18"/>
                <w:szCs w:val="18"/>
              </w:rPr>
              <w:t xml:space="preserve">Environmental risk extends beyond the site boundary. Contamination can spread and is extremely difficult and costly to remediate.</w:t>
            </w:r>
          </w:p>
          <w:p>
            <w:pPr>
              <w:spacing w:after="60" w:before="60"/>
            </w:pPr>
            <w:r>
              <w:t xml:space="preserve"/>
            </w:r>
          </w:p>
          <w:p>
            <w:pPr>
              <w:shd w:fill="001E3C" w:val="clear"/>
              <w:spacing w:after="60" w:before="0"/>
            </w:pPr>
            <w:r>
              <w:rPr>
                <w:rFonts w:ascii="Arial" w:cs="Arial" w:eastAsia="Arial" w:hAnsi="Arial"/>
                <w:b/>
                <w:bCs/>
                <w:color w:val="FFFFFF"/>
                <w:sz w:val="22"/>
                <w:szCs w:val="22"/>
              </w:rPr>
              <w:t xml:space="preserve">  REPUTATIONAL AND PROGRAMME RISK</w:t>
            </w:r>
          </w:p>
          <w:p>
            <w:pPr>
              <w:spacing w:after="50" w:before="40"/>
            </w:pPr>
            <w:r>
              <w:rPr>
                <w:rFonts w:ascii="Arial" w:cs="Arial" w:eastAsia="Arial" w:hAnsi="Arial"/>
                <w:color w:val="5B595A"/>
                <w:sz w:val="18"/>
                <w:szCs w:val="18"/>
              </w:rPr>
              <w:t xml:space="preserve">Reputational risk is the consequence to our business and to the wider industry when quality or safety standards are not met. In nuclear, this risk operates differently from other sectors because of the public prominence of nuclear and the long-term visibility of any failure.</w:t>
            </w:r>
          </w:p>
          <w:p>
            <w:pPr>
              <w:spacing w:after="30" w:before="30"/>
            </w:pPr>
            <w:r>
              <w:t xml:space="preserve"/>
            </w:r>
          </w:p>
          <w:tbl>
            <w:tblPr>
              <w:tblW w:type="dxa" w:w="7599"/>
              <w:tblBorders>
                <w:top w:val="single" w:color="auto" w:sz="4"/>
                <w:left w:val="single" w:color="auto" w:sz="4"/>
                <w:bottom w:val="single" w:color="auto" w:sz="4"/>
                <w:right w:val="single" w:color="auto" w:sz="4"/>
                <w:insideH w:val="single" w:color="auto" w:sz="4"/>
                <w:insideV w:val="single" w:color="auto" w:sz="4"/>
              </w:tblBorders>
            </w:tblPr>
            <w:tblGrid>
              <w:gridCol w:w="3039"/>
              <w:gridCol w:w="4559"/>
            </w:tblGrid>
            <w:tr>
              <w:tc>
                <w:tcPr>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Risk</w:t>
                  </w:r>
                </w:p>
              </w:tc>
              <w:tc>
                <w:tcPr>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Consequence</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5B595A"/>
                      <w:sz w:val="17"/>
                      <w:szCs w:val="17"/>
                    </w:rPr>
                    <w:t xml:space="preserve">Quality failure on a contract</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5B595A"/>
                      <w:sz w:val="17"/>
                      <w:szCs w:val="17"/>
                    </w:rPr>
                    <w:t xml:space="preserve">Removal from approved supplier list, suspension from nuclear market, potential legal liability</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5B595A"/>
                      <w:sz w:val="17"/>
                      <w:szCs w:val="17"/>
                    </w:rPr>
                    <w:t xml:space="preserve">Regulatory notification event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Public record, ONR investigation, client review of all work carried out by your organisation</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5B595A"/>
                      <w:sz w:val="17"/>
                      <w:szCs w:val="17"/>
                    </w:rPr>
                    <w:t xml:space="preserve">CFSI introduction</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5B595A"/>
                      <w:sz w:val="17"/>
                      <w:szCs w:val="17"/>
                    </w:rPr>
                    <w:t xml:space="preserve">Potential criminal liability, industry-wide CFSI alert, programme delay, facility shutdown risk</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5B595A"/>
                      <w:sz w:val="17"/>
                      <w:szCs w:val="17"/>
                    </w:rPr>
                    <w:t xml:space="preserve">Reputational damage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Long-lasting. Nuclear clients have long memories and extensive networks. Recovery can take years.</w:t>
                  </w:r>
                </w:p>
              </w:tc>
            </w:tr>
          </w:tbl>
          <w:p/>
        </w:tc>
      </w:tr>
    </w:tbl>
    <w:p>
      <w:r>
        <w:br w:type="page"/>
      </w:r>
    </w:p>
    <w:p>
      <w:pPr>
        <w:shd w:fill="001E3C" w:val="clear"/>
        <w:spacing w:after="80" w:before="0"/>
      </w:pPr>
      <w:r>
        <w:rPr>
          <w:rFonts w:ascii="Arial" w:cs="Arial" w:eastAsia="Arial" w:hAnsi="Arial"/>
          <w:b/>
          <w:bCs/>
          <w:color w:val="FFFFFF"/>
          <w:sz w:val="24"/>
          <w:szCs w:val="24"/>
        </w:rPr>
        <w:t xml:space="preserve">  GRADED QUALITY AND SOCIETAL RESPONSIBILITY  |  Why the Standard Exists and What It Means in Practice</w:t>
      </w:r>
    </w:p>
    <w:p>
      <w:pPr>
        <w:shd w:fill="009FE3" w:val="clear"/>
        <w:spacing w:after="60" w:before="0"/>
      </w:pPr>
      <w:r>
        <w:rPr>
          <w:rFonts w:ascii="Arial" w:cs="Arial" w:eastAsia="Arial" w:hAnsi="Arial"/>
          <w:b/>
          <w:bCs/>
          <w:color w:val="FFFFFF"/>
          <w:sz w:val="22"/>
          <w:szCs w:val="22"/>
        </w:rPr>
        <w:t xml:space="preserve">  THE GRADED QUALITY APPROACH</w:t>
      </w:r>
    </w:p>
    <w:p>
      <w:pPr>
        <w:spacing w:after="50" w:before="40"/>
      </w:pPr>
      <w:r>
        <w:rPr>
          <w:rFonts w:ascii="Arial" w:cs="Arial" w:eastAsia="Arial" w:hAnsi="Arial"/>
          <w:color w:val="5B595A"/>
          <w:sz w:val="18"/>
          <w:szCs w:val="18"/>
        </w:rPr>
        <w:t xml:space="preserve">Not all nuclear work carries the same level of safety significance. The nuclear sector uses a structured graded approach to apply controls that are proportionate to the consequence of failure. Your nuclear client will specify the classification that applies to your scope. The table below shows what each grade typically means in practice.</w:t>
      </w:r>
    </w:p>
    <w:p>
      <w:pPr>
        <w:spacing w:after="40" w:before="4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rPr>
          <w:tblHeader/>
        </w:trPr>
        <w:tc>
          <w:tcPr>
            <w:tcW w:type="dxa" w:w="1800"/>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Grade / Classification</w:t>
            </w:r>
          </w:p>
        </w:tc>
        <w:tc>
          <w:tcPr>
            <w:tcW w:type="dxa" w:w="3200"/>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Significance</w:t>
            </w:r>
          </w:p>
        </w:tc>
        <w:tc>
          <w:tcPr>
            <w:tcW w:type="dxa" w:w="4400"/>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Typical Controls Required</w:t>
            </w:r>
          </w:p>
        </w:tc>
      </w:tr>
      <w:tr>
        <w:tc>
          <w:tcPr>
            <w:tcW w:type="dxa" w:w="1800"/>
            <w:tcBorders>
              <w:top w:val="single" w:color="CCCCCC" w:sz="1"/>
              <w:left w:val="single" w:color="CCCCCC" w:sz="1"/>
              <w:bottom w:val="single" w:color="CCCCCC" w:sz="1"/>
              <w:right w:val="single" w:color="CCCCCC" w:sz="1"/>
            </w:tcBorders>
            <w:shd w:fill="D6EEF8" w:val="clear"/>
            <w:tcMar>
              <w:top w:type="dxa" w:w="70"/>
              <w:left w:type="dxa" w:w="100"/>
              <w:bottom w:type="dxa" w:w="70"/>
              <w:right w:type="dxa" w:w="100"/>
            </w:tcMar>
          </w:tcPr>
          <w:p>
            <w:r>
              <w:rPr>
                <w:rFonts w:ascii="Arial" w:cs="Arial" w:eastAsia="Arial" w:hAnsi="Arial"/>
                <w:b/>
                <w:bCs/>
                <w:color w:val="5B595A"/>
                <w:sz w:val="17"/>
                <w:szCs w:val="17"/>
              </w:rPr>
              <w:t xml:space="preserve">Safety-Critical (Cat 1)</w:t>
            </w:r>
          </w:p>
        </w:tc>
        <w:tc>
          <w:tcPr>
            <w:tcW w:type="dxa" w:w="3200"/>
            <w:tcBorders>
              <w:top w:val="single" w:color="CCCCCC" w:sz="1"/>
              <w:left w:val="single" w:color="CCCCCC" w:sz="1"/>
              <w:bottom w:val="single" w:color="CCCCCC" w:sz="1"/>
              <w:right w:val="single" w:color="CCCCCC" w:sz="1"/>
            </w:tcBorders>
            <w:shd w:fill="D6EEF8" w:val="clear"/>
            <w:tcMar>
              <w:top w:type="dxa" w:w="70"/>
              <w:left w:type="dxa" w:w="100"/>
              <w:bottom w:type="dxa" w:w="70"/>
              <w:right w:type="dxa" w:w="100"/>
            </w:tcMar>
          </w:tcPr>
          <w:p>
            <w:r>
              <w:rPr>
                <w:rFonts w:ascii="Arial" w:cs="Arial" w:eastAsia="Arial" w:hAnsi="Arial"/>
                <w:b w:val="false"/>
                <w:bCs w:val="false"/>
                <w:color w:val="5B595A"/>
                <w:sz w:val="17"/>
                <w:szCs w:val="17"/>
              </w:rPr>
              <w:t xml:space="preserve">Items whose failure could directly cause a nuclear safety event</w:t>
            </w:r>
          </w:p>
        </w:tc>
        <w:tc>
          <w:tcPr>
            <w:tcW w:type="dxa" w:w="4400"/>
            <w:tcBorders>
              <w:top w:val="single" w:color="CCCCCC" w:sz="1"/>
              <w:left w:val="single" w:color="CCCCCC" w:sz="1"/>
              <w:bottom w:val="single" w:color="CCCCCC" w:sz="1"/>
              <w:right w:val="single" w:color="CCCCCC" w:sz="1"/>
            </w:tcBorders>
            <w:shd w:fill="D6EEF8" w:val="clear"/>
            <w:tcMar>
              <w:top w:type="dxa" w:w="70"/>
              <w:left w:type="dxa" w:w="100"/>
              <w:bottom w:type="dxa" w:w="70"/>
              <w:right w:type="dxa" w:w="100"/>
            </w:tcMar>
          </w:tcPr>
          <w:p>
            <w:r>
              <w:rPr>
                <w:rFonts w:ascii="Arial" w:cs="Arial" w:eastAsia="Arial" w:hAnsi="Arial"/>
                <w:b w:val="false"/>
                <w:bCs w:val="false"/>
                <w:color w:val="5B595A"/>
                <w:sz w:val="17"/>
                <w:szCs w:val="17"/>
              </w:rPr>
              <w:t xml:space="preserve">Full ITPs, material certs, weld records, independent inspection, NDE, full document pack</w:t>
            </w:r>
          </w:p>
        </w:tc>
      </w:tr>
      <w:tr>
        <w:tc>
          <w:tcPr>
            <w:tcW w:type="dxa" w:w="1800"/>
            <w:tcBorders>
              <w:top w:val="single" w:color="CCCCCC" w:sz="1"/>
              <w:left w:val="single" w:color="CCCCCC" w:sz="1"/>
              <w:bottom w:val="single" w:color="CCCCCC" w:sz="1"/>
              <w:right w:val="single" w:color="CCCCCC" w:sz="1"/>
            </w:tcBorders>
            <w:shd w:fill="EBF7EE" w:val="clear"/>
            <w:tcMar>
              <w:top w:type="dxa" w:w="70"/>
              <w:left w:type="dxa" w:w="100"/>
              <w:bottom w:type="dxa" w:w="70"/>
              <w:right w:type="dxa" w:w="100"/>
            </w:tcMar>
          </w:tcPr>
          <w:p>
            <w:r>
              <w:rPr>
                <w:rFonts w:ascii="Arial" w:cs="Arial" w:eastAsia="Arial" w:hAnsi="Arial"/>
                <w:b/>
                <w:bCs/>
                <w:color w:val="5B595A"/>
                <w:sz w:val="17"/>
                <w:szCs w:val="17"/>
              </w:rPr>
              <w:t xml:space="preserve">Safety-Related (Cat 2)</w:t>
            </w:r>
          </w:p>
        </w:tc>
        <w:tc>
          <w:tcPr>
            <w:tcW w:type="dxa" w:w="3200"/>
            <w:tcBorders>
              <w:top w:val="single" w:color="CCCCCC" w:sz="1"/>
              <w:left w:val="single" w:color="CCCCCC" w:sz="1"/>
              <w:bottom w:val="single" w:color="CCCCCC" w:sz="1"/>
              <w:right w:val="single" w:color="CCCCCC" w:sz="1"/>
            </w:tcBorders>
            <w:shd w:fill="EBF7EE" w:val="clear"/>
            <w:tcMar>
              <w:top w:type="dxa" w:w="70"/>
              <w:left w:type="dxa" w:w="100"/>
              <w:bottom w:type="dxa" w:w="70"/>
              <w:right w:type="dxa" w:w="100"/>
            </w:tcMar>
          </w:tcPr>
          <w:p>
            <w:r>
              <w:rPr>
                <w:rFonts w:ascii="Arial" w:cs="Arial" w:eastAsia="Arial" w:hAnsi="Arial"/>
                <w:b w:val="false"/>
                <w:bCs w:val="false"/>
                <w:color w:val="5B595A"/>
                <w:sz w:val="17"/>
                <w:szCs w:val="17"/>
              </w:rPr>
              <w:t xml:space="preserve">Items that support safety-critical functions but whose individual failure would not directly cause an event</w:t>
            </w:r>
          </w:p>
        </w:tc>
        <w:tc>
          <w:tcPr>
            <w:tcW w:type="dxa" w:w="4400"/>
            <w:tcBorders>
              <w:top w:val="single" w:color="CCCCCC" w:sz="1"/>
              <w:left w:val="single" w:color="CCCCCC" w:sz="1"/>
              <w:bottom w:val="single" w:color="CCCCCC" w:sz="1"/>
              <w:right w:val="single" w:color="CCCCCC" w:sz="1"/>
            </w:tcBorders>
            <w:shd w:fill="EBF7EE" w:val="clear"/>
            <w:tcMar>
              <w:top w:type="dxa" w:w="70"/>
              <w:left w:type="dxa" w:w="100"/>
              <w:bottom w:type="dxa" w:w="70"/>
              <w:right w:type="dxa" w:w="100"/>
            </w:tcMar>
          </w:tcPr>
          <w:p>
            <w:r>
              <w:rPr>
                <w:rFonts w:ascii="Arial" w:cs="Arial" w:eastAsia="Arial" w:hAnsi="Arial"/>
                <w:b w:val="false"/>
                <w:bCs w:val="false"/>
                <w:color w:val="5B595A"/>
                <w:sz w:val="17"/>
                <w:szCs w:val="17"/>
              </w:rPr>
              <w:t xml:space="preserve">QMS controls, certs of conformance, inspection records, dimensional records</w:t>
            </w:r>
          </w:p>
        </w:tc>
      </w:tr>
      <w:tr>
        <w:tc>
          <w:tcPr>
            <w:tcW w:type="dxa" w:w="1800"/>
            <w:tcBorders>
              <w:top w:val="single" w:color="CCCCCC" w:sz="1"/>
              <w:left w:val="single" w:color="CCCCCC" w:sz="1"/>
              <w:bottom w:val="single" w:color="CCCCCC" w:sz="1"/>
              <w:right w:val="single" w:color="CCCCCC" w:sz="1"/>
            </w:tcBorders>
            <w:shd w:fill="FFF4E0" w:val="clear"/>
            <w:tcMar>
              <w:top w:type="dxa" w:w="70"/>
              <w:left w:type="dxa" w:w="100"/>
              <w:bottom w:type="dxa" w:w="70"/>
              <w:right w:type="dxa" w:w="100"/>
            </w:tcMar>
          </w:tcPr>
          <w:p>
            <w:r>
              <w:rPr>
                <w:rFonts w:ascii="Arial" w:cs="Arial" w:eastAsia="Arial" w:hAnsi="Arial"/>
                <w:b/>
                <w:bCs/>
                <w:color w:val="5B595A"/>
                <w:sz w:val="17"/>
                <w:szCs w:val="17"/>
              </w:rPr>
              <w:t xml:space="preserve">Quality Affecting (Cat 3)</w:t>
            </w:r>
          </w:p>
        </w:tc>
        <w:tc>
          <w:tcPr>
            <w:tcW w:type="dxa" w:w="3200"/>
            <w:tcBorders>
              <w:top w:val="single" w:color="CCCCCC" w:sz="1"/>
              <w:left w:val="single" w:color="CCCCCC" w:sz="1"/>
              <w:bottom w:val="single" w:color="CCCCCC" w:sz="1"/>
              <w:right w:val="single" w:color="CCCCCC" w:sz="1"/>
            </w:tcBorders>
            <w:shd w:fill="FFF4E0" w:val="clear"/>
            <w:tcMar>
              <w:top w:type="dxa" w:w="70"/>
              <w:left w:type="dxa" w:w="100"/>
              <w:bottom w:type="dxa" w:w="70"/>
              <w:right w:type="dxa" w:w="100"/>
            </w:tcMar>
          </w:tcPr>
          <w:p>
            <w:r>
              <w:rPr>
                <w:rFonts w:ascii="Arial" w:cs="Arial" w:eastAsia="Arial" w:hAnsi="Arial"/>
                <w:b w:val="false"/>
                <w:bCs w:val="false"/>
                <w:color w:val="5B595A"/>
                <w:sz w:val="17"/>
                <w:szCs w:val="17"/>
              </w:rPr>
              <w:t xml:space="preserve">Items where quality matters for operational performance but nuclear safety significance is indirect</w:t>
            </w:r>
          </w:p>
        </w:tc>
        <w:tc>
          <w:tcPr>
            <w:tcW w:type="dxa" w:w="4400"/>
            <w:tcBorders>
              <w:top w:val="single" w:color="CCCCCC" w:sz="1"/>
              <w:left w:val="single" w:color="CCCCCC" w:sz="1"/>
              <w:bottom w:val="single" w:color="CCCCCC" w:sz="1"/>
              <w:right w:val="single" w:color="CCCCCC" w:sz="1"/>
            </w:tcBorders>
            <w:shd w:fill="FFF4E0" w:val="clear"/>
            <w:tcMar>
              <w:top w:type="dxa" w:w="70"/>
              <w:left w:type="dxa" w:w="100"/>
              <w:bottom w:type="dxa" w:w="70"/>
              <w:right w:type="dxa" w:w="100"/>
            </w:tcMar>
          </w:tcPr>
          <w:p>
            <w:r>
              <w:rPr>
                <w:rFonts w:ascii="Arial" w:cs="Arial" w:eastAsia="Arial" w:hAnsi="Arial"/>
                <w:b w:val="false"/>
                <w:bCs w:val="false"/>
                <w:color w:val="5B595A"/>
                <w:sz w:val="17"/>
                <w:szCs w:val="17"/>
              </w:rPr>
              <w:t xml:space="preserve">Standard QMS controls, inspection to specification, basic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5B595A"/>
                <w:sz w:val="17"/>
                <w:szCs w:val="17"/>
              </w:rPr>
              <w:t xml:space="preserve">Commercial Grade (Cat 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B595A"/>
                <w:sz w:val="17"/>
                <w:szCs w:val="17"/>
              </w:rPr>
              <w:t xml:space="preserve">Standard commercial items with no direct nuclear safety significance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B595A"/>
                <w:sz w:val="17"/>
                <w:szCs w:val="17"/>
              </w:rPr>
              <w:t xml:space="preserve">Normal purchasing controls, certificate of conformance if specified</w:t>
            </w:r>
          </w:p>
        </w:tc>
      </w:tr>
    </w:tbl>
    <w:p>
      <w:pPr>
        <w:spacing w:after="60" w:before="6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7699"/>
      </w:tblGrid>
      <w:tr>
        <w:tc>
          <w:tcPr>
            <w:tcW w:type="dxa" w:w="7699"/>
            <w:tcBorders>
              <w:top w:val="none"/>
              <w:left w:val="none"/>
              <w:bottom w:val="none"/>
              <w:right w:val="none"/>
            </w:tcBorders>
            <w:tcMar>
              <w:top w:type="dxa" w:w="0"/>
              <w:left w:type="dxa" w:w="0"/>
              <w:bottom w:type="dxa" w:w="0"/>
              <w:right w:type="dxa" w:w="120"/>
            </w:tcMar>
          </w:tcPr>
          <w:p>
            <w:pPr>
              <w:shd w:fill="83348F" w:val="clear"/>
              <w:spacing w:after="60" w:before="0"/>
            </w:pPr>
            <w:r>
              <w:rPr>
                <w:rFonts w:ascii="Arial" w:cs="Arial" w:eastAsia="Arial" w:hAnsi="Arial"/>
                <w:b/>
                <w:bCs/>
                <w:color w:val="FFFFFF"/>
                <w:sz w:val="22"/>
                <w:szCs w:val="22"/>
              </w:rPr>
              <w:t xml:space="preserve">  NUCLEAR AND PUBLIC TRUST</w:t>
            </w:r>
          </w:p>
          <w:p>
            <w:pPr>
              <w:spacing w:after="50" w:before="40"/>
            </w:pPr>
            <w:r>
              <w:rPr>
                <w:rFonts w:ascii="Arial" w:cs="Arial" w:eastAsia="Arial" w:hAnsi="Arial"/>
                <w:color w:val="5B595A"/>
                <w:sz w:val="18"/>
                <w:szCs w:val="18"/>
              </w:rPr>
              <w:t xml:space="preserve">The nuclear sector exists in a unique relationship with the public. Unlike most industrial activities, nuclear operations carry a level of public awareness, sensitivity, and expectation that has no equivalent in other sectors. This shapes the standards expected of every company in the supply chain, not just the licensed operators.</w:t>
            </w:r>
          </w:p>
          <w:p>
            <w:pPr>
              <w:spacing w:after="40" w:before="40"/>
            </w:pPr>
            <w:r>
              <w:t xml:space="preserve"/>
            </w:r>
          </w:p>
          <w:p>
            <w:pPr>
              <w:spacing w:after="50" w:before="40"/>
            </w:pPr>
            <w:r>
              <w:rPr>
                <w:rFonts w:ascii="Arial" w:cs="Arial" w:eastAsia="Arial" w:hAnsi="Arial"/>
                <w:color w:val="5B595A"/>
                <w:sz w:val="18"/>
                <w:szCs w:val="18"/>
              </w:rPr>
              <w:t xml:space="preserve">The public expects:</w:t>
            </w:r>
          </w:p>
          <w:p>
            <w:pPr>
              <w:pStyle w:val="ListParagraph"/>
              <w:numPr>
                <w:ilvl w:val="0"/>
                <w:numId w:val="2"/>
              </w:numPr>
              <w:spacing w:after="30" w:before="30"/>
            </w:pPr>
            <w:r>
              <w:rPr>
                <w:rFonts w:ascii="Arial" w:cs="Arial" w:eastAsia="Arial" w:hAnsi="Arial"/>
                <w:color w:val="5B595A"/>
                <w:sz w:val="18"/>
                <w:szCs w:val="18"/>
              </w:rPr>
              <w:t xml:space="preserve">That nuclear facilities operate to the highest possible safety standards at all times</w:t>
            </w:r>
          </w:p>
          <w:p>
            <w:pPr>
              <w:pStyle w:val="ListParagraph"/>
              <w:numPr>
                <w:ilvl w:val="0"/>
                <w:numId w:val="2"/>
              </w:numPr>
              <w:spacing w:after="30" w:before="30"/>
            </w:pPr>
            <w:r>
              <w:rPr>
                <w:rFonts w:ascii="Arial" w:cs="Arial" w:eastAsia="Arial" w:hAnsi="Arial"/>
                <w:color w:val="5B595A"/>
                <w:sz w:val="18"/>
                <w:szCs w:val="18"/>
              </w:rPr>
              <w:t xml:space="preserve">That when problems occur they are identified, reported, and corrected honestly</w:t>
            </w:r>
          </w:p>
          <w:p>
            <w:pPr>
              <w:pStyle w:val="ListParagraph"/>
              <w:numPr>
                <w:ilvl w:val="0"/>
                <w:numId w:val="2"/>
              </w:numPr>
              <w:spacing w:after="30" w:before="30"/>
            </w:pPr>
            <w:r>
              <w:rPr>
                <w:rFonts w:ascii="Arial" w:cs="Arial" w:eastAsia="Arial" w:hAnsi="Arial"/>
                <w:color w:val="5B595A"/>
                <w:sz w:val="18"/>
                <w:szCs w:val="18"/>
              </w:rPr>
              <w:t xml:space="preserve">That the companies involved in nuclear work take safety seriously as a genuine priority, not a compliance exercise</w:t>
            </w:r>
          </w:p>
          <w:p>
            <w:pPr>
              <w:pStyle w:val="ListParagraph"/>
              <w:numPr>
                <w:ilvl w:val="0"/>
                <w:numId w:val="2"/>
              </w:numPr>
              <w:spacing w:after="30" w:before="30"/>
            </w:pPr>
            <w:r>
              <w:rPr>
                <w:rFonts w:ascii="Arial" w:cs="Arial" w:eastAsia="Arial" w:hAnsi="Arial"/>
                <w:color w:val="5B595A"/>
                <w:sz w:val="18"/>
                <w:szCs w:val="18"/>
              </w:rPr>
              <w:t xml:space="preserve">That the environment is protected and that radioactive materials are managed responsibly across their full lifecycle</w:t>
            </w:r>
          </w:p>
          <w:p>
            <w:pPr>
              <w:pStyle w:val="ListParagraph"/>
              <w:numPr>
                <w:ilvl w:val="0"/>
                <w:numId w:val="2"/>
              </w:numPr>
              <w:spacing w:after="30" w:before="30"/>
            </w:pPr>
            <w:r>
              <w:rPr>
                <w:rFonts w:ascii="Arial" w:cs="Arial" w:eastAsia="Arial" w:hAnsi="Arial"/>
                <w:color w:val="5B595A"/>
                <w:sz w:val="18"/>
                <w:szCs w:val="18"/>
              </w:rPr>
              <w:t xml:space="preserve">That regulators are given accurate information and are not misled</w:t>
            </w:r>
          </w:p>
          <w:p>
            <w:pPr>
              <w:spacing w:after="50" w:before="50"/>
            </w:pPr>
            <w:r>
              <w:t xml:space="preserve"/>
            </w:r>
          </w:p>
          <w:p>
            <w:pPr>
              <w:spacing w:after="50" w:before="40"/>
            </w:pPr>
            <w:r>
              <w:rPr>
                <w:rFonts w:ascii="Arial" w:cs="Arial" w:eastAsia="Arial" w:hAnsi="Arial"/>
                <w:color w:val="5B595A"/>
                <w:sz w:val="18"/>
                <w:szCs w:val="18"/>
              </w:rPr>
              <w:t xml:space="preserve">These expectations flow down into the requirements placed on supply chain companies. When your organisation fails to meet a quality standard on a nuclear contract, it is not just a commercial failure. It represents a breach of a wider social contract that the nuclear industry depends on for its continued licence to operate.</w:t>
            </w:r>
          </w:p>
        </w:tc>
        <w:tc>
          <w:tcPr>
            <w:tcW w:type="dxa" w:w="7699"/>
            <w:tcBorders>
              <w:top w:val="none"/>
              <w:left w:val="none"/>
              <w:bottom w:val="none"/>
              <w:right w:val="none"/>
            </w:tcBorders>
            <w:tcMar>
              <w:top w:type="dxa" w:w="0"/>
              <w:left w:type="dxa" w:w="120"/>
              <w:bottom w:type="dxa" w:w="0"/>
              <w:right w:type="dxa" w:w="0"/>
            </w:tcMar>
          </w:tcPr>
          <w:p>
            <w:pPr>
              <w:shd w:fill="001E3C" w:val="clear"/>
              <w:spacing w:after="60" w:before="0"/>
            </w:pPr>
            <w:r>
              <w:rPr>
                <w:rFonts w:ascii="Arial" w:cs="Arial" w:eastAsia="Arial" w:hAnsi="Arial"/>
                <w:b/>
                <w:bCs/>
                <w:color w:val="FFFFFF"/>
                <w:sz w:val="22"/>
                <w:szCs w:val="22"/>
              </w:rPr>
              <w:t xml:space="preserve">  WHAT SOCIETAL RESPONSIBILITY MEANS FOR US</w:t>
            </w:r>
          </w:p>
          <w:p>
            <w:pPr>
              <w:spacing w:after="50" w:before="40"/>
            </w:pPr>
            <w:r>
              <w:rPr>
                <w:rFonts w:ascii="Arial" w:cs="Arial" w:eastAsia="Arial" w:hAnsi="Arial"/>
                <w:color w:val="5B595A"/>
                <w:sz w:val="18"/>
                <w:szCs w:val="18"/>
              </w:rPr>
              <w:t xml:space="preserve">For a manufacturing or engineering business in the nuclear supply chain, societal responsibility translates into a set of practical commitments that go beyond minimum contractual compliance:</w:t>
            </w:r>
          </w:p>
          <w:p>
            <w:pPr>
              <w:spacing w:after="40" w:before="40"/>
            </w:pPr>
            <w:r>
              <w:t xml:space="preserve"/>
            </w:r>
          </w:p>
          <w:tbl>
            <w:tblPr>
              <w:tblW w:type="dxa" w:w="7599"/>
              <w:tblBorders>
                <w:top w:val="single" w:color="auto" w:sz="4"/>
                <w:left w:val="single" w:color="auto" w:sz="4"/>
                <w:bottom w:val="single" w:color="auto" w:sz="4"/>
                <w:right w:val="single" w:color="auto" w:sz="4"/>
                <w:insideH w:val="single" w:color="auto" w:sz="4"/>
                <w:insideV w:val="single" w:color="auto" w:sz="4"/>
              </w:tblBorders>
            </w:tblPr>
            <w:tblGrid>
              <w:gridCol w:w="3191"/>
              <w:gridCol w:w="4407"/>
            </w:tblGrid>
            <w:tr>
              <w:tc>
                <w:tcPr>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Commitment</w:t>
                  </w:r>
                </w:p>
              </w:tc>
              <w:tc>
                <w:tcPr>
                  <w:tcBorders>
                    <w:top w:val="single" w:color="009FE3" w:sz="1"/>
                    <w:left w:val="single" w:color="009FE3" w:sz="1"/>
                    <w:bottom w:val="single" w:color="009FE3" w:sz="1"/>
                    <w:right w:val="single" w:color="009FE3" w:sz="1"/>
                  </w:tcBorders>
                  <w:shd w:fill="001E3C" w:val="clear"/>
                  <w:tcMar>
                    <w:top w:type="dxa" w:w="70"/>
                    <w:left w:type="dxa" w:w="100"/>
                    <w:bottom w:type="dxa" w:w="70"/>
                    <w:right w:type="dxa" w:w="100"/>
                  </w:tcMar>
                </w:tcPr>
                <w:p>
                  <w:r>
                    <w:rPr>
                      <w:rFonts w:ascii="Arial" w:cs="Arial" w:eastAsia="Arial" w:hAnsi="Arial"/>
                      <w:b/>
                      <w:bCs/>
                      <w:color w:val="FFFFFF"/>
                      <w:sz w:val="18"/>
                      <w:szCs w:val="18"/>
                    </w:rPr>
                    <w:t xml:space="preserve">In Practice</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5B595A"/>
                      <w:sz w:val="17"/>
                      <w:szCs w:val="17"/>
                    </w:rPr>
                    <w:t xml:space="preserve">Transparency</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5B595A"/>
                      <w:sz w:val="17"/>
                      <w:szCs w:val="17"/>
                    </w:rPr>
                    <w:t xml:space="preserve">Report non-conformances promptly. Do not hide problems or delay telling your client.</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5B595A"/>
                      <w:sz w:val="17"/>
                      <w:szCs w:val="17"/>
                    </w:rPr>
                    <w:t xml:space="preserve">Accuracy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Every certificate, record, and measurement we submit must be accurate. Falsification of records is a criminal offence.</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5B595A"/>
                      <w:sz w:val="17"/>
                      <w:szCs w:val="17"/>
                    </w:rPr>
                    <w:t xml:space="preserve">Traceability</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5B595A"/>
                      <w:sz w:val="17"/>
                      <w:szCs w:val="17"/>
                    </w:rPr>
                    <w:t xml:space="preserve">Maintain complete records so that the history of every item we supply can be reconstructed if needed.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5B595A"/>
                      <w:sz w:val="17"/>
                      <w:szCs w:val="17"/>
                    </w:rPr>
                    <w:t xml:space="preserve">Responsible sourcing</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Know your supply chain. Do not knowingly introduce suspect or counterfeit materials.</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5B595A"/>
                      <w:sz w:val="17"/>
                      <w:szCs w:val="17"/>
                    </w:rPr>
                    <w:t xml:space="preserve">Workforce responsibility</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5B595A"/>
                      <w:sz w:val="17"/>
                      <w:szCs w:val="17"/>
                    </w:rPr>
                    <w:t xml:space="preserve">Ensure that everyone we employ on nuclear work understands their obligations and can exercise them without fear.</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5B595A"/>
                      <w:sz w:val="17"/>
                      <w:szCs w:val="17"/>
                    </w:rPr>
                    <w:t xml:space="preserve">Continuous improvement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Actively seek to improve our quality systems and safety culture. Do not wait to be told what needs to change.</w:t>
                  </w:r>
                </w:p>
              </w:tc>
            </w:tr>
          </w:tbl>
          <w:p>
            <w:pPr>
              <w:spacing w:after="10" w:before="10"/>
            </w:pPr>
            <w:r>
              <w:t xml:space="preserve"/>
            </w:r>
          </w:p>
          <w:p>
            <w:pPr>
              <w:shd w:fill="009FE3" w:val="clear"/>
              <w:spacing w:after="0" w:before="0"/>
            </w:pPr>
            <w:r>
              <w:rPr>
                <w:rFonts w:ascii="Arial" w:cs="Arial" w:eastAsia="Arial" w:hAnsi="Arial"/>
                <w:b/>
                <w:bCs/>
                <w:i/>
                <w:iCs/>
                <w:color w:val="FFFFFF"/>
                <w:sz w:val="18"/>
                <w:szCs w:val="18"/>
              </w:rPr>
              <w:t xml:space="preserve">  The nuclear industry does not get a second chance. Neither does any company that contributes to a failure within it.</w:t>
            </w:r>
          </w:p>
        </w:tc>
      </w:tr>
    </w:tbl>
    <w:sectPr>
      <w:headerReference w:type="default" r:id="rId7"/>
      <w:footerReference w:type="default" r:id="rId8"/>
      <w:pgSz w:w="16838" w:h="11906" w:orient="landscape"/>
      <w:pgMar w:top="900" w:right="720" w:bottom="720" w:left="72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7FD5BD-97BE-4AF8-A335-444E3ECF7B9E}"/>
</file>

<file path=customXml/itemProps2.xml><?xml version="1.0" encoding="utf-8"?>
<ds:datastoreItem xmlns:ds="http://schemas.openxmlformats.org/officeDocument/2006/customXml" ds:itemID="{F3E9A000-FD44-41D8-8B85-290291ADD69B}"/>
</file>

<file path=customXml/itemProps3.xml><?xml version="1.0" encoding="utf-8"?>
<ds:datastoreItem xmlns:ds="http://schemas.openxmlformats.org/officeDocument/2006/customXml" ds:itemID="{F6AD9374-AE61-4380-86F3-8F392506A8F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NSS-01g Nuclear Risks Societal Responsibility Briefing Card</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