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E3C" w:val="clear"/>
        <w:spacing w:after="0" w:before="0"/>
      </w:pPr>
      <w:r>
        <w:rPr>
          <w:rFonts w:ascii="Arial" w:cs="Arial" w:eastAsia="Arial" w:hAnsi="Arial"/>
          <w:sz w:val="8"/>
          <w:szCs w:val="8"/>
        </w:rPr>
        <w:t xml:space="preserve"> </w:t>
      </w:r>
    </w:p>
    <w:p>
      <w:pPr>
        <w:spacing w:after="80" w:before="80"/>
      </w:pPr>
      <w:r>
        <w:t xml:space="preserve"/>
      </w:r>
    </w:p>
    <w:p>
      <w:pPr>
        <w:spacing w:after="80" w:before="80"/>
      </w:pPr>
      <w:r>
        <w:t xml:space="preserve"/>
      </w:r>
    </w:p>
    <w:p>
      <w:pPr>
        <w:spacing w:after="200" w:before="40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143000"/>
                    </a:xfrm>
                    <a:prstGeom prst="rect">
                      <a:avLst/>
                    </a:prstGeom>
                  </pic:spPr>
                </pic:pic>
              </a:graphicData>
            </a:graphic>
          </wp:inline>
        </w:drawing>
      </w:r>
    </w:p>
    <w:p>
      <w:pPr>
        <w:shd w:fill="009FE3" w:val="clear"/>
        <w:spacing w:after="0" w:before="600"/>
        <w:jc w:val="center"/>
      </w:pPr>
      <w:r>
        <w:rPr>
          <w:rFonts w:ascii="Arial" w:cs="Arial" w:eastAsia="Arial" w:hAnsi="Arial"/>
          <w:b/>
          <w:bCs/>
          <w:color w:val="FFFFFF"/>
          <w:sz w:val="46"/>
          <w:szCs w:val="46"/>
        </w:rPr>
        <w:t xml:space="preserve">JUST CULTURE</w:t>
      </w:r>
    </w:p>
    <w:p>
      <w:pPr>
        <w:shd w:fill="009FE3" w:val="clear"/>
        <w:spacing w:after="0" w:before="0"/>
        <w:jc w:val="center"/>
      </w:pPr>
      <w:r>
        <w:rPr>
          <w:rFonts w:ascii="Arial" w:cs="Arial" w:eastAsia="Arial" w:hAnsi="Arial"/>
          <w:b/>
          <w:bCs/>
          <w:color w:val="FFFFFF"/>
          <w:sz w:val="30"/>
          <w:szCs w:val="30"/>
        </w:rPr>
        <w:t xml:space="preserve">FRAMEWORK AND DECISION GUIDE</w:t>
      </w:r>
    </w:p>
    <w:p>
      <w:pPr>
        <w:shd w:fill="83348F" w:val="clear"/>
        <w:spacing w:after="0" w:before="0"/>
        <w:jc w:val="center"/>
      </w:pPr>
      <w:r>
        <w:rPr>
          <w:rFonts w:ascii="Arial" w:cs="Arial" w:eastAsia="Arial" w:hAnsi="Arial"/>
          <w:b/>
          <w:bCs/>
          <w:color w:val="FFFFFF"/>
          <w:sz w:val="28"/>
          <w:szCs w:val="28"/>
        </w:rPr>
        <w:t xml:space="preserve">Working Framework</w:t>
      </w:r>
    </w:p>
    <w:p>
      <w:pPr>
        <w:spacing w:after="80" w:before="80"/>
      </w:pPr>
      <w:r>
        <w:t xml:space="preserve"/>
      </w:r>
    </w:p>
    <w:p>
      <w:pPr>
        <w:spacing w:after="80" w:before="80"/>
      </w:pPr>
      <w:r>
        <w:t xml:space="preserve"/>
      </w:r>
    </w:p>
    <w:p>
      <w:pPr>
        <w:spacing w:after="80" w:before="400"/>
        <w:jc w:val="center"/>
      </w:pPr>
      <w:r>
        <w:rPr>
          <w:rFonts w:ascii="Arial" w:cs="Arial" w:eastAsia="Arial" w:hAnsi="Arial"/>
          <w:b/>
          <w:bCs/>
          <w:color w:val="5B595A"/>
          <w:sz w:val="24"/>
          <w:szCs w:val="24"/>
        </w:rPr>
        <w:t xml:space="preserve">NSS-02e</w:t>
      </w:r>
    </w:p>
    <w:p>
      <w:pPr>
        <w:spacing w:after="80" w:before="0"/>
        <w:jc w:val="center"/>
      </w:pPr>
      <w:r>
        <w:rPr>
          <w:rFonts w:ascii="Arial" w:cs="Arial" w:eastAsia="Arial" w:hAnsi="Arial"/>
          <w:color w:val="5B595A"/>
          <w:sz w:val="22"/>
          <w:szCs w:val="22"/>
        </w:rPr>
        <w:t xml:space="preserve">Nuclear Sector Specific Programme</w:t>
      </w:r>
    </w:p>
    <w:p>
      <w:pPr>
        <w:spacing w:after="80" w:before="0"/>
        <w:jc w:val="center"/>
      </w:pPr>
      <w:r>
        <w:rPr>
          <w:rFonts w:ascii="Arial" w:cs="Arial" w:eastAsia="Arial" w:hAnsi="Arial"/>
          <w:b/>
          <w:bCs/>
          <w:color w:val="009FE3"/>
          <w:sz w:val="22"/>
          <w:szCs w:val="22"/>
        </w:rPr>
        <w:t xml:space="preserve">Delivered by NucCol</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hd w:fill="001E3C" w:val="clear"/>
        <w:spacing w:after="0" w:before="0"/>
        <w:jc w:val="center"/>
      </w:pPr>
      <w:r>
        <w:rPr>
          <w:rFonts w:ascii="Arial" w:cs="Arial" w:eastAsia="Arial" w:hAnsi="Arial"/>
          <w:color w:val="FFFFFF"/>
          <w:sz w:val="18"/>
          <w:szCs w:val="18"/>
        </w:rPr>
        <w:t xml:space="preserve">www.nuccol.co.uk  |  Commercial in Confidence</w:t>
      </w:r>
    </w:p>
    <w:p>
      <w:r>
        <w:br w:type="page"/>
      </w:r>
    </w:p>
    <w:p>
      <w:pPr>
        <w:sectPr>
          <w:headerReference w:type="default" r:id="rId11"/>
          <w:footerReference w:type="default" r:id="rId12"/>
          <w:pgSz w:w="11906" w:h="16838" w:orient="portrait"/>
          <w:pgMar w:top="720" w:right="1080" w:bottom="720" w:left="1080" w:header="283" w:footer="283" w:gutter="0"/>
          <w:pgNumType/>
          <w:docGrid w:linePitch="360"/>
        </w:sectPr>
      </w:pPr>
    </w:p>
    <w:p>
      <w:pPr>
        <w:pStyle w:val="Heading1"/>
        <w:spacing w:after="120" w:before="320"/>
      </w:pPr>
      <w:r>
        <w:rPr>
          <w:rFonts w:ascii="Arial" w:cs="Arial" w:eastAsia="Arial" w:hAnsi="Arial"/>
          <w:b/>
          <w:bCs/>
          <w:color w:val="29ABE2"/>
          <w:sz w:val="36"/>
          <w:szCs w:val="36"/>
        </w:rPr>
        <w:t xml:space="preserve">Purpose</w:t>
      </w:r>
    </w:p>
    <w:p>
      <w:pPr>
        <w:spacing w:after="80" w:before="60"/>
      </w:pPr>
      <w:r>
        <w:rPr>
          <w:rFonts w:ascii="Arial" w:cs="Arial" w:eastAsia="Arial" w:hAnsi="Arial"/>
          <w:color w:val="5B595A"/>
          <w:sz w:val="22"/>
          <w:szCs w:val="22"/>
        </w:rPr>
        <w:t xml:space="preserve">This framework gives leaders and managers a structured, fair, and consistent method for responding when something goes wrong, or nearly goes wrong, on nuclear work. It operationalises the Raising Concerns (RC) trait described in NSS-02a, and directly supports the Just and Reporting Culture question topic in the F4N Nuclear Sector Specific assessment.</w:t>
      </w:r>
    </w:p>
    <w:p>
      <w:pPr>
        <w:spacing w:after="80" w:before="60"/>
      </w:pPr>
      <w:r>
        <w:rPr>
          <w:rFonts w:ascii="Arial" w:cs="Arial" w:eastAsia="Arial" w:hAnsi="Arial"/>
          <w:color w:val="5B595A"/>
          <w:sz w:val="22"/>
          <w:szCs w:val="22"/>
        </w:rPr>
        <w:t xml:space="preserve">A just culture is not the same as a blame-free culture. It distinguishes between honest human error, at-risk behaviour, and reckless or deliberate misconduct, and applies a proportionate response to each. Getting this distinction right is one of the most important things a nuclear-ready organisation can do, because how an organisation responds to its first reported near miss determines whether it ever hears about the second one.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THIS MATTERS</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Nuclear clients and ONR place significant weight on whether an organisation has a genuine just culture. A workforce that fears blame will stop reporting near misses and concerns, which removes the early warning signal that prevents minor issues becoming serious ones. This is not a theoretical risk. Several of the most serious safety events in regulated industries have been traced back, in part, to a workforce that had stopped speaking up.</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What This Document Is Not</w:t>
      </w:r>
    </w:p>
    <w:p>
      <w:pPr>
        <w:spacing w:after="80" w:before="60"/>
      </w:pPr>
      <w:r>
        <w:rPr>
          <w:rFonts w:ascii="Arial" w:cs="Arial" w:eastAsia="Arial" w:hAnsi="Arial"/>
          <w:color w:val="5B595A"/>
          <w:sz w:val="22"/>
          <w:szCs w:val="22"/>
        </w:rPr>
        <w:t xml:space="preserve">This is not a disciplinary policy and does not replace your formal HR disciplinary procedure. It is a decision-support framework that should be used before any disciplinary process begins, to help a manager think clearly about whether disciplinary action is the right response at all. Where this framework indicates a matter is appropriately handled through disciplinary process, your normal HR procedure should then be followed in full, including any right to representation.</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THE THREE CATEGORIES OF BEHAVIOUR</w:t>
      </w:r>
    </w:p>
    <w:p>
      <w:pPr>
        <w:spacing w:after="80" w:before="80"/>
      </w:pPr>
      <w:r>
        <w:t xml:space="preserve"/>
      </w:r>
    </w:p>
    <w:p>
      <w:pPr>
        <w:spacing w:after="80" w:before="60"/>
      </w:pPr>
      <w:r>
        <w:rPr>
          <w:rFonts w:ascii="Arial" w:cs="Arial" w:eastAsia="Arial" w:hAnsi="Arial"/>
          <w:color w:val="5B595A"/>
          <w:sz w:val="22"/>
          <w:szCs w:val="22"/>
        </w:rPr>
        <w:t xml:space="preserve">A just culture rests on a clear, shared understanding that not all behaviour that leads to an unwanted outcome is the same. The following three categories, drawn from established just culture models used across safety-critical industries, provide the basis for a fair and consistent response.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326"/>
      </w:tblGrid>
      <w:tr>
        <w:trPr>
          <w:tblHeader/>
        </w:trPr>
        <w:tc>
          <w:tcPr>
            <w:tcW w:type="dxa" w:w="25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2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3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Typical Response</w:t>
            </w:r>
          </w:p>
        </w:tc>
      </w:tr>
      <w:tr>
        <w:tc>
          <w:tcPr>
            <w:tcW w:type="dxa" w:w="2500"/>
            <w:tcBorders>
              <w:top w:val="single" w:color="CCCCCC" w:sz="1"/>
              <w:left w:val="single" w:color="CCCCCC" w:sz="1"/>
              <w:bottom w:val="single" w:color="CCCCCC" w:sz="1"/>
              <w:right w:val="single" w:color="CCCCCC" w:sz="1"/>
            </w:tcBorders>
            <w:shd w:fill="EBF7EE" w:val="clear"/>
            <w:tcMar>
              <w:top w:type="dxa" w:w="80"/>
              <w:left w:type="dxa" w:w="120"/>
              <w:bottom w:type="dxa" w:w="80"/>
              <w:right w:type="dxa" w:w="120"/>
            </w:tcMar>
          </w:tcPr>
          <w:p>
            <w:r>
              <w:rPr>
                <w:rFonts w:ascii="Arial" w:cs="Arial" w:eastAsia="Arial" w:hAnsi="Arial"/>
                <w:b/>
                <w:bCs/>
                <w:color w:val="5B595A"/>
                <w:sz w:val="19"/>
                <w:szCs w:val="19"/>
              </w:rPr>
              <w:t xml:space="preserve">Honest Error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An unintentional slip, lapse, or mistake made by someone trying to do the right thing, often while following a flawed or unclear process.</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Console and support. Look at the system and process, not the individual. Use as a genuine learning opportunity.</w:t>
            </w:r>
          </w:p>
        </w:tc>
      </w:tr>
      <w:tr>
        <w:tc>
          <w:tcPr>
            <w:tcW w:type="dxa" w:w="250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r>
              <w:rPr>
                <w:rFonts w:ascii="Arial" w:cs="Arial" w:eastAsia="Arial" w:hAnsi="Arial"/>
                <w:b/>
                <w:bCs/>
                <w:color w:val="5B595A"/>
                <w:sz w:val="19"/>
                <w:szCs w:val="19"/>
              </w:rPr>
              <w:t xml:space="preserve">At-Risk Behaviour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A choice was made that increased risk, but the risk was not recognised, or was recognised but believed to be insignificant or justified. Often the result of normalised shortcuts that have become accepted practice.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Coach and correct. Address why the behaviour seemed reasonable at the time, and remove the incentive or pressure that drove it.</w:t>
            </w:r>
          </w:p>
        </w:tc>
      </w:tr>
      <w:tr>
        <w:tc>
          <w:tcPr>
            <w:tcW w:type="dxa" w:w="2500"/>
            <w:tcBorders>
              <w:top w:val="single" w:color="CCCCCC" w:sz="1"/>
              <w:left w:val="single" w:color="CCCCCC" w:sz="1"/>
              <w:bottom w:val="single" w:color="CCCCCC" w:sz="1"/>
              <w:right w:val="single" w:color="CCCCCC" w:sz="1"/>
            </w:tcBorders>
            <w:shd w:fill="FBE8E8" w:val="clear"/>
            <w:tcMar>
              <w:top w:type="dxa" w:w="80"/>
              <w:left w:type="dxa" w:w="120"/>
              <w:bottom w:type="dxa" w:w="80"/>
              <w:right w:type="dxa" w:w="120"/>
            </w:tcMar>
          </w:tcPr>
          <w:p>
            <w:r>
              <w:rPr>
                <w:rFonts w:ascii="Arial" w:cs="Arial" w:eastAsia="Arial" w:hAnsi="Arial"/>
                <w:b/>
                <w:bCs/>
                <w:color w:val="5B595A"/>
                <w:sz w:val="19"/>
                <w:szCs w:val="19"/>
              </w:rPr>
              <w:t xml:space="preserve">Reckless or Deliberate Misconduct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A conscious disregard of a substantial and unjustifiable risk, or a deliberate act intended to cause harm, conceal a problem, or falsify a record.</w:t>
            </w:r>
          </w:p>
        </w:tc>
        <w:tc>
          <w:tcPr>
            <w:tcW w:type="dxa" w:w="2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Disciplinary process. This is the only category where formal disciplinary action is generally the appropriate first response.</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 KEY TEST</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The test is not 'did this person make a mistake' or 'did this person cause harm'. The test is whether a similarly trained, similarly informed person, acting in good faith, could reasonably have made the same choice in the same circumstances. If yes, this points towards honest error or at-risk behaviour. If the person knowingly and substantially disregarded the risk, or acted with intent to deceive, this points towards misconduct.</w:t>
            </w:r>
          </w:p>
        </w:tc>
      </w:tr>
    </w:tbl>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THE DECISION GUIDE</w:t>
      </w:r>
    </w:p>
    <w:p>
      <w:pPr>
        <w:spacing w:after="80" w:before="80"/>
      </w:pPr>
      <w:r>
        <w:t xml:space="preserve"/>
      </w:r>
    </w:p>
    <w:p>
      <w:pPr>
        <w:spacing w:after="80" w:before="60"/>
      </w:pPr>
      <w:r>
        <w:rPr>
          <w:rFonts w:ascii="Arial" w:cs="Arial" w:eastAsia="Arial" w:hAnsi="Arial"/>
          <w:color w:val="5B595A"/>
          <w:sz w:val="22"/>
          <w:szCs w:val="22"/>
        </w:rPr>
        <w:t xml:space="preserve">Work through these questions in order whenever a near miss, error, or safety concern involves an individual's actions. Do not skip ahead. Each question is designed to rule out an explanation before moving to the next, more serious, category.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001E3C" w:sz="1"/>
              <w:left w:val="single" w:color="001E3C" w:sz="1"/>
              <w:bottom w:val="single" w:color="001E3C" w:sz="1"/>
              <w:right w:val="single" w:color="001E3C" w:sz="1"/>
            </w:tcBorders>
            <w:shd w:fill="001E3C"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1</w:t>
            </w:r>
          </w:p>
        </w:tc>
        <w:tc>
          <w:tcPr>
            <w:tcW w:type="dxa" w:w="8326"/>
            <w:tcBorders>
              <w:top w:val="single" w:color="001E3C" w:sz="1"/>
              <w:left w:val="single" w:color="001E3C" w:sz="1"/>
              <w:bottom w:val="single" w:color="001E3C" w:sz="1"/>
              <w:right w:val="single" w:color="001E3C" w:sz="1"/>
            </w:tcBorders>
            <w:shd w:fill="D6EEF8" w:val="clear"/>
            <w:tcMar>
              <w:top w:type="dxa" w:w="100"/>
              <w:left w:type="dxa" w:w="160"/>
              <w:bottom w:type="dxa" w:w="100"/>
              <w:right w:type="dxa" w:w="160"/>
            </w:tcMar>
            <w:vAlign w:val="center"/>
          </w:tcPr>
          <w:p>
            <w:r>
              <w:rPr>
                <w:rFonts w:ascii="Arial" w:cs="Arial" w:eastAsia="Arial" w:hAnsi="Arial"/>
                <w:b/>
                <w:bCs/>
                <w:color w:val="001E3C"/>
                <w:sz w:val="22"/>
                <w:szCs w:val="22"/>
              </w:rPr>
              <w:t xml:space="preserve">Was the action intended to cause harm, or did it involve deliberately concealing a problem or falsifying a record?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FBE8E8" w:val="clear"/>
            <w:tcMar>
              <w:top w:type="dxa" w:w="100"/>
              <w:left w:type="dxa" w:w="120"/>
              <w:bottom w:type="dxa" w:w="100"/>
              <w:right w:type="dxa" w:w="120"/>
            </w:tcMar>
            <w:vAlign w:val="center"/>
          </w:tcPr>
          <w:p>
            <w:r>
              <w:rPr>
                <w:rFonts w:ascii="Arial" w:cs="Arial" w:eastAsia="Arial" w:hAnsi="Arial"/>
                <w:b/>
                <w:bCs/>
                <w:color w:val="001E3C"/>
                <w:sz w:val="20"/>
                <w:szCs w:val="20"/>
              </w:rPr>
              <w:t xml:space="preserve">If YES</w:t>
            </w:r>
          </w:p>
        </w:tc>
        <w:tc>
          <w:tcPr>
            <w:tcW w:type="dxa" w:w="6826"/>
            <w:tcBorders>
              <w:top w:val="single" w:color="999999" w:sz="1"/>
              <w:left w:val="single" w:color="999999" w:sz="1"/>
              <w:bottom w:val="single" w:color="999999" w:sz="1"/>
              <w:right w:val="single" w:color="999999" w:sz="1"/>
            </w:tcBorders>
            <w:shd w:fill="FFFFFF" w:val="clear"/>
            <w:tcMar>
              <w:top w:type="dxa" w:w="100"/>
              <w:left w:type="dxa" w:w="140"/>
              <w:bottom w:type="dxa" w:w="100"/>
              <w:right w:type="dxa" w:w="120"/>
            </w:tcMar>
          </w:tcPr>
          <w:p>
            <w:r>
              <w:rPr>
                <w:rFonts w:ascii="Arial" w:cs="Arial" w:eastAsia="Arial" w:hAnsi="Arial"/>
                <w:color w:val="5B595A"/>
                <w:sz w:val="20"/>
                <w:szCs w:val="20"/>
              </w:rPr>
              <w:t xml:space="preserve">This is deliberate misconduct. Move directly to your formal disciplinary process. This framework's coaching approach does not apply.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F2F2F2" w:val="clear"/>
            <w:tcMar>
              <w:top w:type="dxa" w:w="100"/>
              <w:left w:type="dxa" w:w="120"/>
              <w:bottom w:type="dxa" w:w="100"/>
              <w:right w:type="dxa" w:w="120"/>
            </w:tcMar>
            <w:vAlign w:val="center"/>
          </w:tcPr>
          <w:p>
            <w:r>
              <w:rPr>
                <w:rFonts w:ascii="Arial" w:cs="Arial" w:eastAsia="Arial" w:hAnsi="Arial"/>
                <w:b/>
                <w:bCs/>
                <w:color w:val="001E3C"/>
                <w:sz w:val="20"/>
                <w:szCs w:val="20"/>
              </w:rPr>
              <w:t xml:space="preserve">If NO</w:t>
            </w:r>
          </w:p>
        </w:tc>
        <w:tc>
          <w:tcPr>
            <w:tcW w:type="dxa" w:w="6826"/>
            <w:tcBorders>
              <w:top w:val="single" w:color="999999" w:sz="1"/>
              <w:left w:val="single" w:color="999999" w:sz="1"/>
              <w:bottom w:val="single" w:color="999999" w:sz="1"/>
              <w:right w:val="single" w:color="999999" w:sz="1"/>
            </w:tcBorders>
            <w:shd w:fill="FFFFFF" w:val="clear"/>
            <w:tcMar>
              <w:top w:type="dxa" w:w="100"/>
              <w:left w:type="dxa" w:w="140"/>
              <w:bottom w:type="dxa" w:w="100"/>
              <w:right w:type="dxa" w:w="120"/>
            </w:tcMar>
          </w:tcPr>
          <w:p>
            <w:r>
              <w:rPr>
                <w:rFonts w:ascii="Arial" w:cs="Arial" w:eastAsia="Arial" w:hAnsi="Arial"/>
                <w:color w:val="5B595A"/>
                <w:sz w:val="20"/>
                <w:szCs w:val="20"/>
              </w:rPr>
              <w:t xml:space="preserve">Continue to question 2.</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83348F" w:sz="1"/>
              <w:left w:val="single" w:color="83348F" w:sz="1"/>
              <w:bottom w:val="single" w:color="83348F" w:sz="1"/>
              <w:right w:val="single" w:color="83348F" w:sz="1"/>
            </w:tcBorders>
            <w:shd w:fill="83348F"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2</w:t>
            </w:r>
          </w:p>
        </w:tc>
        <w:tc>
          <w:tcPr>
            <w:tcW w:type="dxa" w:w="8326"/>
            <w:tcBorders>
              <w:top w:val="single" w:color="83348F" w:sz="1"/>
              <w:left w:val="single" w:color="83348F" w:sz="1"/>
              <w:bottom w:val="single" w:color="83348F" w:sz="1"/>
              <w:right w:val="single" w:color="83348F" w:sz="1"/>
            </w:tcBorders>
            <w:shd w:fill="D6EEF8" w:val="clear"/>
            <w:tcMar>
              <w:top w:type="dxa" w:w="100"/>
              <w:left w:type="dxa" w:w="160"/>
              <w:bottom w:type="dxa" w:w="100"/>
              <w:right w:type="dxa" w:w="160"/>
            </w:tcMar>
            <w:vAlign w:val="center"/>
          </w:tcPr>
          <w:p>
            <w:r>
              <w:rPr>
                <w:rFonts w:ascii="Arial" w:cs="Arial" w:eastAsia="Arial" w:hAnsi="Arial"/>
                <w:b/>
                <w:bCs/>
                <w:color w:val="001E3C"/>
                <w:sz w:val="22"/>
                <w:szCs w:val="22"/>
              </w:rPr>
              <w:t xml:space="preserve">Did the individual knowingly take a substantial and unjustifiable risk, fully understanding the danger involved?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FFF4E0" w:val="clear"/>
            <w:tcMar>
              <w:top w:type="dxa" w:w="100"/>
              <w:left w:type="dxa" w:w="120"/>
              <w:bottom w:type="dxa" w:w="100"/>
              <w:right w:type="dxa" w:w="120"/>
            </w:tcMar>
            <w:vAlign w:val="center"/>
          </w:tcPr>
          <w:p>
            <w:r>
              <w:rPr>
                <w:rFonts w:ascii="Arial" w:cs="Arial" w:eastAsia="Arial" w:hAnsi="Arial"/>
                <w:b/>
                <w:bCs/>
                <w:color w:val="001E3C"/>
                <w:sz w:val="20"/>
                <w:szCs w:val="20"/>
              </w:rPr>
              <w:t xml:space="preserve">If YES</w:t>
            </w:r>
          </w:p>
        </w:tc>
        <w:tc>
          <w:tcPr>
            <w:tcW w:type="dxa" w:w="6826"/>
            <w:tcBorders>
              <w:top w:val="single" w:color="999999" w:sz="1"/>
              <w:left w:val="single" w:color="999999" w:sz="1"/>
              <w:bottom w:val="single" w:color="999999" w:sz="1"/>
              <w:right w:val="single" w:color="999999" w:sz="1"/>
            </w:tcBorders>
            <w:shd w:fill="FFFFFF" w:val="clear"/>
            <w:tcMar>
              <w:top w:type="dxa" w:w="100"/>
              <w:left w:type="dxa" w:w="140"/>
              <w:bottom w:type="dxa" w:w="100"/>
              <w:right w:type="dxa" w:w="120"/>
            </w:tcMar>
          </w:tcPr>
          <w:p>
            <w:r>
              <w:rPr>
                <w:rFonts w:ascii="Arial" w:cs="Arial" w:eastAsia="Arial" w:hAnsi="Arial"/>
                <w:color w:val="5B595A"/>
                <w:sz w:val="20"/>
                <w:szCs w:val="20"/>
              </w:rPr>
              <w:t xml:space="preserve">This points towards reckless behaviour. Consider disciplinary process, but first establish whether organisational pressure or a normalised practice contributed. If it did, this may sit closer to at-risk behaviour. Seek HR and senior management input before deciding.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F2F2F2" w:val="clear"/>
            <w:tcMar>
              <w:top w:type="dxa" w:w="100"/>
              <w:left w:type="dxa" w:w="120"/>
              <w:bottom w:type="dxa" w:w="100"/>
              <w:right w:type="dxa" w:w="120"/>
            </w:tcMar>
            <w:vAlign w:val="center"/>
          </w:tcPr>
          <w:p>
            <w:r>
              <w:rPr>
                <w:rFonts w:ascii="Arial" w:cs="Arial" w:eastAsia="Arial" w:hAnsi="Arial"/>
                <w:b/>
                <w:bCs/>
                <w:color w:val="001E3C"/>
                <w:sz w:val="20"/>
                <w:szCs w:val="20"/>
              </w:rPr>
              <w:t xml:space="preserve">If NO</w:t>
            </w:r>
          </w:p>
        </w:tc>
        <w:tc>
          <w:tcPr>
            <w:tcW w:type="dxa" w:w="6826"/>
            <w:tcBorders>
              <w:top w:val="single" w:color="999999" w:sz="1"/>
              <w:left w:val="single" w:color="999999" w:sz="1"/>
              <w:bottom w:val="single" w:color="999999" w:sz="1"/>
              <w:right w:val="single" w:color="999999" w:sz="1"/>
            </w:tcBorders>
            <w:shd w:fill="FFFFFF" w:val="clear"/>
            <w:tcMar>
              <w:top w:type="dxa" w:w="100"/>
              <w:left w:type="dxa" w:w="140"/>
              <w:bottom w:type="dxa" w:w="100"/>
              <w:right w:type="dxa" w:w="120"/>
            </w:tcMar>
          </w:tcPr>
          <w:p>
            <w:r>
              <w:rPr>
                <w:rFonts w:ascii="Arial" w:cs="Arial" w:eastAsia="Arial" w:hAnsi="Arial"/>
                <w:color w:val="5B595A"/>
                <w:sz w:val="20"/>
                <w:szCs w:val="20"/>
              </w:rPr>
              <w:t xml:space="preserve">Continue to question 3.</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009FE3" w:sz="1"/>
              <w:left w:val="single" w:color="009FE3" w:sz="1"/>
              <w:bottom w:val="single" w:color="009FE3" w:sz="1"/>
              <w:right w:val="single" w:color="009FE3" w:sz="1"/>
            </w:tcBorders>
            <w:shd w:fill="009FE3"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3</w:t>
            </w:r>
          </w:p>
        </w:tc>
        <w:tc>
          <w:tcPr>
            <w:tcW w:type="dxa" w:w="8326"/>
            <w:tcBorders>
              <w:top w:val="single" w:color="009FE3" w:sz="1"/>
              <w:left w:val="single" w:color="009FE3" w:sz="1"/>
              <w:bottom w:val="single" w:color="009FE3" w:sz="1"/>
              <w:right w:val="single" w:color="009FE3" w:sz="1"/>
            </w:tcBorders>
            <w:shd w:fill="D6EEF8" w:val="clear"/>
            <w:tcMar>
              <w:top w:type="dxa" w:w="100"/>
              <w:left w:type="dxa" w:w="160"/>
              <w:bottom w:type="dxa" w:w="100"/>
              <w:right w:type="dxa" w:w="160"/>
            </w:tcMar>
            <w:vAlign w:val="center"/>
          </w:tcPr>
          <w:p>
            <w:r>
              <w:rPr>
                <w:rFonts w:ascii="Arial" w:cs="Arial" w:eastAsia="Arial" w:hAnsi="Arial"/>
                <w:b/>
                <w:bCs/>
                <w:color w:val="001E3C"/>
                <w:sz w:val="22"/>
                <w:szCs w:val="22"/>
              </w:rPr>
              <w:t xml:space="preserve">Did the individual make a choice that, with hindsight, increased risk, but which seemed reasonable, normal, or low-risk to them at the time?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FFF4E0" w:val="clear"/>
            <w:tcMar>
              <w:top w:type="dxa" w:w="100"/>
              <w:left w:type="dxa" w:w="120"/>
              <w:bottom w:type="dxa" w:w="100"/>
              <w:right w:type="dxa" w:w="120"/>
            </w:tcMar>
            <w:vAlign w:val="center"/>
          </w:tcPr>
          <w:p>
            <w:r>
              <w:rPr>
                <w:rFonts w:ascii="Arial" w:cs="Arial" w:eastAsia="Arial" w:hAnsi="Arial"/>
                <w:b/>
                <w:bCs/>
                <w:color w:val="001E3C"/>
                <w:sz w:val="20"/>
                <w:szCs w:val="20"/>
              </w:rPr>
              <w:t xml:space="preserve">If YES</w:t>
            </w:r>
          </w:p>
        </w:tc>
        <w:tc>
          <w:tcPr>
            <w:tcW w:type="dxa" w:w="6826"/>
            <w:tcBorders>
              <w:top w:val="single" w:color="999999" w:sz="1"/>
              <w:left w:val="single" w:color="999999" w:sz="1"/>
              <w:bottom w:val="single" w:color="999999" w:sz="1"/>
              <w:right w:val="single" w:color="999999" w:sz="1"/>
            </w:tcBorders>
            <w:shd w:fill="FFFFFF" w:val="clear"/>
            <w:tcMar>
              <w:top w:type="dxa" w:w="100"/>
              <w:left w:type="dxa" w:w="140"/>
              <w:bottom w:type="dxa" w:w="100"/>
              <w:right w:type="dxa" w:w="120"/>
            </w:tcMar>
          </w:tcPr>
          <w:p>
            <w:r>
              <w:rPr>
                <w:rFonts w:ascii="Arial" w:cs="Arial" w:eastAsia="Arial" w:hAnsi="Arial"/>
                <w:color w:val="5B595A"/>
                <w:sz w:val="20"/>
                <w:szCs w:val="20"/>
              </w:rPr>
              <w:t xml:space="preserve">This is at-risk behaviour. The appropriate response is coaching, not discipline. Ask why the choice seemed reasonable: was it normalised practice, unclear procedure, time pressure, or lack of awareness of the risk?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F2F2F2" w:val="clear"/>
            <w:tcMar>
              <w:top w:type="dxa" w:w="100"/>
              <w:left w:type="dxa" w:w="120"/>
              <w:bottom w:type="dxa" w:w="100"/>
              <w:right w:type="dxa" w:w="120"/>
            </w:tcMar>
            <w:vAlign w:val="center"/>
          </w:tcPr>
          <w:p>
            <w:r>
              <w:rPr>
                <w:rFonts w:ascii="Arial" w:cs="Arial" w:eastAsia="Arial" w:hAnsi="Arial"/>
                <w:b/>
                <w:bCs/>
                <w:color w:val="001E3C"/>
                <w:sz w:val="20"/>
                <w:szCs w:val="20"/>
              </w:rPr>
              <w:t xml:space="preserve">If NO</w:t>
            </w:r>
          </w:p>
        </w:tc>
        <w:tc>
          <w:tcPr>
            <w:tcW w:type="dxa" w:w="6826"/>
            <w:tcBorders>
              <w:top w:val="single" w:color="999999" w:sz="1"/>
              <w:left w:val="single" w:color="999999" w:sz="1"/>
              <w:bottom w:val="single" w:color="999999" w:sz="1"/>
              <w:right w:val="single" w:color="999999" w:sz="1"/>
            </w:tcBorders>
            <w:shd w:fill="FFFFFF" w:val="clear"/>
            <w:tcMar>
              <w:top w:type="dxa" w:w="100"/>
              <w:left w:type="dxa" w:w="140"/>
              <w:bottom w:type="dxa" w:w="100"/>
              <w:right w:type="dxa" w:w="120"/>
            </w:tcMar>
          </w:tcPr>
          <w:p>
            <w:r>
              <w:rPr>
                <w:rFonts w:ascii="Arial" w:cs="Arial" w:eastAsia="Arial" w:hAnsi="Arial"/>
                <w:color w:val="5B595A"/>
                <w:sz w:val="20"/>
                <w:szCs w:val="20"/>
              </w:rPr>
              <w:t xml:space="preserve">Continue to question 4.</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single" w:color="375623" w:sz="1"/>
              <w:left w:val="single" w:color="375623" w:sz="1"/>
              <w:bottom w:val="single" w:color="375623" w:sz="1"/>
              <w:right w:val="single" w:color="375623" w:sz="1"/>
            </w:tcBorders>
            <w:shd w:fill="375623"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4</w:t>
            </w:r>
          </w:p>
        </w:tc>
        <w:tc>
          <w:tcPr>
            <w:tcW w:type="dxa" w:w="8326"/>
            <w:tcBorders>
              <w:top w:val="single" w:color="375623" w:sz="1"/>
              <w:left w:val="single" w:color="375623" w:sz="1"/>
              <w:bottom w:val="single" w:color="375623" w:sz="1"/>
              <w:right w:val="single" w:color="375623" w:sz="1"/>
            </w:tcBorders>
            <w:shd w:fill="D6EEF8" w:val="clear"/>
            <w:tcMar>
              <w:top w:type="dxa" w:w="100"/>
              <w:left w:type="dxa" w:w="160"/>
              <w:bottom w:type="dxa" w:w="100"/>
              <w:right w:type="dxa" w:w="160"/>
            </w:tcMar>
            <w:vAlign w:val="center"/>
          </w:tcPr>
          <w:p>
            <w:r>
              <w:rPr>
                <w:rFonts w:ascii="Arial" w:cs="Arial" w:eastAsia="Arial" w:hAnsi="Arial"/>
                <w:b/>
                <w:bCs/>
                <w:color w:val="001E3C"/>
                <w:sz w:val="22"/>
                <w:szCs w:val="22"/>
              </w:rPr>
              <w:t xml:space="preserve">Was this an unintentional slip, lapse, or mistake, made while the individual was trying to follow the correct process?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EBF7EE" w:val="clear"/>
            <w:tcMar>
              <w:top w:type="dxa" w:w="100"/>
              <w:left w:type="dxa" w:w="120"/>
              <w:bottom w:type="dxa" w:w="100"/>
              <w:right w:type="dxa" w:w="120"/>
            </w:tcMar>
            <w:vAlign w:val="center"/>
          </w:tcPr>
          <w:p>
            <w:r>
              <w:rPr>
                <w:rFonts w:ascii="Arial" w:cs="Arial" w:eastAsia="Arial" w:hAnsi="Arial"/>
                <w:b/>
                <w:bCs/>
                <w:color w:val="001E3C"/>
                <w:sz w:val="20"/>
                <w:szCs w:val="20"/>
              </w:rPr>
              <w:t xml:space="preserve">If YES</w:t>
            </w:r>
          </w:p>
        </w:tc>
        <w:tc>
          <w:tcPr>
            <w:tcW w:type="dxa" w:w="6826"/>
            <w:tcBorders>
              <w:top w:val="single" w:color="999999" w:sz="1"/>
              <w:left w:val="single" w:color="999999" w:sz="1"/>
              <w:bottom w:val="single" w:color="999999" w:sz="1"/>
              <w:right w:val="single" w:color="999999" w:sz="1"/>
            </w:tcBorders>
            <w:shd w:fill="FFFFFF" w:val="clear"/>
            <w:tcMar>
              <w:top w:type="dxa" w:w="100"/>
              <w:left w:type="dxa" w:w="140"/>
              <w:bottom w:type="dxa" w:w="100"/>
              <w:right w:type="dxa" w:w="120"/>
            </w:tcMar>
          </w:tcPr>
          <w:p>
            <w:r>
              <w:rPr>
                <w:rFonts w:ascii="Arial" w:cs="Arial" w:eastAsia="Arial" w:hAnsi="Arial"/>
                <w:color w:val="5B595A"/>
                <w:sz w:val="20"/>
                <w:szCs w:val="20"/>
              </w:rPr>
              <w:t xml:space="preserve">This is honest error. Support the individual, thank them for reporting it if they did so themselves, and focus entirely on the system, procedure, training, or working conditions that may have contributed.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D6EEF8" w:val="clear"/>
            <w:tcMar>
              <w:top w:type="dxa" w:w="100"/>
              <w:left w:type="dxa" w:w="120"/>
              <w:bottom w:type="dxa" w:w="100"/>
              <w:right w:type="dxa" w:w="120"/>
            </w:tcMar>
            <w:vAlign w:val="center"/>
          </w:tcPr>
          <w:p>
            <w:r>
              <w:rPr>
                <w:rFonts w:ascii="Arial" w:cs="Arial" w:eastAsia="Arial" w:hAnsi="Arial"/>
                <w:b/>
                <w:bCs/>
                <w:color w:val="001E3C"/>
                <w:sz w:val="20"/>
                <w:szCs w:val="20"/>
              </w:rPr>
              <w:t xml:space="preserve">If unclear</w:t>
            </w:r>
          </w:p>
        </w:tc>
        <w:tc>
          <w:tcPr>
            <w:tcW w:type="dxa" w:w="6826"/>
            <w:tcBorders>
              <w:top w:val="single" w:color="999999" w:sz="1"/>
              <w:left w:val="single" w:color="999999" w:sz="1"/>
              <w:bottom w:val="single" w:color="999999" w:sz="1"/>
              <w:right w:val="single" w:color="999999" w:sz="1"/>
            </w:tcBorders>
            <w:shd w:fill="FFFFFF" w:val="clear"/>
            <w:tcMar>
              <w:top w:type="dxa" w:w="100"/>
              <w:left w:type="dxa" w:w="140"/>
              <w:bottom w:type="dxa" w:w="100"/>
              <w:right w:type="dxa" w:w="120"/>
            </w:tcMar>
          </w:tcPr>
          <w:p>
            <w:r>
              <w:rPr>
                <w:rFonts w:ascii="Arial" w:cs="Arial" w:eastAsia="Arial" w:hAnsi="Arial"/>
                <w:color w:val="5B595A"/>
                <w:sz w:val="20"/>
                <w:szCs w:val="20"/>
              </w:rPr>
              <w:t xml:space="preserve">If the answer to all four questions is genuinely unclear, do not guess. Escalate to a more senior manager or HR before forming a view, and use the worked examples on the following pages to support your thinking.</w:t>
            </w:r>
          </w:p>
        </w:tc>
      </w:tr>
    </w:tbl>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WORKED EXAMPLES</w:t>
      </w:r>
    </w:p>
    <w:p>
      <w:pPr>
        <w:spacing w:after="80" w:before="80"/>
      </w:pPr>
      <w:r>
        <w:t xml:space="preserve"/>
      </w:r>
    </w:p>
    <w:p>
      <w:pPr>
        <w:spacing w:after="80" w:before="60"/>
      </w:pPr>
      <w:r>
        <w:rPr>
          <w:rFonts w:ascii="Arial" w:cs="Arial" w:eastAsia="Arial" w:hAnsi="Arial"/>
          <w:color w:val="5B595A"/>
          <w:sz w:val="22"/>
          <w:szCs w:val="22"/>
        </w:rPr>
        <w:t xml:space="preserve">These examples illustrate how the decision guide applies in practice. Use them as a reference when working through a real situation, recognising that every case has its own detail and context.</w:t>
      </w:r>
    </w:p>
    <w:p>
      <w:pPr>
        <w:spacing w:after="80" w:before="80"/>
      </w:pPr>
      <w:r>
        <w:t xml:space="preserve"/>
      </w:r>
    </w:p>
    <w:p>
      <w:pPr>
        <w:spacing w:after="60" w:before="180"/>
      </w:pPr>
      <w:r>
        <w:rPr>
          <w:rFonts w:ascii="Arial" w:cs="Arial" w:eastAsia="Arial" w:hAnsi="Arial"/>
          <w:b/>
          <w:bCs/>
          <w:color w:val="83348F"/>
          <w:sz w:val="24"/>
          <w:szCs w:val="24"/>
        </w:rPr>
        <w:t xml:space="preserve">Example 1: Honest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SITUATION</w:t>
            </w:r>
          </w:p>
        </w:tc>
        <w:tc>
          <w:tcPr>
            <w:tcW w:type="dxa" w:w="7626"/>
            <w:tcBorders>
              <w:top w:val="single" w:color="009FE3" w:sz="1"/>
              <w:left w:val="single" w:color="009FE3" w:sz="1"/>
              <w:bottom w:val="single" w:color="009FE3" w:sz="1"/>
              <w:right w:val="single" w:color="009FE3" w:sz="1"/>
            </w:tcBorders>
            <w:shd w:fill="EBF7EE" w:val="clear"/>
            <w:tcMar>
              <w:top w:type="dxa" w:w="100"/>
              <w:left w:type="dxa" w:w="140"/>
              <w:bottom w:type="dxa" w:w="100"/>
              <w:right w:type="dxa" w:w="120"/>
            </w:tcMar>
          </w:tcPr>
          <w:p>
            <w:r>
              <w:rPr>
                <w:rFonts w:ascii="Arial" w:cs="Arial" w:eastAsia="Arial" w:hAnsi="Arial"/>
                <w:color w:val="5B595A"/>
                <w:sz w:val="21"/>
                <w:szCs w:val="21"/>
              </w:rPr>
              <w:t xml:space="preserve">An operator correctly followed the documented procedure for a fastening operation, but the procedure itself contained an outdated torque value due to a recent design change that had not yet been reflected in the paperwork. The fastening did not meet specification as a result.</w:t>
            </w:r>
          </w:p>
        </w:tc>
      </w:tr>
    </w:tbl>
    <w:p>
      <w:pPr>
        <w:spacing w:after="80" w:before="60"/>
      </w:pPr>
      <w:r>
        <w:rPr>
          <w:rFonts w:ascii="Arial" w:cs="Arial" w:eastAsia="Arial" w:hAnsi="Arial"/>
          <w:color w:val="5B595A"/>
          <w:sz w:val="22"/>
          <w:szCs w:val="22"/>
        </w:rPr>
        <w:t xml:space="preserve">Working through the decision guide: there was no intent to deceive, no conscious risk-taking, and the individual was following the process exactly as written. This is honest error, caused by a gap in document control, not by anything the operator did wrong. The appropriate response is to fix the document control process and thank the operator for the report, not to discipline them.</w:t>
      </w:r>
    </w:p>
    <w:p>
      <w:pPr>
        <w:spacing w:after="80" w:before="80"/>
      </w:pPr>
      <w:r>
        <w:t xml:space="preserve"/>
      </w:r>
    </w:p>
    <w:p>
      <w:pPr>
        <w:spacing w:after="60" w:before="180"/>
      </w:pPr>
      <w:r>
        <w:rPr>
          <w:rFonts w:ascii="Arial" w:cs="Arial" w:eastAsia="Arial" w:hAnsi="Arial"/>
          <w:b/>
          <w:bCs/>
          <w:color w:val="83348F"/>
          <w:sz w:val="24"/>
          <w:szCs w:val="24"/>
        </w:rPr>
        <w:t xml:space="preserve">Example 2: At-Risk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SITUATION</w:t>
            </w:r>
          </w:p>
        </w:tc>
        <w:tc>
          <w:tcPr>
            <w:tcW w:type="dxa" w:w="7626"/>
            <w:tcBorders>
              <w:top w:val="single" w:color="009FE3" w:sz="1"/>
              <w:left w:val="single" w:color="009FE3" w:sz="1"/>
              <w:bottom w:val="single" w:color="009FE3" w:sz="1"/>
              <w:right w:val="single" w:color="009FE3" w:sz="1"/>
            </w:tcBorders>
            <w:shd w:fill="FFF4E0" w:val="clear"/>
            <w:tcMar>
              <w:top w:type="dxa" w:w="100"/>
              <w:left w:type="dxa" w:w="140"/>
              <w:bottom w:type="dxa" w:w="100"/>
              <w:right w:type="dxa" w:w="120"/>
            </w:tcMar>
          </w:tcPr>
          <w:p>
            <w:r>
              <w:rPr>
                <w:rFonts w:ascii="Arial" w:cs="Arial" w:eastAsia="Arial" w:hAnsi="Arial"/>
                <w:color w:val="5B595A"/>
                <w:sz w:val="21"/>
                <w:szCs w:val="21"/>
              </w:rPr>
              <w:t xml:space="preserve">A team had developed a habit of completing pre-job briefings verbally without recording them on the standard form, because the form was seen as time-consuming and 'everyone did it this way'. A near miss occurred during a task where a key hazard had not been verbally discussed in the rushed briefing.</w:t>
            </w:r>
          </w:p>
        </w:tc>
      </w:tr>
    </w:tbl>
    <w:p>
      <w:pPr>
        <w:spacing w:after="80" w:before="60"/>
      </w:pPr>
      <w:r>
        <w:rPr>
          <w:rFonts w:ascii="Arial" w:cs="Arial" w:eastAsia="Arial" w:hAnsi="Arial"/>
          <w:color w:val="5B595A"/>
          <w:sz w:val="22"/>
          <w:szCs w:val="22"/>
        </w:rPr>
        <w:t xml:space="preserve">Working through the decision guide: the individuals did not intend harm, and were not consciously taking a substantial known risk. However, skipping the documented briefing was a choice that increased risk, normalised over time by the team. This is at-risk behaviour. The appropriate response is to understand why the form had stopped being used (too slow, poorly designed, not seen as valuable) and to coach the team, not to discipline the individual who happened to be involved when the near miss occurred.</w:t>
      </w:r>
    </w:p>
    <w:p>
      <w:pPr>
        <w:spacing w:after="80" w:before="80"/>
      </w:pPr>
      <w:r>
        <w:t xml:space="preserve"/>
      </w:r>
    </w:p>
    <w:p>
      <w:pPr>
        <w:spacing w:after="60" w:before="180"/>
      </w:pPr>
      <w:r>
        <w:rPr>
          <w:rFonts w:ascii="Arial" w:cs="Arial" w:eastAsia="Arial" w:hAnsi="Arial"/>
          <w:b/>
          <w:bCs/>
          <w:color w:val="83348F"/>
          <w:sz w:val="24"/>
          <w:szCs w:val="24"/>
        </w:rPr>
        <w:t xml:space="preserve">Example 3: Reckless or Deliberate Misconduct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SITUATION</w:t>
            </w:r>
          </w:p>
        </w:tc>
        <w:tc>
          <w:tcPr>
            <w:tcW w:type="dxa" w:w="7626"/>
            <w:tcBorders>
              <w:top w:val="single" w:color="009FE3" w:sz="1"/>
              <w:left w:val="single" w:color="009FE3" w:sz="1"/>
              <w:bottom w:val="single" w:color="009FE3" w:sz="1"/>
              <w:right w:val="single" w:color="009FE3" w:sz="1"/>
            </w:tcBorders>
            <w:shd w:fill="FBE8E8" w:val="clear"/>
            <w:tcMar>
              <w:top w:type="dxa" w:w="100"/>
              <w:left w:type="dxa" w:w="140"/>
              <w:bottom w:type="dxa" w:w="100"/>
              <w:right w:type="dxa" w:w="120"/>
            </w:tcMar>
          </w:tcPr>
          <w:p>
            <w:r>
              <w:rPr>
                <w:rFonts w:ascii="Arial" w:cs="Arial" w:eastAsia="Arial" w:hAnsi="Arial"/>
                <w:color w:val="5B595A"/>
                <w:sz w:val="21"/>
                <w:szCs w:val="21"/>
              </w:rPr>
              <w:t xml:space="preserve">An inspector signed off a quality record confirming a dimensional check had been completed and passed, when in fact the check had not been carried out at all, in order to meet a delivery deadline.</w:t>
            </w:r>
          </w:p>
        </w:tc>
      </w:tr>
    </w:tbl>
    <w:p>
      <w:pPr>
        <w:spacing w:after="80" w:before="60"/>
      </w:pPr>
      <w:r>
        <w:rPr>
          <w:rFonts w:ascii="Arial" w:cs="Arial" w:eastAsia="Arial" w:hAnsi="Arial"/>
          <w:color w:val="5B595A"/>
          <w:sz w:val="22"/>
          <w:szCs w:val="22"/>
        </w:rPr>
        <w:t xml:space="preserve">Working through the decision guide: this involves deliberately falsifying a record, which is the first and most serious question in the guide. This is misconduct, not honest error or at-risk behaviour, regardless of the schedule pressure involved or whether the part would likely have passed inspection anyway. This should go directly to your formal disciplinary process.</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AN INDEPENDENT ROUTE FOR RAISING CONCERNS</w:t>
      </w:r>
    </w:p>
    <w:p>
      <w:pPr>
        <w:spacing w:after="80" w:before="80"/>
      </w:pPr>
      <w:r>
        <w:t xml:space="preserve"/>
      </w:r>
    </w:p>
    <w:p>
      <w:pPr>
        <w:spacing w:after="80" w:before="60"/>
      </w:pPr>
      <w:r>
        <w:rPr>
          <w:rFonts w:ascii="Arial" w:cs="Arial" w:eastAsia="Arial" w:hAnsi="Arial"/>
          <w:color w:val="5B595A"/>
          <w:sz w:val="22"/>
          <w:szCs w:val="22"/>
        </w:rPr>
        <w:t xml:space="preserve">The Raising Concerns trait requires that an alternative route exists for raising safety concerns that sits independently of normal line management, so that anyone uncomfortable raising an issue with their direct manager has another way to be heard.</w:t>
      </w:r>
    </w:p>
    <w:p>
      <w:pPr>
        <w:spacing w:after="80" w:before="80"/>
      </w:pPr>
      <w:r>
        <w:t xml:space="preserve"/>
      </w:r>
    </w:p>
    <w:p>
      <w:pPr>
        <w:spacing w:after="60" w:before="180"/>
      </w:pPr>
      <w:r>
        <w:rPr>
          <w:rFonts w:ascii="Arial" w:cs="Arial" w:eastAsia="Arial" w:hAnsi="Arial"/>
          <w:b/>
          <w:bCs/>
          <w:color w:val="83348F"/>
          <w:sz w:val="24"/>
          <w:szCs w:val="24"/>
        </w:rPr>
        <w:t xml:space="preserve">Minimum Requirements for an Independent Route</w:t>
      </w:r>
    </w:p>
    <w:p>
      <w:pPr>
        <w:pStyle w:val="ListParagraph"/>
        <w:numPr>
          <w:ilvl w:val="0"/>
          <w:numId w:val="2"/>
        </w:numPr>
        <w:spacing w:after="40" w:before="40"/>
      </w:pPr>
      <w:r>
        <w:rPr>
          <w:rFonts w:ascii="Arial" w:cs="Arial" w:eastAsia="Arial" w:hAnsi="Arial"/>
          <w:b w:val="false"/>
          <w:bCs w:val="false"/>
          <w:color w:val="5B595A"/>
          <w:sz w:val="22"/>
          <w:szCs w:val="22"/>
        </w:rPr>
        <w:t xml:space="preserve">A named individual or role outside the immediate line management chain, such as a director, HR lead, or designated safety champion, who can receive concerns directly</w:t>
      </w:r>
    </w:p>
    <w:p>
      <w:pPr>
        <w:pStyle w:val="ListParagraph"/>
        <w:numPr>
          <w:ilvl w:val="0"/>
          <w:numId w:val="2"/>
        </w:numPr>
        <w:spacing w:after="40" w:before="40"/>
      </w:pPr>
      <w:r>
        <w:rPr>
          <w:rFonts w:ascii="Arial" w:cs="Arial" w:eastAsia="Arial" w:hAnsi="Arial"/>
          <w:b w:val="false"/>
          <w:bCs w:val="false"/>
          <w:color w:val="5B595A"/>
          <w:sz w:val="22"/>
          <w:szCs w:val="22"/>
        </w:rPr>
        <w:t xml:space="preserve">The option to raise a concern anonymously if the individual chooses, with a clear explanation of how anonymous concerns will still be investigated and acted upon</w:t>
      </w:r>
    </w:p>
    <w:p>
      <w:pPr>
        <w:pStyle w:val="ListParagraph"/>
        <w:numPr>
          <w:ilvl w:val="0"/>
          <w:numId w:val="2"/>
        </w:numPr>
        <w:spacing w:after="40" w:before="40"/>
      </w:pPr>
      <w:r>
        <w:rPr>
          <w:rFonts w:ascii="Arial" w:cs="Arial" w:eastAsia="Arial" w:hAnsi="Arial"/>
          <w:b w:val="false"/>
          <w:bCs w:val="false"/>
          <w:color w:val="5B595A"/>
          <w:sz w:val="22"/>
          <w:szCs w:val="22"/>
        </w:rPr>
        <w:t xml:space="preserve">A commitment that no one raising a concern in good faith will face retaliation, intimidation, or career disadvantage as a result, regardless of whether the concern turns out to be substantiated</w:t>
      </w:r>
    </w:p>
    <w:p>
      <w:pPr>
        <w:pStyle w:val="ListParagraph"/>
        <w:numPr>
          <w:ilvl w:val="0"/>
          <w:numId w:val="2"/>
        </w:numPr>
        <w:spacing w:after="40" w:before="40"/>
      </w:pPr>
      <w:r>
        <w:rPr>
          <w:rFonts w:ascii="Arial" w:cs="Arial" w:eastAsia="Arial" w:hAnsi="Arial"/>
          <w:b w:val="false"/>
          <w:bCs w:val="false"/>
          <w:color w:val="5B595A"/>
          <w:sz w:val="22"/>
          <w:szCs w:val="22"/>
        </w:rPr>
        <w:t xml:space="preserve">A defined timescale for acknowledging a concern and providing feedback on the outcome, even where full details cannot be shared for confidentiality reasons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PRACTICAL SETUP</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For most small and medium-sized supply chain companies, this does not need to be complex. A named director with a direct phone number or email, clearly communicated to all staff working on nuclear contracts, combined with a genuine non-retaliation commitment, meets the intent of this trait. What matters is that staff trust the route exists and will be used fairly, not the sophistication of the system.</w:t>
            </w:r>
          </w:p>
        </w:tc>
      </w:tr>
    </w:tbl>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MANAGER QUICK REFERENCE</w:t>
      </w:r>
    </w:p>
    <w:p>
      <w:pPr>
        <w:spacing w:after="80" w:before="80"/>
      </w:pPr>
      <w:r>
        <w:t xml:space="preserve"/>
      </w:r>
    </w:p>
    <w:p>
      <w:pPr>
        <w:spacing w:after="80" w:before="60"/>
      </w:pPr>
      <w:r>
        <w:rPr>
          <w:rFonts w:ascii="Arial" w:cs="Arial" w:eastAsia="Arial" w:hAnsi="Arial"/>
          <w:color w:val="5B595A"/>
          <w:sz w:val="22"/>
          <w:szCs w:val="22"/>
        </w:rPr>
        <w:t xml:space="preserve">Keep this page accessible for any manager who may need to respond to a reported error, near miss, or concern.</w:t>
      </w:r>
    </w:p>
    <w:p>
      <w:pPr>
        <w:spacing w:after="80" w:before="80"/>
      </w:pPr>
      <w:r>
        <w:t xml:space="preserve"/>
      </w:r>
    </w:p>
    <w:p>
      <w:pPr>
        <w:spacing w:after="60" w:before="180"/>
      </w:pPr>
      <w:r>
        <w:rPr>
          <w:rFonts w:ascii="Arial" w:cs="Arial" w:eastAsia="Arial" w:hAnsi="Arial"/>
          <w:b/>
          <w:bCs/>
          <w:color w:val="83348F"/>
          <w:sz w:val="24"/>
          <w:szCs w:val="24"/>
        </w:rPr>
        <w:t xml:space="preserve">Immediate Steps When Something Goes Wrong</w:t>
      </w:r>
    </w:p>
    <w:p>
      <w:pPr>
        <w:pStyle w:val="ListParagraph"/>
        <w:numPr>
          <w:ilvl w:val="0"/>
          <w:numId w:val="2"/>
        </w:numPr>
        <w:spacing w:after="40" w:before="40"/>
      </w:pPr>
      <w:r>
        <w:rPr>
          <w:rFonts w:ascii="Arial" w:cs="Arial" w:eastAsia="Arial" w:hAnsi="Arial"/>
          <w:b w:val="false"/>
          <w:bCs w:val="false"/>
          <w:color w:val="5B595A"/>
          <w:sz w:val="22"/>
          <w:szCs w:val="22"/>
        </w:rPr>
        <w:t xml:space="preserve">Make the immediate situation safe first. Containment comes before investigation.</w:t>
      </w:r>
    </w:p>
    <w:p>
      <w:pPr>
        <w:pStyle w:val="ListParagraph"/>
        <w:numPr>
          <w:ilvl w:val="0"/>
          <w:numId w:val="2"/>
        </w:numPr>
        <w:spacing w:after="40" w:before="40"/>
      </w:pPr>
      <w:r>
        <w:rPr>
          <w:rFonts w:ascii="Arial" w:cs="Arial" w:eastAsia="Arial" w:hAnsi="Arial"/>
          <w:b w:val="false"/>
          <w:bCs w:val="false"/>
          <w:color w:val="5B595A"/>
          <w:sz w:val="22"/>
          <w:szCs w:val="22"/>
        </w:rPr>
        <w:t xml:space="preserve">Thank the individual for reporting it, even if you are still working out what happened. The act of reporting should never feel like a mistake in itself.</w:t>
      </w:r>
    </w:p>
    <w:p>
      <w:pPr>
        <w:pStyle w:val="ListParagraph"/>
        <w:numPr>
          <w:ilvl w:val="0"/>
          <w:numId w:val="2"/>
        </w:numPr>
        <w:spacing w:after="40" w:before="40"/>
      </w:pPr>
      <w:r>
        <w:rPr>
          <w:rFonts w:ascii="Arial" w:cs="Arial" w:eastAsia="Arial" w:hAnsi="Arial"/>
          <w:b w:val="false"/>
          <w:bCs w:val="false"/>
          <w:color w:val="5B595A"/>
          <w:sz w:val="22"/>
          <w:szCs w:val="22"/>
        </w:rPr>
        <w:t xml:space="preserve">Gather the facts before forming a judgement. Do not decide the category before you understand what happened.</w:t>
      </w:r>
    </w:p>
    <w:p>
      <w:pPr>
        <w:pStyle w:val="ListParagraph"/>
        <w:numPr>
          <w:ilvl w:val="0"/>
          <w:numId w:val="2"/>
        </w:numPr>
        <w:spacing w:after="40" w:before="40"/>
      </w:pPr>
      <w:r>
        <w:rPr>
          <w:rFonts w:ascii="Arial" w:cs="Arial" w:eastAsia="Arial" w:hAnsi="Arial"/>
          <w:b w:val="false"/>
          <w:bCs w:val="false"/>
          <w:color w:val="5B595A"/>
          <w:sz w:val="22"/>
          <w:szCs w:val="22"/>
        </w:rPr>
        <w:t xml:space="preserve">Work through the four decision guide questions in order, in writing if the situation is significant</w:t>
      </w:r>
    </w:p>
    <w:p>
      <w:pPr>
        <w:pStyle w:val="ListParagraph"/>
        <w:numPr>
          <w:ilvl w:val="0"/>
          <w:numId w:val="2"/>
        </w:numPr>
        <w:spacing w:after="40" w:before="40"/>
      </w:pPr>
      <w:r>
        <w:rPr>
          <w:rFonts w:ascii="Arial" w:cs="Arial" w:eastAsia="Arial" w:hAnsi="Arial"/>
          <w:b w:val="false"/>
          <w:bCs w:val="false"/>
          <w:color w:val="5B595A"/>
          <w:sz w:val="22"/>
          <w:szCs w:val="22"/>
        </w:rPr>
        <w:t xml:space="preserve">If genuinely unclear after working through the questions, escalate before deciding. Do not guess on a borderline case.</w:t>
      </w:r>
    </w:p>
    <w:p>
      <w:pPr>
        <w:pStyle w:val="ListParagraph"/>
        <w:numPr>
          <w:ilvl w:val="0"/>
          <w:numId w:val="2"/>
        </w:numPr>
        <w:spacing w:after="40" w:before="40"/>
      </w:pPr>
      <w:r>
        <w:rPr>
          <w:rFonts w:ascii="Arial" w:cs="Arial" w:eastAsia="Arial" w:hAnsi="Arial"/>
          <w:b w:val="false"/>
          <w:bCs w:val="false"/>
          <w:color w:val="5B595A"/>
          <w:sz w:val="22"/>
          <w:szCs w:val="22"/>
        </w:rPr>
        <w:t xml:space="preserve">Log the item in the Near Miss and OPEX Log (NSS-02d), including the category reached and the rationale</w:t>
      </w:r>
    </w:p>
    <w:p>
      <w:pPr>
        <w:pStyle w:val="ListParagraph"/>
        <w:numPr>
          <w:ilvl w:val="0"/>
          <w:numId w:val="2"/>
        </w:numPr>
        <w:spacing w:after="40" w:before="40"/>
      </w:pPr>
      <w:r>
        <w:rPr>
          <w:rFonts w:ascii="Arial" w:cs="Arial" w:eastAsia="Arial" w:hAnsi="Arial"/>
          <w:b w:val="false"/>
          <w:bCs w:val="false"/>
          <w:color w:val="5B595A"/>
          <w:sz w:val="22"/>
          <w:szCs w:val="22"/>
        </w:rPr>
        <w:t xml:space="preserve">Close the loop. Make sure the individual involved, and ideally the wider team, sees that something changed as a result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 FINAL REMINDER</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The goal of a just culture is not to avoid all consequences. It is to make sure consequences land on the right thing: the system and conditions that allow honest error and at-risk behaviour to occur, and genuinely reckless or deliberate conduct where it exists. Getting this balance right, consistently, is what builds the trust that makes people willing to report problems before they become serious.</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0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0"/>
                <w:szCs w:val="20"/>
              </w:rPr>
              <w:t xml:space="preserve">Date / 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Rev 1.0</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Initial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Rev 1.1</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Rev 1.2</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B595A"/>
                <w:sz w:val="19"/>
                <w:szCs w:val="19"/>
              </w:rPr>
              <w:t xml:space="preserve"/>
            </w:r>
          </w:p>
        </w:tc>
      </w:tr>
    </w:tbl>
    <w:sectPr>
      <w:headerReference w:type="default" r:id="rId7"/>
      <w:footerReference w:type="default" r:id="rId8"/>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FE3" w:sz="4" w:space="2"/>
      </w:pBdr>
      <w:tabs>
        <w:tab w:val="right" w:pos="9026"/>
      </w:tabs>
    </w:pPr>
    <w:r>
      <w:rPr>
        <w:rFonts w:ascii="Arial" w:cs="Arial" w:eastAsia="Arial" w:hAnsi="Arial"/>
        <w:color w:val="5B595A"/>
        <w:sz w:val="16"/>
        <w:szCs w:val="16"/>
      </w:rPr>
      <w:t xml:space="preserve">Commercial in Confidence  |  Uncontrolled when printed</w:t>
    </w:r>
    <w:r>
      <w:rPr>
        <w:rFonts w:ascii="Arial" w:cs="Arial" w:eastAsia="Arial" w:hAnsi="Arial"/>
        <w:sz w:val="16"/>
        <w:szCs w:val="16"/>
      </w:rPr>
      <w:t xml:space="preserve">	</w:t>
    </w:r>
    <w:r>
      <w:rPr>
        <w:rFonts w:ascii="Arial" w:cs="Arial" w:eastAsia="Arial" w:hAnsi="Arial"/>
        <w:color w:val="5B595A"/>
        <w:sz w:val="16"/>
        <w:szCs w:val="16"/>
      </w:rPr>
      <w:t xml:space="preserve">NSS-02e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FE3" w:sz="4" w:space="2"/>
      </w:pBdr>
      <w:tabs>
        <w:tab w:val="right" w:pos="9026"/>
      </w:tabs>
    </w:pPr>
    <w:r>
      <w:rPr>
        <w:rFonts w:ascii="Arial" w:cs="Arial" w:eastAsia="Arial" w:hAnsi="Arial"/>
        <w:color w:val="5B595A"/>
        <w:sz w:val="18"/>
        <w:szCs w:val="18"/>
      </w:rPr>
      <w:t xml:space="preserve">Just Culture Framework and Decision Guide</w:t>
    </w:r>
    <w:r>
      <w:rPr>
        <w:rFonts w:ascii="Arial" w:cs="Arial" w:eastAsia="Arial" w:hAnsi="Arial"/>
        <w:sz w:val="18"/>
        <w:szCs w:val="18"/>
      </w:rPr>
      <w:t xml:space="preserve">	</w:t>
    </w:r>
    <w:r>
      <w:drawing>
        <wp:inline distT="0" distB="0" distL="0" distR="0">
          <wp:extent cx="6096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40957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1E3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09FE3"/>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90602d65f38789c43b873e1f7eec962748cd1fc.jp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0" Type="http://schemas.openxmlformats.org/officeDocument/2006/relationships/image" Target="media/ac12153cde4db10b7bdab657433563c4718979a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90D01A-5589-4C96-A9B7-B32D5429D2F3}"/>
</file>

<file path=customXml/itemProps2.xml><?xml version="1.0" encoding="utf-8"?>
<ds:datastoreItem xmlns:ds="http://schemas.openxmlformats.org/officeDocument/2006/customXml" ds:itemID="{61FF41A9-3A97-48DC-8626-92FD9E9BE1F3}"/>
</file>

<file path=customXml/itemProps3.xml><?xml version="1.0" encoding="utf-8"?>
<ds:datastoreItem xmlns:ds="http://schemas.openxmlformats.org/officeDocument/2006/customXml" ds:itemID="{87234EA4-5749-4DC0-9142-FCF73C3C070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NSS-02e Just Culture Framework Decision Guide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