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header2.xml" ContentType="application/vnd.openxmlformats-officedocument.wordprocessingml.header+xml"/>
  <Override PartName="/word/footer2.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01E3C" w:val="clear"/>
        <w:spacing w:after="0" w:before="0"/>
      </w:pPr>
      <w:r>
        <w:rPr>
          <w:rFonts w:ascii="Arial" w:cs="Arial" w:eastAsia="Arial" w:hAnsi="Arial"/>
          <w:sz w:val="8"/>
          <w:szCs w:val="8"/>
        </w:rPr>
        <w:t xml:space="preserve"> </w:t>
      </w:r>
    </w:p>
    <w:p>
      <w:pPr>
        <w:spacing w:after="80" w:before="80"/>
      </w:pPr>
      <w:r>
        <w:t xml:space="preserve"/>
      </w:r>
    </w:p>
    <w:p>
      <w:pPr>
        <w:spacing w:after="80" w:before="80"/>
      </w:pPr>
      <w:r>
        <w:t xml:space="preserve"/>
      </w:r>
    </w:p>
    <w:p>
      <w:pPr>
        <w:spacing w:after="200" w:before="400"/>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0" cy="1143000"/>
                    </a:xfrm>
                    <a:prstGeom prst="rect">
                      <a:avLst/>
                    </a:prstGeom>
                  </pic:spPr>
                </pic:pic>
              </a:graphicData>
            </a:graphic>
          </wp:inline>
        </w:drawing>
      </w:r>
    </w:p>
    <w:p>
      <w:pPr>
        <w:shd w:fill="009FE3" w:val="clear"/>
        <w:spacing w:after="0" w:before="600"/>
        <w:jc w:val="center"/>
      </w:pPr>
      <w:r>
        <w:rPr>
          <w:rFonts w:ascii="Arial" w:cs="Arial" w:eastAsia="Arial" w:hAnsi="Arial"/>
          <w:b/>
          <w:bCs/>
          <w:color w:val="FFFFFF"/>
          <w:sz w:val="44"/>
          <w:szCs w:val="44"/>
        </w:rPr>
        <w:t xml:space="preserve">INTRODUCTION TO ISO 19443</w:t>
      </w:r>
    </w:p>
    <w:p>
      <w:pPr>
        <w:shd w:fill="009FE3" w:val="clear"/>
        <w:spacing w:after="0" w:before="0"/>
        <w:jc w:val="center"/>
      </w:pPr>
      <w:r>
        <w:rPr>
          <w:rFonts w:ascii="Arial" w:cs="Arial" w:eastAsia="Arial" w:hAnsi="Arial"/>
          <w:b/>
          <w:bCs/>
          <w:color w:val="FFFFFF"/>
          <w:sz w:val="36"/>
          <w:szCs w:val="36"/>
        </w:rPr>
        <w:t xml:space="preserve">AND NUCLEAR QUALITY STANDARDS</w:t>
      </w:r>
    </w:p>
    <w:p>
      <w:pPr>
        <w:shd w:fill="83348F" w:val="clear"/>
        <w:spacing w:after="0" w:before="0"/>
        <w:jc w:val="center"/>
      </w:pPr>
      <w:r>
        <w:rPr>
          <w:rFonts w:ascii="Arial" w:cs="Arial" w:eastAsia="Arial" w:hAnsi="Arial"/>
          <w:b/>
          <w:bCs/>
          <w:color w:val="FFFFFF"/>
          <w:sz w:val="30"/>
          <w:szCs w:val="30"/>
        </w:rPr>
        <w:t xml:space="preserve">Training Guide</w:t>
      </w:r>
    </w:p>
    <w:p>
      <w:pPr>
        <w:spacing w:after="80" w:before="80"/>
      </w:pPr>
      <w:r>
        <w:t xml:space="preserve"/>
      </w:r>
    </w:p>
    <w:p>
      <w:pPr>
        <w:spacing w:after="80" w:before="80"/>
      </w:pPr>
      <w:r>
        <w:t xml:space="preserve"/>
      </w:r>
    </w:p>
    <w:p>
      <w:pPr>
        <w:spacing w:after="80" w:before="400"/>
        <w:jc w:val="center"/>
      </w:pPr>
      <w:r>
        <w:rPr>
          <w:rFonts w:ascii="Arial" w:cs="Arial" w:eastAsia="Arial" w:hAnsi="Arial"/>
          <w:b/>
          <w:bCs/>
          <w:color w:val="5B595A"/>
          <w:sz w:val="24"/>
          <w:szCs w:val="24"/>
        </w:rPr>
        <w:t xml:space="preserve">NSS-03a</w:t>
      </w:r>
    </w:p>
    <w:p>
      <w:pPr>
        <w:spacing w:after="80" w:before="0"/>
        <w:jc w:val="center"/>
      </w:pPr>
      <w:r>
        <w:rPr>
          <w:rFonts w:ascii="Arial" w:cs="Arial" w:eastAsia="Arial" w:hAnsi="Arial"/>
          <w:color w:val="5B595A"/>
          <w:sz w:val="22"/>
          <w:szCs w:val="22"/>
        </w:rPr>
        <w:t xml:space="preserve">Nuclear Sector Specific Programme</w:t>
      </w:r>
    </w:p>
    <w:p>
      <w:pPr>
        <w:spacing w:after="80" w:before="0"/>
        <w:jc w:val="center"/>
      </w:pPr>
      <w:r>
        <w:rPr>
          <w:rFonts w:ascii="Arial" w:cs="Arial" w:eastAsia="Arial" w:hAnsi="Arial"/>
          <w:b/>
          <w:bCs/>
          <w:color w:val="009FE3"/>
          <w:sz w:val="22"/>
          <w:szCs w:val="22"/>
        </w:rPr>
        <w:t xml:space="preserve">Delivered by NucCol</w:t>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hd w:fill="001E3C" w:val="clear"/>
        <w:spacing w:after="0" w:before="0"/>
        <w:jc w:val="center"/>
      </w:pPr>
      <w:r>
        <w:rPr>
          <w:rFonts w:ascii="Arial" w:cs="Arial" w:eastAsia="Arial" w:hAnsi="Arial"/>
          <w:color w:val="FFFFFF"/>
          <w:sz w:val="18"/>
          <w:szCs w:val="18"/>
        </w:rPr>
        <w:t xml:space="preserve">www.nuccol.co.uk  |  Commercial in Confidence</w:t>
      </w:r>
    </w:p>
    <w:p>
      <w:r>
        <w:br w:type="page"/>
      </w:r>
    </w:p>
    <w:p>
      <w:pPr>
        <w:sectPr>
          <w:headerReference w:type="default" r:id="rId11"/>
          <w:footerReference w:type="default" r:id="rId12"/>
          <w:pgSz w:w="11906" w:h="16838" w:orient="portrait"/>
          <w:pgMar w:top="720" w:right="1080" w:bottom="720" w:left="1080" w:header="283" w:footer="283" w:gutter="0"/>
          <w:pgNumType/>
          <w:docGrid w:linePitch="360"/>
        </w:sectPr>
      </w:pPr>
    </w:p>
    <w:p>
      <w:pPr>
        <w:pStyle w:val="Heading1"/>
        <w:spacing w:after="120" w:before="320"/>
      </w:pPr>
      <w:r>
        <w:rPr>
          <w:rFonts w:ascii="Arial" w:cs="Arial" w:eastAsia="Arial" w:hAnsi="Arial"/>
          <w:b/>
          <w:bCs/>
          <w:color w:val="29ABE2"/>
          <w:sz w:val="36"/>
          <w:szCs w:val="36"/>
        </w:rPr>
        <w:t xml:space="preserve">Introduction</w:t>
      </w:r>
    </w:p>
    <w:p>
      <w:pPr>
        <w:spacing w:after="80" w:before="60"/>
      </w:pPr>
      <w:r>
        <w:rPr>
          <w:rFonts w:ascii="Arial" w:cs="Arial" w:eastAsia="Arial" w:hAnsi="Arial"/>
          <w:color w:val="5B595A"/>
          <w:sz w:val="22"/>
          <w:szCs w:val="22"/>
        </w:rPr>
        <w:t xml:space="preserve">This training guide provides a comprehensive introduction to ISO 19443, the nuclear sector-specific quality management standard, and explains how it relates to ISO 9001 and other quality standards relevant to the nuclear supply chain. It is intended for quality managers, operations leaders, and senior staff in organisations that are working in, or preparing to enter, the nuclear supply chain.</w:t>
      </w:r>
    </w:p>
    <w:p>
      <w:pPr>
        <w:spacing w:after="80" w:before="60"/>
      </w:pPr>
      <w:r>
        <w:rPr>
          <w:rFonts w:ascii="Arial" w:cs="Arial" w:eastAsia="Arial" w:hAnsi="Arial"/>
          <w:color w:val="5B595A"/>
          <w:sz w:val="22"/>
          <w:szCs w:val="22"/>
        </w:rPr>
        <w:t xml:space="preserve">ISO 19443 is the internationally recognised quality management standard for organisations supplying Products and Services Important to Nuclear Safety (ITNS). It builds directly on ISO 9001:2015 by adding nuclear-specific requirements that reflect the particular demands of the nuclear sector. Understanding and applying these additional requirements is a core expectation of nuclear clients and the F4N Nuclear Sector Specific assessment.</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009FE3" w:sz="1"/>
              <w:left w:val="single" w:color="009FE3" w:sz="1"/>
              <w:bottom w:val="single" w:color="009FE3" w:sz="1"/>
              <w:right w:val="single" w:color="009FE3" w:sz="1"/>
            </w:tcBorders>
            <w:shd w:fill="009FE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HOW TO USE THIS GUIDE</w:t>
            </w:r>
          </w:p>
        </w:tc>
        <w:tc>
          <w:tcPr>
            <w:tcW w:type="dxa" w:w="7626"/>
            <w:tcBorders>
              <w:top w:val="single" w:color="009FE3" w:sz="1"/>
              <w:left w:val="single" w:color="009FE3" w:sz="1"/>
              <w:bottom w:val="single" w:color="009FE3" w:sz="1"/>
              <w:right w:val="single" w:color="009FE3" w:sz="1"/>
            </w:tcBorders>
            <w:shd w:fill="D6EEF8" w:val="clear"/>
            <w:tcMar>
              <w:top w:type="dxa" w:w="100"/>
              <w:left w:type="dxa" w:w="140"/>
              <w:bottom w:type="dxa" w:w="100"/>
              <w:right w:type="dxa" w:w="120"/>
            </w:tcMar>
          </w:tcPr>
          <w:p>
            <w:r>
              <w:rPr>
                <w:rFonts w:ascii="Arial" w:cs="Arial" w:eastAsia="Arial" w:hAnsi="Arial"/>
                <w:color w:val="5B595A"/>
                <w:sz w:val="21"/>
                <w:szCs w:val="21"/>
              </w:rPr>
              <w:t xml:space="preserve">This guide is designed for use in structured training sessions and as an ongoing reference for quality management staff. Sections 1 to 3 provide contextual understanding. Sections 4 to 8 go through each cluster of additional ISO 19443 requirements in practical terms. Use the ISO 19443 Gap Analysis Tool (NSS-03b) alongside this guide to assess your current position against the standard.</w:t>
            </w:r>
          </w:p>
        </w:tc>
      </w:tr>
    </w:tbl>
    <w:p>
      <w:pPr>
        <w:spacing w:after="80" w:before="80"/>
      </w:pPr>
      <w:r>
        <w:t xml:space="preserve"/>
      </w:r>
    </w:p>
    <w:p>
      <w:pPr>
        <w:pStyle w:val="Heading2"/>
        <w:pBdr>
          <w:bottom w:val="single" w:color="009FE3" w:sz="4" w:space="1"/>
        </w:pBdr>
        <w:spacing w:after="80" w:before="240"/>
      </w:pPr>
      <w:r>
        <w:rPr>
          <w:rFonts w:ascii="Arial" w:cs="Arial" w:eastAsia="Arial" w:hAnsi="Arial"/>
          <w:b/>
          <w:bCs/>
          <w:color w:val="7B2D8B"/>
          <w:sz w:val="28"/>
          <w:szCs w:val="28"/>
        </w:rPr>
        <w:t xml:space="preserve">Learning Outcomes</w:t>
      </w:r>
    </w:p>
    <w:p>
      <w:pPr>
        <w:spacing w:after="80" w:before="60"/>
      </w:pPr>
      <w:r>
        <w:rPr>
          <w:rFonts w:ascii="Arial" w:cs="Arial" w:eastAsia="Arial" w:hAnsi="Arial"/>
          <w:color w:val="5B595A"/>
          <w:sz w:val="22"/>
          <w:szCs w:val="22"/>
        </w:rPr>
        <w:t xml:space="preserve">By the end of this session, participants will be able to:</w:t>
      </w:r>
    </w:p>
    <w:p>
      <w:pPr>
        <w:pStyle w:val="ListParagraph"/>
        <w:numPr>
          <w:ilvl w:val="0"/>
          <w:numId w:val="2"/>
        </w:numPr>
        <w:spacing w:after="40" w:before="40"/>
      </w:pPr>
      <w:r>
        <w:rPr>
          <w:rFonts w:ascii="Arial" w:cs="Arial" w:eastAsia="Arial" w:hAnsi="Arial"/>
          <w:b w:val="false"/>
          <w:bCs w:val="false"/>
          <w:color w:val="5B595A"/>
          <w:sz w:val="22"/>
          <w:szCs w:val="22"/>
        </w:rPr>
        <w:t xml:space="preserve">Explain the relationship between ISO 9001 and ISO 19443 and why the additional requirements exist</w:t>
      </w:r>
    </w:p>
    <w:p>
      <w:pPr>
        <w:pStyle w:val="ListParagraph"/>
        <w:numPr>
          <w:ilvl w:val="0"/>
          <w:numId w:val="2"/>
        </w:numPr>
        <w:spacing w:after="40" w:before="40"/>
      </w:pPr>
      <w:r>
        <w:rPr>
          <w:rFonts w:ascii="Arial" w:cs="Arial" w:eastAsia="Arial" w:hAnsi="Arial"/>
          <w:b w:val="false"/>
          <w:bCs w:val="false"/>
          <w:color w:val="5B595A"/>
          <w:sz w:val="22"/>
          <w:szCs w:val="22"/>
        </w:rPr>
        <w:t xml:space="preserve">Describe the concept of Products and Services Important to Nuclear Safety and its implications for quality management</w:t>
      </w:r>
    </w:p>
    <w:p>
      <w:pPr>
        <w:pStyle w:val="ListParagraph"/>
        <w:numPr>
          <w:ilvl w:val="0"/>
          <w:numId w:val="2"/>
        </w:numPr>
        <w:spacing w:after="40" w:before="40"/>
      </w:pPr>
      <w:r>
        <w:rPr>
          <w:rFonts w:ascii="Arial" w:cs="Arial" w:eastAsia="Arial" w:hAnsi="Arial"/>
          <w:b w:val="false"/>
          <w:bCs w:val="false"/>
          <w:color w:val="5B595A"/>
          <w:sz w:val="22"/>
          <w:szCs w:val="22"/>
        </w:rPr>
        <w:t xml:space="preserve">Explain the nuclear quality grading approach and what it means for how quality controls are applied</w:t>
      </w:r>
    </w:p>
    <w:p>
      <w:pPr>
        <w:pStyle w:val="ListParagraph"/>
        <w:numPr>
          <w:ilvl w:val="0"/>
          <w:numId w:val="2"/>
        </w:numPr>
        <w:spacing w:after="40" w:before="40"/>
      </w:pPr>
      <w:r>
        <w:rPr>
          <w:rFonts w:ascii="Arial" w:cs="Arial" w:eastAsia="Arial" w:hAnsi="Arial"/>
          <w:b w:val="false"/>
          <w:bCs w:val="false"/>
          <w:color w:val="5B595A"/>
          <w:sz w:val="22"/>
          <w:szCs w:val="22"/>
        </w:rPr>
        <w:t xml:space="preserve">Describe the key additional ISO 19443 requirements including SQEP, nuclear quality culture, enhanced traceability, and lifetime records</w:t>
      </w:r>
    </w:p>
    <w:p>
      <w:pPr>
        <w:pStyle w:val="ListParagraph"/>
        <w:numPr>
          <w:ilvl w:val="0"/>
          <w:numId w:val="2"/>
        </w:numPr>
        <w:spacing w:after="40" w:before="40"/>
      </w:pPr>
      <w:r>
        <w:rPr>
          <w:rFonts w:ascii="Arial" w:cs="Arial" w:eastAsia="Arial" w:hAnsi="Arial"/>
          <w:b w:val="false"/>
          <w:bCs w:val="false"/>
          <w:color w:val="5B595A"/>
          <w:sz w:val="22"/>
          <w:szCs w:val="22"/>
        </w:rPr>
        <w:t xml:space="preserve">Identify the gaps between a typical ISO 9001 QMS and full ISO 19443 compliance, and describe the steps to close them</w:t>
      </w:r>
    </w:p>
    <w:p>
      <w:pPr>
        <w:spacing w:after="80" w:before="80"/>
      </w:pPr>
      <w:r>
        <w:t xml:space="preserve"/>
      </w:r>
    </w:p>
    <w:p>
      <w:r>
        <w:br w:type="page"/>
      </w:r>
    </w:p>
    <w:p>
      <w:pPr>
        <w:shd w:fill="001E3C" w:val="clear"/>
        <w:spacing w:after="80" w:before="240"/>
        <w:ind w:left="120" w:right="120"/>
      </w:pPr>
      <w:r>
        <w:rPr>
          <w:rFonts w:ascii="Arial" w:cs="Arial" w:eastAsia="Arial" w:hAnsi="Arial"/>
          <w:b/>
          <w:bCs/>
          <w:color w:val="FFFFFF"/>
          <w:sz w:val="26"/>
          <w:szCs w:val="26"/>
        </w:rPr>
        <w:t xml:space="preserve">SECTION 1: THE NUCLEAR QUALITY STANDARDS LANDSCAPE</w:t>
      </w:r>
    </w:p>
    <w:p>
      <w:pPr>
        <w:spacing w:after="80" w:before="80"/>
      </w:pPr>
      <w:r>
        <w:t xml:space="preserve"/>
      </w:r>
    </w:p>
    <w:p>
      <w:pPr>
        <w:pStyle w:val="Heading2"/>
        <w:pBdr>
          <w:bottom w:val="single" w:color="009FE3" w:sz="4" w:space="1"/>
        </w:pBdr>
        <w:spacing w:after="80" w:before="240"/>
      </w:pPr>
      <w:r>
        <w:rPr>
          <w:rFonts w:ascii="Arial" w:cs="Arial" w:eastAsia="Arial" w:hAnsi="Arial"/>
          <w:b/>
          <w:bCs/>
          <w:color w:val="7B2D8B"/>
          <w:sz w:val="28"/>
          <w:szCs w:val="28"/>
        </w:rPr>
        <w:t xml:space="preserve">1.1 The Quality Management Hierarchy</w:t>
      </w:r>
    </w:p>
    <w:p>
      <w:pPr>
        <w:spacing w:after="80" w:before="60"/>
      </w:pPr>
      <w:r>
        <w:rPr>
          <w:rFonts w:ascii="Arial" w:cs="Arial" w:eastAsia="Arial" w:hAnsi="Arial"/>
          <w:color w:val="5B595A"/>
          <w:sz w:val="22"/>
          <w:szCs w:val="22"/>
        </w:rPr>
        <w:t xml:space="preserve">Nuclear quality management sits within a hierarchy of standards and codes. Understanding where ISO 19443 fits within this hierarchy is essential for navigating client requirements and regulatory expectations.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426"/>
      </w:tblGrid>
      <w:tr>
        <w:trPr>
          <w:tblHeader/>
        </w:trPr>
        <w:tc>
          <w:tcPr>
            <w:tcW w:type="dxa" w:w="1800"/>
            <w:tcBorders>
              <w:top w:val="single" w:color="009FE3" w:sz="1"/>
              <w:left w:val="single" w:color="009FE3" w:sz="1"/>
              <w:bottom w:val="single" w:color="009FE3" w:sz="1"/>
              <w:right w:val="single" w:color="009FE3" w:sz="1"/>
            </w:tcBorders>
            <w:shd w:fill="001E3C" w:val="clear"/>
            <w:tcMar>
              <w:top w:type="dxa" w:w="80"/>
              <w:left w:type="dxa" w:w="120"/>
              <w:bottom w:type="dxa" w:w="80"/>
              <w:right w:type="dxa" w:w="120"/>
            </w:tcMar>
          </w:tcPr>
          <w:p>
            <w:r>
              <w:rPr>
                <w:rFonts w:ascii="Arial" w:cs="Arial" w:eastAsia="Arial" w:hAnsi="Arial"/>
                <w:b/>
                <w:bCs/>
                <w:color w:val="FFFFFF"/>
                <w:sz w:val="20"/>
                <w:szCs w:val="20"/>
              </w:rPr>
              <w:t xml:space="preserve">Standard</w:t>
            </w:r>
          </w:p>
        </w:tc>
        <w:tc>
          <w:tcPr>
            <w:tcW w:type="dxa" w:w="2800"/>
            <w:tcBorders>
              <w:top w:val="single" w:color="009FE3" w:sz="1"/>
              <w:left w:val="single" w:color="009FE3" w:sz="1"/>
              <w:bottom w:val="single" w:color="009FE3" w:sz="1"/>
              <w:right w:val="single" w:color="009FE3" w:sz="1"/>
            </w:tcBorders>
            <w:shd w:fill="001E3C"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4426"/>
            <w:tcBorders>
              <w:top w:val="single" w:color="009FE3" w:sz="1"/>
              <w:left w:val="single" w:color="009FE3" w:sz="1"/>
              <w:bottom w:val="single" w:color="009FE3" w:sz="1"/>
              <w:right w:val="single" w:color="009FE3" w:sz="1"/>
            </w:tcBorders>
            <w:shd w:fill="001E3C" w:val="clear"/>
            <w:tcMar>
              <w:top w:type="dxa" w:w="80"/>
              <w:left w:type="dxa" w:w="120"/>
              <w:bottom w:type="dxa" w:w="80"/>
              <w:right w:type="dxa" w:w="120"/>
            </w:tcMar>
          </w:tcPr>
          <w:p>
            <w:r>
              <w:rPr>
                <w:rFonts w:ascii="Arial" w:cs="Arial" w:eastAsia="Arial" w:hAnsi="Arial"/>
                <w:b/>
                <w:bCs/>
                <w:color w:val="FFFFFF"/>
                <w:sz w:val="20"/>
                <w:szCs w:val="20"/>
              </w:rPr>
              <w:t xml:space="preserve">Relevance to Nuclear Supply Chain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ISO 9001:2015</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Generic quality management system requirements applicable to all industries</w:t>
            </w:r>
          </w:p>
        </w:tc>
        <w:tc>
          <w:tcPr>
            <w:tcW w:type="dxa" w:w="4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The foundation that all nuclear suppliers must meet. ISO 19443 is built upon ISO 9001 and includes all its requirements plus nuclear-specific additions.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B595A"/>
                <w:sz w:val="19"/>
                <w:szCs w:val="19"/>
              </w:rPr>
              <w:t xml:space="preserve">ISO 19443:2018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B595A"/>
                <w:sz w:val="19"/>
                <w:szCs w:val="19"/>
              </w:rPr>
              <w:t xml:space="preserve">Specific QMS requirements for organisations in the nuclear supply chain supplying ITNS</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B595A"/>
                <w:sz w:val="19"/>
                <w:szCs w:val="19"/>
              </w:rPr>
              <w:t xml:space="preserve">The primary nuclear supply chain quality standard. Sets out additional requirements beyond ISO 9001 that are specific to nuclear sector quality assurance.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ASME NQA-1</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American Society of Mechanical Engineers nuclear quality assurance standard</w:t>
            </w:r>
          </w:p>
        </w:tc>
        <w:tc>
          <w:tcPr>
            <w:tcW w:type="dxa" w:w="4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Widely specified on US-influenced nuclear projects including HPC. Some nuclear clients specify NQA-1 compliance in addition to or instead of ISO 19443.</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B595A"/>
                <w:sz w:val="19"/>
                <w:szCs w:val="19"/>
              </w:rPr>
              <w:t xml:space="preserve">RCC-M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B595A"/>
                <w:sz w:val="19"/>
                <w:szCs w:val="19"/>
              </w:rPr>
              <w:t xml:space="preserve">French nuclear pressure equipment design and construction rules</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B595A"/>
                <w:sz w:val="19"/>
                <w:szCs w:val="19"/>
              </w:rPr>
              <w:t xml:space="preserve">Relevant to organisations supplying to EDF-designed reactor projects including HPC and SZC. Applied at component and system level.</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ISO/IEC 17025</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Competence requirements for testing and calibration laboratories</w:t>
            </w:r>
          </w:p>
        </w:tc>
        <w:tc>
          <w:tcPr>
            <w:tcW w:type="dxa" w:w="4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Relevant to organisations providing inspection, testing, or calibration services on nuclear contracts.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B595A"/>
                <w:sz w:val="19"/>
                <w:szCs w:val="19"/>
              </w:rPr>
              <w:t xml:space="preserve">ISO/IEC 17020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B595A"/>
                <w:sz w:val="19"/>
                <w:szCs w:val="19"/>
              </w:rPr>
              <w:t xml:space="preserve">Requirements for inspection bodies</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B595A"/>
                <w:sz w:val="19"/>
                <w:szCs w:val="19"/>
              </w:rPr>
              <w:t xml:space="preserve">Relevant to organisations providing independent third-party inspection services on nuclear contracts.</w:t>
            </w:r>
          </w:p>
        </w:tc>
      </w:tr>
    </w:tbl>
    <w:p>
      <w:pPr>
        <w:spacing w:after="80" w:before="80"/>
      </w:pPr>
      <w:r>
        <w:t xml:space="preserve"/>
      </w:r>
    </w:p>
    <w:p>
      <w:pPr>
        <w:pStyle w:val="Heading2"/>
        <w:pBdr>
          <w:bottom w:val="single" w:color="009FE3" w:sz="4" w:space="1"/>
        </w:pBdr>
        <w:spacing w:after="80" w:before="240"/>
      </w:pPr>
      <w:r>
        <w:rPr>
          <w:rFonts w:ascii="Arial" w:cs="Arial" w:eastAsia="Arial" w:hAnsi="Arial"/>
          <w:b/>
          <w:bCs/>
          <w:color w:val="7B2D8B"/>
          <w:sz w:val="28"/>
          <w:szCs w:val="28"/>
        </w:rPr>
        <w:t xml:space="preserve">1.2 What is ISO 19443?</w:t>
      </w:r>
    </w:p>
    <w:p>
      <w:pPr>
        <w:spacing w:after="80" w:before="60"/>
      </w:pPr>
      <w:r>
        <w:rPr>
          <w:rFonts w:ascii="Arial" w:cs="Arial" w:eastAsia="Arial" w:hAnsi="Arial"/>
          <w:color w:val="5B595A"/>
          <w:sz w:val="22"/>
          <w:szCs w:val="22"/>
        </w:rPr>
        <w:t xml:space="preserve">ISO 19443:2018 was published as the first international standard specifically developed for the nuclear supply chain. Its full title is: Quality Management Systems: Specific Requirements for the Application of ISO 9001:2015 by Organisations in the Supply Chain of the Nuclear Energy Sector Supplying Products and Services Important to Nuclear Safety.</w:t>
      </w:r>
    </w:p>
    <w:p>
      <w:pPr>
        <w:spacing w:after="80" w:before="60"/>
      </w:pPr>
      <w:r>
        <w:rPr>
          <w:rFonts w:ascii="Arial" w:cs="Arial" w:eastAsia="Arial" w:hAnsi="Arial"/>
          <w:color w:val="5B595A"/>
          <w:sz w:val="22"/>
          <w:szCs w:val="22"/>
        </w:rPr>
        <w:t xml:space="preserve">The standard was developed because the nuclear sector has requirements that go beyond what generic ISO 9001 addresses. These additional requirements reflect:</w:t>
      </w:r>
    </w:p>
    <w:p>
      <w:pPr>
        <w:pStyle w:val="ListParagraph"/>
        <w:numPr>
          <w:ilvl w:val="0"/>
          <w:numId w:val="2"/>
        </w:numPr>
        <w:spacing w:after="40" w:before="40"/>
      </w:pPr>
      <w:r>
        <w:rPr>
          <w:rFonts w:ascii="Arial" w:cs="Arial" w:eastAsia="Arial" w:hAnsi="Arial"/>
          <w:b w:val="false"/>
          <w:bCs w:val="false"/>
          <w:color w:val="5B595A"/>
          <w:sz w:val="22"/>
          <w:szCs w:val="22"/>
        </w:rPr>
        <w:t xml:space="preserve">The potentially severe and long-lasting consequences of quality failures in nuclear applications</w:t>
      </w:r>
    </w:p>
    <w:p>
      <w:pPr>
        <w:pStyle w:val="ListParagraph"/>
        <w:numPr>
          <w:ilvl w:val="0"/>
          <w:numId w:val="2"/>
        </w:numPr>
        <w:spacing w:after="40" w:before="40"/>
      </w:pPr>
      <w:r>
        <w:rPr>
          <w:rFonts w:ascii="Arial" w:cs="Arial" w:eastAsia="Arial" w:hAnsi="Arial"/>
          <w:b w:val="false"/>
          <w:bCs w:val="false"/>
          <w:color w:val="5B595A"/>
          <w:sz w:val="22"/>
          <w:szCs w:val="22"/>
        </w:rPr>
        <w:t xml:space="preserve">The need for formal nuclear quality culture commitments at leadership level, beyond generic quality policy</w:t>
      </w:r>
    </w:p>
    <w:p>
      <w:pPr>
        <w:pStyle w:val="ListParagraph"/>
        <w:numPr>
          <w:ilvl w:val="0"/>
          <w:numId w:val="2"/>
        </w:numPr>
        <w:spacing w:after="40" w:before="40"/>
      </w:pPr>
      <w:r>
        <w:rPr>
          <w:rFonts w:ascii="Arial" w:cs="Arial" w:eastAsia="Arial" w:hAnsi="Arial"/>
          <w:b w:val="false"/>
          <w:bCs w:val="false"/>
          <w:color w:val="5B595A"/>
          <w:sz w:val="22"/>
          <w:szCs w:val="22"/>
        </w:rPr>
        <w:t xml:space="preserve">The requirement for suitably qualified and experienced personnel on safety-significant work</w:t>
      </w:r>
    </w:p>
    <w:p>
      <w:pPr>
        <w:pStyle w:val="ListParagraph"/>
        <w:numPr>
          <w:ilvl w:val="0"/>
          <w:numId w:val="2"/>
        </w:numPr>
        <w:spacing w:after="40" w:before="40"/>
      </w:pPr>
      <w:r>
        <w:rPr>
          <w:rFonts w:ascii="Arial" w:cs="Arial" w:eastAsia="Arial" w:hAnsi="Arial"/>
          <w:b w:val="false"/>
          <w:bCs w:val="false"/>
          <w:color w:val="5B595A"/>
          <w:sz w:val="22"/>
          <w:szCs w:val="22"/>
        </w:rPr>
        <w:t xml:space="preserve">The long timescales involved in nuclear facilities, which require records to be maintained for decades or more</w:t>
      </w:r>
    </w:p>
    <w:p>
      <w:pPr>
        <w:pStyle w:val="ListParagraph"/>
        <w:numPr>
          <w:ilvl w:val="0"/>
          <w:numId w:val="2"/>
        </w:numPr>
        <w:spacing w:after="40" w:before="40"/>
      </w:pPr>
      <w:r>
        <w:rPr>
          <w:rFonts w:ascii="Arial" w:cs="Arial" w:eastAsia="Arial" w:hAnsi="Arial"/>
          <w:b w:val="false"/>
          <w:bCs w:val="false"/>
          <w:color w:val="5B595A"/>
          <w:sz w:val="22"/>
          <w:szCs w:val="22"/>
        </w:rPr>
        <w:t xml:space="preserve">The need to formally grade quality controls in proportion to nuclear safety significance</w:t>
      </w:r>
    </w:p>
    <w:p>
      <w:pPr>
        <w:pStyle w:val="ListParagraph"/>
        <w:numPr>
          <w:ilvl w:val="0"/>
          <w:numId w:val="2"/>
        </w:numPr>
        <w:spacing w:after="40" w:before="40"/>
      </w:pPr>
      <w:r>
        <w:rPr>
          <w:rFonts w:ascii="Arial" w:cs="Arial" w:eastAsia="Arial" w:hAnsi="Arial"/>
          <w:b w:val="false"/>
          <w:bCs w:val="false"/>
          <w:color w:val="5B595A"/>
          <w:sz w:val="22"/>
          <w:szCs w:val="22"/>
        </w:rPr>
        <w:t xml:space="preserve">Specific additional controls for CFSI that go beyond generic procurement quality</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009FE3" w:sz="1"/>
              <w:left w:val="single" w:color="009FE3" w:sz="1"/>
              <w:bottom w:val="single" w:color="009FE3" w:sz="1"/>
              <w:right w:val="single" w:color="009FE3" w:sz="1"/>
            </w:tcBorders>
            <w:shd w:fill="009FE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KEY POINT</w:t>
            </w:r>
          </w:p>
        </w:tc>
        <w:tc>
          <w:tcPr>
            <w:tcW w:type="dxa" w:w="7626"/>
            <w:tcBorders>
              <w:top w:val="single" w:color="009FE3" w:sz="1"/>
              <w:left w:val="single" w:color="009FE3" w:sz="1"/>
              <w:bottom w:val="single" w:color="009FE3" w:sz="1"/>
              <w:right w:val="single" w:color="009FE3" w:sz="1"/>
            </w:tcBorders>
            <w:shd w:fill="D6EEF8" w:val="clear"/>
            <w:tcMar>
              <w:top w:type="dxa" w:w="100"/>
              <w:left w:type="dxa" w:w="140"/>
              <w:bottom w:type="dxa" w:w="100"/>
              <w:right w:type="dxa" w:w="120"/>
            </w:tcMar>
          </w:tcPr>
          <w:p>
            <w:r>
              <w:rPr>
                <w:rFonts w:ascii="Arial" w:cs="Arial" w:eastAsia="Arial" w:hAnsi="Arial"/>
                <w:color w:val="5B595A"/>
                <w:sz w:val="21"/>
                <w:szCs w:val="21"/>
              </w:rPr>
              <w:t xml:space="preserve">ISO 19443 does not replace ISO 9001. It supplements it. Every clause of ISO 9001 applies in full. ISO 19443 adds nuclear-specific requirements on top. A company certified to ISO 9001 has the foundation but must address the additional requirements to be ISO 19443 compliant.</w:t>
            </w:r>
          </w:p>
        </w:tc>
      </w:tr>
    </w:tbl>
    <w:p>
      <w:pPr>
        <w:spacing w:after="80" w:before="80"/>
      </w:pPr>
      <w:r>
        <w:t xml:space="preserve"/>
      </w:r>
    </w:p>
    <w:p>
      <w:pPr>
        <w:pStyle w:val="Heading2"/>
        <w:pBdr>
          <w:bottom w:val="single" w:color="009FE3" w:sz="4" w:space="1"/>
        </w:pBdr>
        <w:spacing w:after="80" w:before="240"/>
      </w:pPr>
      <w:r>
        <w:rPr>
          <w:rFonts w:ascii="Arial" w:cs="Arial" w:eastAsia="Arial" w:hAnsi="Arial"/>
          <w:b/>
          <w:bCs/>
          <w:color w:val="7B2D8B"/>
          <w:sz w:val="28"/>
          <w:szCs w:val="28"/>
        </w:rPr>
        <w:t xml:space="preserve">1.3 Products and Services Important to Nuclear Safety</w:t>
      </w:r>
    </w:p>
    <w:p>
      <w:pPr>
        <w:spacing w:after="80" w:before="60"/>
      </w:pPr>
      <w:r>
        <w:rPr>
          <w:rFonts w:ascii="Arial" w:cs="Arial" w:eastAsia="Arial" w:hAnsi="Arial"/>
          <w:color w:val="5B595A"/>
          <w:sz w:val="22"/>
          <w:szCs w:val="22"/>
        </w:rPr>
        <w:t xml:space="preserve">ISO 19443 applies to organisations supplying Products and Services Important to Nuclear Safety, abbreviated to ITNS. Understanding whether your products or services fall within the ITNS scope determines how the standard applies to your organisation.</w:t>
      </w:r>
    </w:p>
    <w:p>
      <w:pPr>
        <w:spacing w:after="80" w:before="60"/>
      </w:pPr>
      <w:r>
        <w:rPr>
          <w:rFonts w:ascii="Arial" w:cs="Arial" w:eastAsia="Arial" w:hAnsi="Arial"/>
          <w:color w:val="5B595A"/>
          <w:sz w:val="22"/>
          <w:szCs w:val="22"/>
        </w:rPr>
        <w:t xml:space="preserve">A product or service is considered Important to Nuclear Safety if its failure or malfunction could contribute to a nuclear safety event, environmental release, or breach of the nuclear site's safety case. This includes not just safety-critical items like reactor components, but also services such as welding on safety-related structures, calibration of safety-related instruments, or maintenance of safety-classified systems.</w:t>
      </w:r>
    </w:p>
    <w:p>
      <w:pPr>
        <w:pStyle w:val="ListParagraph"/>
        <w:numPr>
          <w:ilvl w:val="0"/>
          <w:numId w:val="2"/>
        </w:numPr>
        <w:spacing w:after="40" w:before="40"/>
      </w:pPr>
      <w:r>
        <w:rPr>
          <w:rFonts w:ascii="Arial" w:cs="Arial" w:eastAsia="Arial" w:hAnsi="Arial"/>
          <w:b w:val="false"/>
          <w:bCs w:val="false"/>
          <w:color w:val="5B595A"/>
          <w:sz w:val="22"/>
          <w:szCs w:val="22"/>
        </w:rPr>
        <w:t xml:space="preserve">Your nuclear client will specify whether your scope of supply is ITNS and at what quality grade</w:t>
      </w:r>
    </w:p>
    <w:p>
      <w:pPr>
        <w:pStyle w:val="ListParagraph"/>
        <w:numPr>
          <w:ilvl w:val="0"/>
          <w:numId w:val="2"/>
        </w:numPr>
        <w:spacing w:after="40" w:before="40"/>
      </w:pPr>
      <w:r>
        <w:rPr>
          <w:rFonts w:ascii="Arial" w:cs="Arial" w:eastAsia="Arial" w:hAnsi="Arial"/>
          <w:b w:val="false"/>
          <w:bCs w:val="false"/>
          <w:color w:val="5B595A"/>
          <w:sz w:val="22"/>
          <w:szCs w:val="22"/>
        </w:rPr>
        <w:t xml:space="preserve">If your scope is ITNS, ISO 19443 applies to that work, even if the rest of your business operates under ISO 9001 only</w:t>
      </w:r>
    </w:p>
    <w:p>
      <w:pPr>
        <w:pStyle w:val="ListParagraph"/>
        <w:numPr>
          <w:ilvl w:val="0"/>
          <w:numId w:val="2"/>
        </w:numPr>
        <w:spacing w:after="40" w:before="40"/>
      </w:pPr>
      <w:r>
        <w:rPr>
          <w:rFonts w:ascii="Arial" w:cs="Arial" w:eastAsia="Arial" w:hAnsi="Arial"/>
          <w:b w:val="false"/>
          <w:bCs w:val="false"/>
          <w:color w:val="5B595A"/>
          <w:sz w:val="22"/>
          <w:szCs w:val="22"/>
        </w:rPr>
        <w:t xml:space="preserve">If your scope is not ITNS, ISO 9001 remains the applicable standard for that work but nuclear clients may still expect ISO 19443 awareness</w:t>
      </w:r>
    </w:p>
    <w:p>
      <w:pPr>
        <w:spacing w:after="80" w:before="80"/>
      </w:pPr>
      <w:r>
        <w:t xml:space="preserve"/>
      </w:r>
    </w:p>
    <w:p>
      <w:r>
        <w:br w:type="page"/>
      </w:r>
    </w:p>
    <w:p>
      <w:pPr>
        <w:shd w:fill="001E3C" w:val="clear"/>
        <w:spacing w:after="80" w:before="240"/>
        <w:ind w:left="120" w:right="120"/>
      </w:pPr>
      <w:r>
        <w:rPr>
          <w:rFonts w:ascii="Arial" w:cs="Arial" w:eastAsia="Arial" w:hAnsi="Arial"/>
          <w:b/>
          <w:bCs/>
          <w:color w:val="FFFFFF"/>
          <w:sz w:val="26"/>
          <w:szCs w:val="26"/>
        </w:rPr>
        <w:t xml:space="preserve">SECTION 2: THE NUCLEAR QUALITY GRADING APPROACH</w:t>
      </w:r>
    </w:p>
    <w:p>
      <w:pPr>
        <w:spacing w:after="80" w:before="80"/>
      </w:pPr>
      <w:r>
        <w:t xml:space="preserve"/>
      </w:r>
    </w:p>
    <w:p>
      <w:pPr>
        <w:pStyle w:val="Heading2"/>
        <w:pBdr>
          <w:bottom w:val="single" w:color="009FE3" w:sz="4" w:space="1"/>
        </w:pBdr>
        <w:spacing w:after="80" w:before="240"/>
      </w:pPr>
      <w:r>
        <w:rPr>
          <w:rFonts w:ascii="Arial" w:cs="Arial" w:eastAsia="Arial" w:hAnsi="Arial"/>
          <w:b/>
          <w:bCs/>
          <w:color w:val="7B2D8B"/>
          <w:sz w:val="28"/>
          <w:szCs w:val="28"/>
        </w:rPr>
        <w:t xml:space="preserve">2.1 Why Grading Exists</w:t>
      </w:r>
    </w:p>
    <w:p>
      <w:pPr>
        <w:spacing w:after="80" w:before="60"/>
      </w:pPr>
      <w:r>
        <w:rPr>
          <w:rFonts w:ascii="Arial" w:cs="Arial" w:eastAsia="Arial" w:hAnsi="Arial"/>
          <w:color w:val="5B595A"/>
          <w:sz w:val="22"/>
          <w:szCs w:val="22"/>
        </w:rPr>
        <w:t xml:space="preserve">Not all items and activities in a nuclear facility carry the same safety significance. A component forming part of the primary pressure circuit in a reactor carries a very different risk profile from a standard structural steel member in a non-nuclear building on the same site. The nuclear quality grading approach ensures that the level of quality control applied to any item or activity is proportionate to the consequence of failure.</w:t>
      </w:r>
    </w:p>
    <w:p>
      <w:pPr>
        <w:spacing w:after="80" w:before="60"/>
      </w:pPr>
      <w:r>
        <w:rPr>
          <w:rFonts w:ascii="Arial" w:cs="Arial" w:eastAsia="Arial" w:hAnsi="Arial"/>
          <w:color w:val="5B595A"/>
          <w:sz w:val="22"/>
          <w:szCs w:val="22"/>
        </w:rPr>
        <w:t xml:space="preserve">This is not a licence to do lower quality work on lower-grade items. It is a recognition that applying the most intensive controls to every activity would be disproportionate and impractical, while applying insufficient controls to safety-significant items would be dangerous.</w:t>
      </w:r>
    </w:p>
    <w:p>
      <w:pPr>
        <w:spacing w:after="80" w:before="80"/>
      </w:pPr>
      <w:r>
        <w:t xml:space="preserve"/>
      </w:r>
    </w:p>
    <w:p>
      <w:pPr>
        <w:pStyle w:val="Heading2"/>
        <w:pBdr>
          <w:bottom w:val="single" w:color="009FE3" w:sz="4" w:space="1"/>
        </w:pBdr>
        <w:spacing w:after="80" w:before="240"/>
      </w:pPr>
      <w:r>
        <w:rPr>
          <w:rFonts w:ascii="Arial" w:cs="Arial" w:eastAsia="Arial" w:hAnsi="Arial"/>
          <w:b/>
          <w:bCs/>
          <w:color w:val="7B2D8B"/>
          <w:sz w:val="28"/>
          <w:szCs w:val="28"/>
        </w:rPr>
        <w:t xml:space="preserve">2.2 The Four Quality Grades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800"/>
        <w:gridCol w:w="3726"/>
      </w:tblGrid>
      <w:tr>
        <w:trPr>
          <w:tblHeader/>
        </w:trPr>
        <w:tc>
          <w:tcPr>
            <w:tcW w:type="dxa" w:w="900"/>
            <w:tcBorders>
              <w:top w:val="single" w:color="009FE3" w:sz="1"/>
              <w:left w:val="single" w:color="009FE3" w:sz="1"/>
              <w:bottom w:val="single" w:color="009FE3" w:sz="1"/>
              <w:right w:val="single" w:color="009FE3" w:sz="1"/>
            </w:tcBorders>
            <w:shd w:fill="001E3C" w:val="clear"/>
            <w:tcMar>
              <w:top w:type="dxa" w:w="80"/>
              <w:left w:type="dxa" w:w="120"/>
              <w:bottom w:type="dxa" w:w="80"/>
              <w:right w:type="dxa" w:w="120"/>
            </w:tcMar>
          </w:tcPr>
          <w:p>
            <w:r>
              <w:rPr>
                <w:rFonts w:ascii="Arial" w:cs="Arial" w:eastAsia="Arial" w:hAnsi="Arial"/>
                <w:b/>
                <w:bCs/>
                <w:color w:val="FFFFFF"/>
                <w:sz w:val="20"/>
                <w:szCs w:val="20"/>
              </w:rPr>
              <w:t xml:space="preserve">Grade</w:t>
            </w:r>
          </w:p>
        </w:tc>
        <w:tc>
          <w:tcPr>
            <w:tcW w:type="dxa" w:w="1600"/>
            <w:tcBorders>
              <w:top w:val="single" w:color="009FE3" w:sz="1"/>
              <w:left w:val="single" w:color="009FE3" w:sz="1"/>
              <w:bottom w:val="single" w:color="009FE3" w:sz="1"/>
              <w:right w:val="single" w:color="009FE3" w:sz="1"/>
            </w:tcBorders>
            <w:shd w:fill="001E3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800"/>
            <w:tcBorders>
              <w:top w:val="single" w:color="009FE3" w:sz="1"/>
              <w:left w:val="single" w:color="009FE3" w:sz="1"/>
              <w:bottom w:val="single" w:color="009FE3" w:sz="1"/>
              <w:right w:val="single" w:color="009FE3" w:sz="1"/>
            </w:tcBorders>
            <w:shd w:fill="001E3C" w:val="clear"/>
            <w:tcMar>
              <w:top w:type="dxa" w:w="80"/>
              <w:left w:type="dxa" w:w="120"/>
              <w:bottom w:type="dxa" w:w="80"/>
              <w:right w:type="dxa" w:w="120"/>
            </w:tcMar>
          </w:tcPr>
          <w:p>
            <w:r>
              <w:rPr>
                <w:rFonts w:ascii="Arial" w:cs="Arial" w:eastAsia="Arial" w:hAnsi="Arial"/>
                <w:b/>
                <w:bCs/>
                <w:color w:val="FFFFFF"/>
                <w:sz w:val="20"/>
                <w:szCs w:val="20"/>
              </w:rPr>
              <w:t xml:space="preserve">Safety Significance</w:t>
            </w:r>
          </w:p>
        </w:tc>
        <w:tc>
          <w:tcPr>
            <w:tcW w:type="dxa" w:w="3726"/>
            <w:tcBorders>
              <w:top w:val="single" w:color="009FE3" w:sz="1"/>
              <w:left w:val="single" w:color="009FE3" w:sz="1"/>
              <w:bottom w:val="single" w:color="009FE3" w:sz="1"/>
              <w:right w:val="single" w:color="009FE3" w:sz="1"/>
            </w:tcBorders>
            <w:shd w:fill="001E3C" w:val="clear"/>
            <w:tcMar>
              <w:top w:type="dxa" w:w="80"/>
              <w:left w:type="dxa" w:w="120"/>
              <w:bottom w:type="dxa" w:w="80"/>
              <w:right w:type="dxa" w:w="120"/>
            </w:tcMar>
          </w:tcPr>
          <w:p>
            <w:r>
              <w:rPr>
                <w:rFonts w:ascii="Arial" w:cs="Arial" w:eastAsia="Arial" w:hAnsi="Arial"/>
                <w:b/>
                <w:bCs/>
                <w:color w:val="FFFFFF"/>
                <w:sz w:val="20"/>
                <w:szCs w:val="20"/>
              </w:rPr>
              <w:t xml:space="preserve">Typical Controls</w:t>
            </w:r>
          </w:p>
        </w:tc>
      </w:tr>
      <w:tr>
        <w:tc>
          <w:tcPr>
            <w:tcW w:type="dxa" w:w="900"/>
            <w:tcBorders>
              <w:top w:val="single" w:color="CCCCCC" w:sz="1"/>
              <w:left w:val="single" w:color="CCCCCC" w:sz="1"/>
              <w:bottom w:val="single" w:color="CCCCCC" w:sz="1"/>
              <w:right w:val="single" w:color="CCCCCC" w:sz="1"/>
            </w:tcBorders>
            <w:shd w:fill="FBE8E8" w:val="clear"/>
            <w:tcMar>
              <w:top w:type="dxa" w:w="80"/>
              <w:left w:type="dxa" w:w="120"/>
              <w:bottom w:type="dxa" w:w="80"/>
              <w:right w:type="dxa" w:w="120"/>
            </w:tcMar>
          </w:tcPr>
          <w:p>
            <w:r>
              <w:rPr>
                <w:rFonts w:ascii="Arial" w:cs="Arial" w:eastAsia="Arial" w:hAnsi="Arial"/>
                <w:b/>
                <w:bCs/>
                <w:color w:val="5B595A"/>
                <w:sz w:val="19"/>
                <w:szCs w:val="19"/>
              </w:rPr>
              <w:t xml:space="preserve">Grade 1</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Important to Nuclear Safety</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Direct impact on nuclear safety. Failure could directly cause a nuclear safety event or uncontrolled radioactive release.</w:t>
            </w:r>
          </w:p>
        </w:tc>
        <w:tc>
          <w:tcPr>
            <w:tcW w:type="dxa" w:w="3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Full quality plan, detailed ITPs, independent inspection and witness points, NDE, material traceability to source, third-party verification, full lifetime quality records.</w:t>
            </w:r>
          </w:p>
        </w:tc>
      </w:tr>
      <w:tr>
        <w:tc>
          <w:tcPr>
            <w:tcW w:type="dxa" w:w="900"/>
            <w:tcBorders>
              <w:top w:val="single" w:color="CCCCCC" w:sz="1"/>
              <w:left w:val="single" w:color="CCCCCC" w:sz="1"/>
              <w:bottom w:val="single" w:color="CCCCCC" w:sz="1"/>
              <w:right w:val="single" w:color="CCCCCC" w:sz="1"/>
            </w:tcBorders>
            <w:shd w:fill="EBF5FF" w:val="clear"/>
            <w:tcMar>
              <w:top w:type="dxa" w:w="80"/>
              <w:left w:type="dxa" w:w="120"/>
              <w:bottom w:type="dxa" w:w="80"/>
              <w:right w:type="dxa" w:w="120"/>
            </w:tcMar>
          </w:tcPr>
          <w:p>
            <w:r>
              <w:rPr>
                <w:rFonts w:ascii="Arial" w:cs="Arial" w:eastAsia="Arial" w:hAnsi="Arial"/>
                <w:b/>
                <w:bCs/>
                <w:color w:val="5B595A"/>
                <w:sz w:val="19"/>
                <w:szCs w:val="19"/>
              </w:rPr>
              <w:t xml:space="preserve">Grade 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B595A"/>
                <w:sz w:val="19"/>
                <w:szCs w:val="19"/>
              </w:rPr>
              <w:t xml:space="preserve">Important to Nuclear Safety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B595A"/>
                <w:sz w:val="19"/>
                <w:szCs w:val="19"/>
              </w:rPr>
              <w:t xml:space="preserve">Indirect impact on nuclear safety. Failure would not directly cause a nuclear event but could contribute to one or affect key operating functions.</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B595A"/>
                <w:sz w:val="19"/>
                <w:szCs w:val="19"/>
              </w:rPr>
              <w:t xml:space="preserve">Quality plan, inspection and test plan, certificates of conformance, dimensional records, qualification records for special processes.</w:t>
            </w:r>
          </w:p>
        </w:tc>
      </w:tr>
      <w:tr>
        <w:tc>
          <w:tcPr>
            <w:tcW w:type="dxa" w:w="900"/>
            <w:tcBorders>
              <w:top w:val="single" w:color="CCCCCC" w:sz="1"/>
              <w:left w:val="single" w:color="CCCCCC" w:sz="1"/>
              <w:bottom w:val="single" w:color="CCCCCC" w:sz="1"/>
              <w:right w:val="single" w:color="CCCCCC" w:sz="1"/>
            </w:tcBorders>
            <w:shd w:fill="EBF7EE" w:val="clear"/>
            <w:tcMar>
              <w:top w:type="dxa" w:w="80"/>
              <w:left w:type="dxa" w:w="120"/>
              <w:bottom w:type="dxa" w:w="80"/>
              <w:right w:type="dxa" w:w="120"/>
            </w:tcMar>
          </w:tcPr>
          <w:p>
            <w:r>
              <w:rPr>
                <w:rFonts w:ascii="Arial" w:cs="Arial" w:eastAsia="Arial" w:hAnsi="Arial"/>
                <w:b/>
                <w:bCs/>
                <w:color w:val="5B595A"/>
                <w:sz w:val="19"/>
                <w:szCs w:val="19"/>
              </w:rPr>
              <w:t xml:space="preserve">Grade 3</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Quality Affecting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Minimal safety impact but affects operating performance. Failure affects output but not nuclear safety directly.</w:t>
            </w:r>
          </w:p>
        </w:tc>
        <w:tc>
          <w:tcPr>
            <w:tcW w:type="dxa" w:w="3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Standard QMS controls, inspection to specification, basic documentation and certificate of conformance.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B595A"/>
                <w:sz w:val="19"/>
                <w:szCs w:val="19"/>
              </w:rPr>
              <w:t xml:space="preserve">Grade 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B595A"/>
                <w:sz w:val="19"/>
                <w:szCs w:val="19"/>
              </w:rPr>
              <w:t xml:space="preserve">Commercial Grade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B595A"/>
                <w:sz w:val="19"/>
                <w:szCs w:val="19"/>
              </w:rPr>
              <w:t xml:space="preserve">No direct nuclear safety or operating impact. Standard commercial items.</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B595A"/>
                <w:sz w:val="19"/>
                <w:szCs w:val="19"/>
              </w:rPr>
              <w:t xml:space="preserve">Normal purchasing and QMS controls. Certificate of conformance if specified. No special nuclear controls required.</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009FE3" w:sz="1"/>
              <w:left w:val="single" w:color="009FE3" w:sz="1"/>
              <w:bottom w:val="single" w:color="009FE3" w:sz="1"/>
              <w:right w:val="single" w:color="009FE3" w:sz="1"/>
            </w:tcBorders>
            <w:shd w:fill="009FE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YOUR RESPONSIBILITY</w:t>
            </w:r>
          </w:p>
        </w:tc>
        <w:tc>
          <w:tcPr>
            <w:tcW w:type="dxa" w:w="7626"/>
            <w:tcBorders>
              <w:top w:val="single" w:color="009FE3" w:sz="1"/>
              <w:left w:val="single" w:color="009FE3" w:sz="1"/>
              <w:bottom w:val="single" w:color="009FE3" w:sz="1"/>
              <w:right w:val="single" w:color="009FE3" w:sz="1"/>
            </w:tcBorders>
            <w:shd w:fill="D6EEF8" w:val="clear"/>
            <w:tcMar>
              <w:top w:type="dxa" w:w="100"/>
              <w:left w:type="dxa" w:w="140"/>
              <w:bottom w:type="dxa" w:w="100"/>
              <w:right w:type="dxa" w:w="120"/>
            </w:tcMar>
          </w:tcPr>
          <w:p>
            <w:r>
              <w:rPr>
                <w:rFonts w:ascii="Arial" w:cs="Arial" w:eastAsia="Arial" w:hAnsi="Arial"/>
                <w:color w:val="5B595A"/>
                <w:sz w:val="21"/>
                <w:szCs w:val="21"/>
              </w:rPr>
              <w:t xml:space="preserve">Your nuclear client or Tier 1 contractor will specify the quality grade for your scope of supply in the contract or quality requirements document. If no grade is specified, seek clarification before commencing work. Never assume a lower grade than the contract requires.</w:t>
            </w:r>
          </w:p>
        </w:tc>
      </w:tr>
    </w:tbl>
    <w:p>
      <w:pPr>
        <w:spacing w:after="80" w:before="80"/>
      </w:pPr>
      <w:r>
        <w:t xml:space="preserve"/>
      </w:r>
    </w:p>
    <w:p>
      <w:pPr>
        <w:pStyle w:val="Heading2"/>
        <w:pBdr>
          <w:bottom w:val="single" w:color="009FE3" w:sz="4" w:space="1"/>
        </w:pBdr>
        <w:spacing w:after="80" w:before="240"/>
      </w:pPr>
      <w:r>
        <w:rPr>
          <w:rFonts w:ascii="Arial" w:cs="Arial" w:eastAsia="Arial" w:hAnsi="Arial"/>
          <w:b/>
          <w:bCs/>
          <w:color w:val="7B2D8B"/>
          <w:sz w:val="28"/>
          <w:szCs w:val="28"/>
        </w:rPr>
        <w:t xml:space="preserve">2.3 Commercial Grade Dedication</w:t>
      </w:r>
    </w:p>
    <w:p>
      <w:pPr>
        <w:spacing w:after="80" w:before="60"/>
      </w:pPr>
      <w:r>
        <w:rPr>
          <w:rFonts w:ascii="Arial" w:cs="Arial" w:eastAsia="Arial" w:hAnsi="Arial"/>
          <w:color w:val="5B595A"/>
          <w:sz w:val="22"/>
          <w:szCs w:val="22"/>
        </w:rPr>
        <w:t xml:space="preserve">Commercial Grade Dedication (CGD) is the process by which a commercial-grade item (Grade 4) is assessed and accepted for use in a nuclear safety-related application. It involves establishing through analysis, inspection, testing, or a combination that the item meets the technical requirements of the nuclear application, despite not having been manufactured under nuclear quality controls.</w:t>
      </w:r>
    </w:p>
    <w:p>
      <w:pPr>
        <w:spacing w:after="80" w:before="60"/>
      </w:pPr>
      <w:r>
        <w:rPr>
          <w:rFonts w:ascii="Arial" w:cs="Arial" w:eastAsia="Arial" w:hAnsi="Arial"/>
          <w:color w:val="5B595A"/>
          <w:sz w:val="22"/>
          <w:szCs w:val="22"/>
        </w:rPr>
        <w:t xml:space="preserve">CGD is a controlled process and cannot be undertaken informally. It requires documented justification, defined acceptance criteria, and formal approval. Your nuclear client will specify whether CGD is required and who is responsible for undertaking it. Supply chain companies should understand the concept and be aware of the risks associated with uncontrolled substitution of commercial items into nuclear applications.</w:t>
      </w:r>
    </w:p>
    <w:p>
      <w:pPr>
        <w:spacing w:after="80" w:before="80"/>
      </w:pPr>
      <w:r>
        <w:t xml:space="preserve"/>
      </w:r>
    </w:p>
    <w:p>
      <w:r>
        <w:br w:type="page"/>
      </w:r>
    </w:p>
    <w:p>
      <w:pPr>
        <w:shd w:fill="001E3C" w:val="clear"/>
        <w:spacing w:after="80" w:before="240"/>
        <w:ind w:left="120" w:right="120"/>
      </w:pPr>
      <w:r>
        <w:rPr>
          <w:rFonts w:ascii="Arial" w:cs="Arial" w:eastAsia="Arial" w:hAnsi="Arial"/>
          <w:b/>
          <w:bCs/>
          <w:color w:val="FFFFFF"/>
          <w:sz w:val="26"/>
          <w:szCs w:val="26"/>
        </w:rPr>
        <w:t xml:space="preserve">SECTION 3: KEY ADDITIONAL REQUIREMENTS OF ISO 19443</w:t>
      </w:r>
    </w:p>
    <w:p>
      <w:pPr>
        <w:spacing w:after="80" w:before="80"/>
      </w:pPr>
      <w:r>
        <w:t xml:space="preserve"/>
      </w:r>
    </w:p>
    <w:p>
      <w:pPr>
        <w:spacing w:after="80" w:before="60"/>
      </w:pPr>
      <w:r>
        <w:rPr>
          <w:rFonts w:ascii="Arial" w:cs="Arial" w:eastAsia="Arial" w:hAnsi="Arial"/>
          <w:color w:val="5B595A"/>
          <w:sz w:val="22"/>
          <w:szCs w:val="22"/>
        </w:rPr>
        <w:t xml:space="preserve">The following sections cover the most significant additional requirements that ISO 19443 places on organisations beyond ISO 9001. Each is presented as a practical explanation of what the standard requires and what it means for your organisation.</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09FE3" w:sz="1"/>
              <w:left w:val="single" w:color="009FE3" w:sz="1"/>
              <w:bottom w:val="single" w:color="009FE3" w:sz="1"/>
              <w:right w:val="single" w:color="009FE3" w:sz="1"/>
            </w:tcBorders>
            <w:shd w:fill="001E3C" w:val="clear"/>
            <w:tcMar>
              <w:top w:type="dxa" w:w="80"/>
              <w:left w:type="dxa" w:w="160"/>
              <w:bottom w:type="dxa" w:w="80"/>
              <w:right w:type="dxa" w:w="160"/>
            </w:tcMar>
          </w:tcPr>
          <w:p>
            <w:r>
              <w:rPr>
                <w:rFonts w:ascii="Arial" w:cs="Arial" w:eastAsia="Arial" w:hAnsi="Arial"/>
                <w:b/>
                <w:bCs/>
                <w:color w:val="009FE3"/>
                <w:sz w:val="22"/>
                <w:szCs w:val="22"/>
              </w:rPr>
              <w:t xml:space="preserve">4.1  </w:t>
            </w:r>
            <w:r>
              <w:rPr>
                <w:rFonts w:ascii="Arial" w:cs="Arial" w:eastAsia="Arial" w:hAnsi="Arial"/>
                <w:b/>
                <w:bCs/>
                <w:color w:val="FFFFFF"/>
                <w:sz w:val="22"/>
                <w:szCs w:val="22"/>
              </w:rPr>
              <w:t xml:space="preserve">NUCLEAR QUALITY CULTURE</w:t>
            </w:r>
          </w:p>
        </w:tc>
      </w:tr>
      <w:tr>
        <w:tc>
          <w:tcPr>
            <w:tcBorders>
              <w:top w:val="single" w:color="CCCCCC" w:sz="1"/>
              <w:left w:val="single" w:color="CCCCCC" w:sz="1"/>
              <w:bottom w:val="single" w:color="CCCCCC" w:sz="1"/>
              <w:right w:val="single" w:color="CCCCCC" w:sz="1"/>
            </w:tcBorders>
            <w:shd w:fill="D6EEF8" w:val="clear"/>
            <w:tcMar>
              <w:top w:type="dxa" w:w="80"/>
              <w:left w:type="dxa" w:w="160"/>
              <w:bottom w:type="dxa" w:w="80"/>
              <w:right w:type="dxa" w:w="160"/>
            </w:tcMar>
          </w:tcPr>
          <w:p>
            <w:r>
              <w:rPr>
                <w:rFonts w:ascii="Arial" w:cs="Arial" w:eastAsia="Arial" w:hAnsi="Arial"/>
                <w:i/>
                <w:iCs/>
                <w:color w:val="001E3C"/>
                <w:sz w:val="20"/>
                <w:szCs w:val="20"/>
              </w:rPr>
              <w:t xml:space="preserve">The organisation shall establish and maintain a nuclear quality culture aligned to nuclear industry expectations, with leadership demonstrating visible commitment to quality as a nuclear safety priority.</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0"/>
            </w:pPr>
            <w:r>
              <w:rPr>
                <w:rFonts w:ascii="Arial" w:cs="Arial" w:eastAsia="Arial" w:hAnsi="Arial"/>
                <w:b/>
                <w:bCs/>
                <w:color w:val="83348F"/>
                <w:sz w:val="20"/>
                <w:szCs w:val="20"/>
              </w:rPr>
              <w:t xml:space="preserve">What this means in practice:</w:t>
            </w:r>
          </w:p>
          <w:p>
            <w:pPr>
              <w:spacing w:after="0" w:before="0"/>
            </w:pPr>
            <w:r>
              <w:rPr>
                <w:rFonts w:ascii="Arial" w:cs="Arial" w:eastAsia="Arial" w:hAnsi="Arial"/>
                <w:color w:val="5B595A"/>
                <w:sz w:val="19"/>
                <w:szCs w:val="19"/>
              </w:rPr>
              <w:t xml:space="preserve">Top management must actively demonstrate that quality is a nuclear safety priority, not just a compliance requirement. This means visible leadership on quality, regular review of quality performance at SLT level, and a genuine culture of raising and learning from quality concerns. A quality policy statement alone does not meet this requirement.</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09FE3" w:sz="1"/>
              <w:left w:val="single" w:color="009FE3" w:sz="1"/>
              <w:bottom w:val="single" w:color="009FE3" w:sz="1"/>
              <w:right w:val="single" w:color="009FE3" w:sz="1"/>
            </w:tcBorders>
            <w:shd w:fill="001E3C" w:val="clear"/>
            <w:tcMar>
              <w:top w:type="dxa" w:w="80"/>
              <w:left w:type="dxa" w:w="160"/>
              <w:bottom w:type="dxa" w:w="80"/>
              <w:right w:type="dxa" w:w="160"/>
            </w:tcMar>
          </w:tcPr>
          <w:p>
            <w:r>
              <w:rPr>
                <w:rFonts w:ascii="Arial" w:cs="Arial" w:eastAsia="Arial" w:hAnsi="Arial"/>
                <w:b/>
                <w:bCs/>
                <w:color w:val="009FE3"/>
                <w:sz w:val="22"/>
                <w:szCs w:val="22"/>
              </w:rPr>
              <w:t xml:space="preserve">4.3  </w:t>
            </w:r>
            <w:r>
              <w:rPr>
                <w:rFonts w:ascii="Arial" w:cs="Arial" w:eastAsia="Arial" w:hAnsi="Arial"/>
                <w:b/>
                <w:bCs/>
                <w:color w:val="FFFFFF"/>
                <w:sz w:val="22"/>
                <w:szCs w:val="22"/>
              </w:rPr>
              <w:t xml:space="preserve">ITNS SCOPE DETERMINATION</w:t>
            </w:r>
          </w:p>
        </w:tc>
      </w:tr>
      <w:tr>
        <w:tc>
          <w:tcPr>
            <w:tcBorders>
              <w:top w:val="single" w:color="CCCCCC" w:sz="1"/>
              <w:left w:val="single" w:color="CCCCCC" w:sz="1"/>
              <w:bottom w:val="single" w:color="CCCCCC" w:sz="1"/>
              <w:right w:val="single" w:color="CCCCCC" w:sz="1"/>
            </w:tcBorders>
            <w:shd w:fill="D6EEF8" w:val="clear"/>
            <w:tcMar>
              <w:top w:type="dxa" w:w="80"/>
              <w:left w:type="dxa" w:w="160"/>
              <w:bottom w:type="dxa" w:w="80"/>
              <w:right w:type="dxa" w:w="160"/>
            </w:tcMar>
          </w:tcPr>
          <w:p>
            <w:r>
              <w:rPr>
                <w:rFonts w:ascii="Arial" w:cs="Arial" w:eastAsia="Arial" w:hAnsi="Arial"/>
                <w:i/>
                <w:iCs/>
                <w:color w:val="001E3C"/>
                <w:sz w:val="20"/>
                <w:szCs w:val="20"/>
              </w:rPr>
              <w:t xml:space="preserve">The organisation shall determine which of its products and services are Important to Nuclear Safety and maintain documented evidence of this determination.</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0"/>
            </w:pPr>
            <w:r>
              <w:rPr>
                <w:rFonts w:ascii="Arial" w:cs="Arial" w:eastAsia="Arial" w:hAnsi="Arial"/>
                <w:b/>
                <w:bCs/>
                <w:color w:val="83348F"/>
                <w:sz w:val="20"/>
                <w:szCs w:val="20"/>
              </w:rPr>
              <w:t xml:space="preserve">What this means in practice:</w:t>
            </w:r>
          </w:p>
          <w:p>
            <w:pPr>
              <w:spacing w:after="0" w:before="0"/>
            </w:pPr>
            <w:r>
              <w:rPr>
                <w:rFonts w:ascii="Arial" w:cs="Arial" w:eastAsia="Arial" w:hAnsi="Arial"/>
                <w:color w:val="5B595A"/>
                <w:sz w:val="19"/>
                <w:szCs w:val="19"/>
              </w:rPr>
              <w:t xml:space="preserve">You must formally identify which elements of your scope fall within ITNS and document the basis for that determination. This typically flows from the classification provided by the client, but you must have a process for managing it and communicating it to relevant staff and functions.</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09FE3" w:sz="1"/>
              <w:left w:val="single" w:color="009FE3" w:sz="1"/>
              <w:bottom w:val="single" w:color="009FE3" w:sz="1"/>
              <w:right w:val="single" w:color="009FE3" w:sz="1"/>
            </w:tcBorders>
            <w:shd w:fill="001E3C" w:val="clear"/>
            <w:tcMar>
              <w:top w:type="dxa" w:w="80"/>
              <w:left w:type="dxa" w:w="160"/>
              <w:bottom w:type="dxa" w:w="80"/>
              <w:right w:type="dxa" w:w="160"/>
            </w:tcMar>
          </w:tcPr>
          <w:p>
            <w:r>
              <w:rPr>
                <w:rFonts w:ascii="Arial" w:cs="Arial" w:eastAsia="Arial" w:hAnsi="Arial"/>
                <w:b/>
                <w:bCs/>
                <w:color w:val="009FE3"/>
                <w:sz w:val="22"/>
                <w:szCs w:val="22"/>
              </w:rPr>
              <w:t xml:space="preserve">5.3  </w:t>
            </w:r>
            <w:r>
              <w:rPr>
                <w:rFonts w:ascii="Arial" w:cs="Arial" w:eastAsia="Arial" w:hAnsi="Arial"/>
                <w:b/>
                <w:bCs/>
                <w:color w:val="FFFFFF"/>
                <w:sz w:val="22"/>
                <w:szCs w:val="22"/>
              </w:rPr>
              <w:t xml:space="preserve">ORGANISATIONAL ROLES FOR NUCLEAR SAFETY QUALITY</w:t>
            </w:r>
          </w:p>
        </w:tc>
      </w:tr>
      <w:tr>
        <w:tc>
          <w:tcPr>
            <w:tcBorders>
              <w:top w:val="single" w:color="CCCCCC" w:sz="1"/>
              <w:left w:val="single" w:color="CCCCCC" w:sz="1"/>
              <w:bottom w:val="single" w:color="CCCCCC" w:sz="1"/>
              <w:right w:val="single" w:color="CCCCCC" w:sz="1"/>
            </w:tcBorders>
            <w:shd w:fill="D6EEF8" w:val="clear"/>
            <w:tcMar>
              <w:top w:type="dxa" w:w="80"/>
              <w:left w:type="dxa" w:w="160"/>
              <w:bottom w:type="dxa" w:w="80"/>
              <w:right w:type="dxa" w:w="160"/>
            </w:tcMar>
          </w:tcPr>
          <w:p>
            <w:r>
              <w:rPr>
                <w:rFonts w:ascii="Arial" w:cs="Arial" w:eastAsia="Arial" w:hAnsi="Arial"/>
                <w:i/>
                <w:iCs/>
                <w:color w:val="001E3C"/>
                <w:sz w:val="20"/>
                <w:szCs w:val="20"/>
              </w:rPr>
              <w:t xml:space="preserve">The organisation shall assign specific responsibility for nuclear safety quality management, with clear authority and accountability to ensure the QMS meets ISO 19443 requirements.</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0"/>
            </w:pPr>
            <w:r>
              <w:rPr>
                <w:rFonts w:ascii="Arial" w:cs="Arial" w:eastAsia="Arial" w:hAnsi="Arial"/>
                <w:b/>
                <w:bCs/>
                <w:color w:val="83348F"/>
                <w:sz w:val="20"/>
                <w:szCs w:val="20"/>
              </w:rPr>
              <w:t xml:space="preserve">What this means in practice:</w:t>
            </w:r>
          </w:p>
          <w:p>
            <w:pPr>
              <w:spacing w:after="0" w:before="0"/>
            </w:pPr>
            <w:r>
              <w:rPr>
                <w:rFonts w:ascii="Arial" w:cs="Arial" w:eastAsia="Arial" w:hAnsi="Arial"/>
                <w:color w:val="5B595A"/>
                <w:sz w:val="19"/>
                <w:szCs w:val="19"/>
              </w:rPr>
              <w:t xml:space="preserve">Beyond the general ISO 9001 requirement for management responsibility, ISO 19443 requires a named individual or function with specific authority for nuclear safety quality. This person must have sufficient independence to raise quality issues without commercial pressure overriding them.</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09FE3" w:sz="1"/>
              <w:left w:val="single" w:color="009FE3" w:sz="1"/>
              <w:bottom w:val="single" w:color="009FE3" w:sz="1"/>
              <w:right w:val="single" w:color="009FE3" w:sz="1"/>
            </w:tcBorders>
            <w:shd w:fill="001E3C" w:val="clear"/>
            <w:tcMar>
              <w:top w:type="dxa" w:w="80"/>
              <w:left w:type="dxa" w:w="160"/>
              <w:bottom w:type="dxa" w:w="80"/>
              <w:right w:type="dxa" w:w="160"/>
            </w:tcMar>
          </w:tcPr>
          <w:p>
            <w:r>
              <w:rPr>
                <w:rFonts w:ascii="Arial" w:cs="Arial" w:eastAsia="Arial" w:hAnsi="Arial"/>
                <w:b/>
                <w:bCs/>
                <w:color w:val="009FE3"/>
                <w:sz w:val="22"/>
                <w:szCs w:val="22"/>
              </w:rPr>
              <w:t xml:space="preserve">6.1  </w:t>
            </w:r>
            <w:r>
              <w:rPr>
                <w:rFonts w:ascii="Arial" w:cs="Arial" w:eastAsia="Arial" w:hAnsi="Arial"/>
                <w:b/>
                <w:bCs/>
                <w:color w:val="FFFFFF"/>
                <w:sz w:val="22"/>
                <w:szCs w:val="22"/>
              </w:rPr>
              <w:t xml:space="preserve">NUCLEAR RISK-BASED THINKING</w:t>
            </w:r>
          </w:p>
        </w:tc>
      </w:tr>
      <w:tr>
        <w:tc>
          <w:tcPr>
            <w:tcBorders>
              <w:top w:val="single" w:color="CCCCCC" w:sz="1"/>
              <w:left w:val="single" w:color="CCCCCC" w:sz="1"/>
              <w:bottom w:val="single" w:color="CCCCCC" w:sz="1"/>
              <w:right w:val="single" w:color="CCCCCC" w:sz="1"/>
            </w:tcBorders>
            <w:shd w:fill="D6EEF8" w:val="clear"/>
            <w:tcMar>
              <w:top w:type="dxa" w:w="80"/>
              <w:left w:type="dxa" w:w="160"/>
              <w:bottom w:type="dxa" w:w="80"/>
              <w:right w:type="dxa" w:w="160"/>
            </w:tcMar>
          </w:tcPr>
          <w:p>
            <w:r>
              <w:rPr>
                <w:rFonts w:ascii="Arial" w:cs="Arial" w:eastAsia="Arial" w:hAnsi="Arial"/>
                <w:i/>
                <w:iCs/>
                <w:color w:val="001E3C"/>
                <w:sz w:val="20"/>
                <w:szCs w:val="20"/>
              </w:rPr>
              <w:t xml:space="preserve">Quality planning shall apply risk-based thinking specifically calibrated to nuclear safety risks, including the consequences of failure across the full lifecycle of the nuclear facility.</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0"/>
            </w:pPr>
            <w:r>
              <w:rPr>
                <w:rFonts w:ascii="Arial" w:cs="Arial" w:eastAsia="Arial" w:hAnsi="Arial"/>
                <w:b/>
                <w:bCs/>
                <w:color w:val="83348F"/>
                <w:sz w:val="20"/>
                <w:szCs w:val="20"/>
              </w:rPr>
              <w:t xml:space="preserve">What this means in practice:</w:t>
            </w:r>
          </w:p>
          <w:p>
            <w:pPr>
              <w:spacing w:after="0" w:before="0"/>
            </w:pPr>
            <w:r>
              <w:rPr>
                <w:rFonts w:ascii="Arial" w:cs="Arial" w:eastAsia="Arial" w:hAnsi="Arial"/>
                <w:color w:val="5B595A"/>
                <w:sz w:val="19"/>
                <w:szCs w:val="19"/>
              </w:rPr>
              <w:t xml:space="preserve">Risk assessment under ISO 19443 must account for the nuclear safety significance of failure, not just commercial or operational risk. Your FMEA, risk registers, and quality plans must specifically address what happens in a nuclear context if a control fails.</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09FE3" w:sz="1"/>
              <w:left w:val="single" w:color="009FE3" w:sz="1"/>
              <w:bottom w:val="single" w:color="009FE3" w:sz="1"/>
              <w:right w:val="single" w:color="009FE3" w:sz="1"/>
            </w:tcBorders>
            <w:shd w:fill="001E3C" w:val="clear"/>
            <w:tcMar>
              <w:top w:type="dxa" w:w="80"/>
              <w:left w:type="dxa" w:w="160"/>
              <w:bottom w:type="dxa" w:w="80"/>
              <w:right w:type="dxa" w:w="160"/>
            </w:tcMar>
          </w:tcPr>
          <w:p>
            <w:r>
              <w:rPr>
                <w:rFonts w:ascii="Arial" w:cs="Arial" w:eastAsia="Arial" w:hAnsi="Arial"/>
                <w:b/>
                <w:bCs/>
                <w:color w:val="009FE3"/>
                <w:sz w:val="22"/>
                <w:szCs w:val="22"/>
              </w:rPr>
              <w:t xml:space="preserve">7.1.2  </w:t>
            </w:r>
            <w:r>
              <w:rPr>
                <w:rFonts w:ascii="Arial" w:cs="Arial" w:eastAsia="Arial" w:hAnsi="Arial"/>
                <w:b/>
                <w:bCs/>
                <w:color w:val="FFFFFF"/>
                <w:sz w:val="22"/>
                <w:szCs w:val="22"/>
              </w:rPr>
              <w:t xml:space="preserve">SUITABLY QUALIFIED AND EXPERIENCED PERSONNEL</w:t>
            </w:r>
          </w:p>
        </w:tc>
      </w:tr>
      <w:tr>
        <w:tc>
          <w:tcPr>
            <w:tcBorders>
              <w:top w:val="single" w:color="CCCCCC" w:sz="1"/>
              <w:left w:val="single" w:color="CCCCCC" w:sz="1"/>
              <w:bottom w:val="single" w:color="CCCCCC" w:sz="1"/>
              <w:right w:val="single" w:color="CCCCCC" w:sz="1"/>
            </w:tcBorders>
            <w:shd w:fill="D6EEF8" w:val="clear"/>
            <w:tcMar>
              <w:top w:type="dxa" w:w="80"/>
              <w:left w:type="dxa" w:w="160"/>
              <w:bottom w:type="dxa" w:w="80"/>
              <w:right w:type="dxa" w:w="160"/>
            </w:tcMar>
          </w:tcPr>
          <w:p>
            <w:r>
              <w:rPr>
                <w:rFonts w:ascii="Arial" w:cs="Arial" w:eastAsia="Arial" w:hAnsi="Arial"/>
                <w:i/>
                <w:iCs/>
                <w:color w:val="001E3C"/>
                <w:sz w:val="20"/>
                <w:szCs w:val="20"/>
              </w:rPr>
              <w:t xml:space="preserve">The organisation shall ensure that persons performing ITNS work are suitably qualified and experienced for the tasks they undertake, and shall maintain records of their qualifications, experience, and authorisations.</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0"/>
            </w:pPr>
            <w:r>
              <w:rPr>
                <w:rFonts w:ascii="Arial" w:cs="Arial" w:eastAsia="Arial" w:hAnsi="Arial"/>
                <w:b/>
                <w:bCs/>
                <w:color w:val="83348F"/>
                <w:sz w:val="20"/>
                <w:szCs w:val="20"/>
              </w:rPr>
              <w:t xml:space="preserve">What this means in practice:</w:t>
            </w:r>
          </w:p>
          <w:p>
            <w:pPr>
              <w:spacing w:after="0" w:before="0"/>
            </w:pPr>
            <w:r>
              <w:rPr>
                <w:rFonts w:ascii="Arial" w:cs="Arial" w:eastAsia="Arial" w:hAnsi="Arial"/>
                <w:color w:val="5B595A"/>
                <w:sz w:val="19"/>
                <w:szCs w:val="19"/>
              </w:rPr>
              <w:t xml:space="preserve">SQEP is one of the most frequently assessed areas during nuclear supplier qualification. For every person carrying out safety-significant work, you must be able to demonstrate their relevant qualifications, training records, experience, and any specific authorisations or approvals. A general training matrix is not sufficient for Grade 1 or 2 work.</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09FE3" w:sz="1"/>
              <w:left w:val="single" w:color="009FE3" w:sz="1"/>
              <w:bottom w:val="single" w:color="009FE3" w:sz="1"/>
              <w:right w:val="single" w:color="009FE3" w:sz="1"/>
            </w:tcBorders>
            <w:shd w:fill="001E3C" w:val="clear"/>
            <w:tcMar>
              <w:top w:type="dxa" w:w="80"/>
              <w:left w:type="dxa" w:w="160"/>
              <w:bottom w:type="dxa" w:w="80"/>
              <w:right w:type="dxa" w:w="160"/>
            </w:tcMar>
          </w:tcPr>
          <w:p>
            <w:r>
              <w:rPr>
                <w:rFonts w:ascii="Arial" w:cs="Arial" w:eastAsia="Arial" w:hAnsi="Arial"/>
                <w:b/>
                <w:bCs/>
                <w:color w:val="009FE3"/>
                <w:sz w:val="22"/>
                <w:szCs w:val="22"/>
              </w:rPr>
              <w:t xml:space="preserve">7.2  </w:t>
            </w:r>
            <w:r>
              <w:rPr>
                <w:rFonts w:ascii="Arial" w:cs="Arial" w:eastAsia="Arial" w:hAnsi="Arial"/>
                <w:b/>
                <w:bCs/>
                <w:color w:val="FFFFFF"/>
                <w:sz w:val="22"/>
                <w:szCs w:val="22"/>
              </w:rPr>
              <w:t xml:space="preserve">NUCLEAR-SPECIFIC COMPETENCE</w:t>
            </w:r>
          </w:p>
        </w:tc>
      </w:tr>
      <w:tr>
        <w:tc>
          <w:tcPr>
            <w:tcBorders>
              <w:top w:val="single" w:color="CCCCCC" w:sz="1"/>
              <w:left w:val="single" w:color="CCCCCC" w:sz="1"/>
              <w:bottom w:val="single" w:color="CCCCCC" w:sz="1"/>
              <w:right w:val="single" w:color="CCCCCC" w:sz="1"/>
            </w:tcBorders>
            <w:shd w:fill="D6EEF8" w:val="clear"/>
            <w:tcMar>
              <w:top w:type="dxa" w:w="80"/>
              <w:left w:type="dxa" w:w="160"/>
              <w:bottom w:type="dxa" w:w="80"/>
              <w:right w:type="dxa" w:w="160"/>
            </w:tcMar>
          </w:tcPr>
          <w:p>
            <w:r>
              <w:rPr>
                <w:rFonts w:ascii="Arial" w:cs="Arial" w:eastAsia="Arial" w:hAnsi="Arial"/>
                <w:i/>
                <w:iCs/>
                <w:color w:val="001E3C"/>
                <w:sz w:val="20"/>
                <w:szCs w:val="20"/>
              </w:rPr>
              <w:t xml:space="preserve">Competence requirements for ITNS work shall include nuclear-specific knowledge and awareness, and shall be defined at activity level rather than role level only.</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0"/>
            </w:pPr>
            <w:r>
              <w:rPr>
                <w:rFonts w:ascii="Arial" w:cs="Arial" w:eastAsia="Arial" w:hAnsi="Arial"/>
                <w:b/>
                <w:bCs/>
                <w:color w:val="83348F"/>
                <w:sz w:val="20"/>
                <w:szCs w:val="20"/>
              </w:rPr>
              <w:t xml:space="preserve">What this means in practice:</w:t>
            </w:r>
          </w:p>
          <w:p>
            <w:pPr>
              <w:spacing w:after="0" w:before="0"/>
            </w:pPr>
            <w:r>
              <w:rPr>
                <w:rFonts w:ascii="Arial" w:cs="Arial" w:eastAsia="Arial" w:hAnsi="Arial"/>
                <w:color w:val="5B595A"/>
                <w:sz w:val="19"/>
                <w:szCs w:val="19"/>
              </w:rPr>
              <w:t xml:space="preserve">Staff performing nuclear work must be assessed as competent for each type of safety-significant activity they perform, not just for their general role. Competence assessments must be specific enough to confirm the individual can perform the particular task to the required nuclear standard.</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09FE3" w:sz="1"/>
              <w:left w:val="single" w:color="009FE3" w:sz="1"/>
              <w:bottom w:val="single" w:color="009FE3" w:sz="1"/>
              <w:right w:val="single" w:color="009FE3" w:sz="1"/>
            </w:tcBorders>
            <w:shd w:fill="001E3C" w:val="clear"/>
            <w:tcMar>
              <w:top w:type="dxa" w:w="80"/>
              <w:left w:type="dxa" w:w="160"/>
              <w:bottom w:type="dxa" w:w="80"/>
              <w:right w:type="dxa" w:w="160"/>
            </w:tcMar>
          </w:tcPr>
          <w:p>
            <w:r>
              <w:rPr>
                <w:rFonts w:ascii="Arial" w:cs="Arial" w:eastAsia="Arial" w:hAnsi="Arial"/>
                <w:b/>
                <w:bCs/>
                <w:color w:val="009FE3"/>
                <w:sz w:val="22"/>
                <w:szCs w:val="22"/>
              </w:rPr>
              <w:t xml:space="preserve">7.5  </w:t>
            </w:r>
            <w:r>
              <w:rPr>
                <w:rFonts w:ascii="Arial" w:cs="Arial" w:eastAsia="Arial" w:hAnsi="Arial"/>
                <w:b/>
                <w:bCs/>
                <w:color w:val="FFFFFF"/>
                <w:sz w:val="22"/>
                <w:szCs w:val="22"/>
              </w:rPr>
              <w:t xml:space="preserve">LIFETIME QUALITY RECORDS</w:t>
            </w:r>
          </w:p>
        </w:tc>
      </w:tr>
      <w:tr>
        <w:tc>
          <w:tcPr>
            <w:tcBorders>
              <w:top w:val="single" w:color="CCCCCC" w:sz="1"/>
              <w:left w:val="single" w:color="CCCCCC" w:sz="1"/>
              <w:bottom w:val="single" w:color="CCCCCC" w:sz="1"/>
              <w:right w:val="single" w:color="CCCCCC" w:sz="1"/>
            </w:tcBorders>
            <w:shd w:fill="D6EEF8" w:val="clear"/>
            <w:tcMar>
              <w:top w:type="dxa" w:w="80"/>
              <w:left w:type="dxa" w:w="160"/>
              <w:bottom w:type="dxa" w:w="80"/>
              <w:right w:type="dxa" w:w="160"/>
            </w:tcMar>
          </w:tcPr>
          <w:p>
            <w:r>
              <w:rPr>
                <w:rFonts w:ascii="Arial" w:cs="Arial" w:eastAsia="Arial" w:hAnsi="Arial"/>
                <w:i/>
                <w:iCs/>
                <w:color w:val="001E3C"/>
                <w:sz w:val="20"/>
                <w:szCs w:val="20"/>
              </w:rPr>
              <w:t xml:space="preserve">Records related to ITNS shall be controlled, protected, and retained for the lifetime of the nuclear facility or as otherwise specified, which may be 40 years or more.</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0"/>
            </w:pPr>
            <w:r>
              <w:rPr>
                <w:rFonts w:ascii="Arial" w:cs="Arial" w:eastAsia="Arial" w:hAnsi="Arial"/>
                <w:b/>
                <w:bCs/>
                <w:color w:val="83348F"/>
                <w:sz w:val="20"/>
                <w:szCs w:val="20"/>
              </w:rPr>
              <w:t xml:space="preserve">What this means in practice:</w:t>
            </w:r>
          </w:p>
          <w:p>
            <w:pPr>
              <w:spacing w:after="0" w:before="0"/>
            </w:pPr>
            <w:r>
              <w:rPr>
                <w:rFonts w:ascii="Arial" w:cs="Arial" w:eastAsia="Arial" w:hAnsi="Arial"/>
                <w:color w:val="5B595A"/>
                <w:sz w:val="19"/>
                <w:szCs w:val="19"/>
              </w:rPr>
              <w:t xml:space="preserve">This is one of the most operationally significant differences from ISO 9001. Records of quality-relevant activities on nuclear work must be traceable, legible, complete, and retrievable for the full lifetime of the facility. This includes material certificates, inspection records, weld records, test results, NCRs, and authorisation records. Your document management system must be capable of maintaining these records for decades.</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09FE3" w:sz="1"/>
              <w:left w:val="single" w:color="009FE3" w:sz="1"/>
              <w:bottom w:val="single" w:color="009FE3" w:sz="1"/>
              <w:right w:val="single" w:color="009FE3" w:sz="1"/>
            </w:tcBorders>
            <w:shd w:fill="001E3C" w:val="clear"/>
            <w:tcMar>
              <w:top w:type="dxa" w:w="80"/>
              <w:left w:type="dxa" w:w="160"/>
              <w:bottom w:type="dxa" w:w="80"/>
              <w:right w:type="dxa" w:w="160"/>
            </w:tcMar>
          </w:tcPr>
          <w:p>
            <w:r>
              <w:rPr>
                <w:rFonts w:ascii="Arial" w:cs="Arial" w:eastAsia="Arial" w:hAnsi="Arial"/>
                <w:b/>
                <w:bCs/>
                <w:color w:val="009FE3"/>
                <w:sz w:val="22"/>
                <w:szCs w:val="22"/>
              </w:rPr>
              <w:t xml:space="preserve">8.4  </w:t>
            </w:r>
            <w:r>
              <w:rPr>
                <w:rFonts w:ascii="Arial" w:cs="Arial" w:eastAsia="Arial" w:hAnsi="Arial"/>
                <w:b/>
                <w:bCs/>
                <w:color w:val="FFFFFF"/>
                <w:sz w:val="22"/>
                <w:szCs w:val="22"/>
              </w:rPr>
              <w:t xml:space="preserve">NUCLEAR SUPPLY CHAIN CONTROLS</w:t>
            </w:r>
          </w:p>
        </w:tc>
      </w:tr>
      <w:tr>
        <w:tc>
          <w:tcPr>
            <w:tcBorders>
              <w:top w:val="single" w:color="CCCCCC" w:sz="1"/>
              <w:left w:val="single" w:color="CCCCCC" w:sz="1"/>
              <w:bottom w:val="single" w:color="CCCCCC" w:sz="1"/>
              <w:right w:val="single" w:color="CCCCCC" w:sz="1"/>
            </w:tcBorders>
            <w:shd w:fill="D6EEF8" w:val="clear"/>
            <w:tcMar>
              <w:top w:type="dxa" w:w="80"/>
              <w:left w:type="dxa" w:w="160"/>
              <w:bottom w:type="dxa" w:w="80"/>
              <w:right w:type="dxa" w:w="160"/>
            </w:tcMar>
          </w:tcPr>
          <w:p>
            <w:r>
              <w:rPr>
                <w:rFonts w:ascii="Arial" w:cs="Arial" w:eastAsia="Arial" w:hAnsi="Arial"/>
                <w:i/>
                <w:iCs/>
                <w:color w:val="001E3C"/>
                <w:sz w:val="20"/>
                <w:szCs w:val="20"/>
              </w:rPr>
              <w:t xml:space="preserve">Enhanced controls shall be applied to the nuclear supply chain, including CFSI prevention, supplier qualification, flow-down of nuclear quality requirements, and right of access for the organisation and its clients.</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0"/>
            </w:pPr>
            <w:r>
              <w:rPr>
                <w:rFonts w:ascii="Arial" w:cs="Arial" w:eastAsia="Arial" w:hAnsi="Arial"/>
                <w:b/>
                <w:bCs/>
                <w:color w:val="83348F"/>
                <w:sz w:val="20"/>
                <w:szCs w:val="20"/>
              </w:rPr>
              <w:t xml:space="preserve">What this means in practice:</w:t>
            </w:r>
          </w:p>
          <w:p>
            <w:pPr>
              <w:spacing w:after="0" w:before="0"/>
            </w:pPr>
            <w:r>
              <w:rPr>
                <w:rFonts w:ascii="Arial" w:cs="Arial" w:eastAsia="Arial" w:hAnsi="Arial"/>
                <w:color w:val="5B595A"/>
                <w:sz w:val="19"/>
                <w:szCs w:val="19"/>
              </w:rPr>
              <w:t xml:space="preserve">Your procurement process for nuclear work must formally qualify suppliers, flow down applicable nuclear quality requirements, and include contractual right of access for inspection and audit. CFSI controls must be embedded in the purchasing process, not added as an afterthought. See the CFSI Awareness Training Guide (NSS-03g) for full detail.</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09FE3" w:sz="1"/>
              <w:left w:val="single" w:color="009FE3" w:sz="1"/>
              <w:bottom w:val="single" w:color="009FE3" w:sz="1"/>
              <w:right w:val="single" w:color="009FE3" w:sz="1"/>
            </w:tcBorders>
            <w:shd w:fill="001E3C" w:val="clear"/>
            <w:tcMar>
              <w:top w:type="dxa" w:w="80"/>
              <w:left w:type="dxa" w:w="160"/>
              <w:bottom w:type="dxa" w:w="80"/>
              <w:right w:type="dxa" w:w="160"/>
            </w:tcMar>
          </w:tcPr>
          <w:p>
            <w:r>
              <w:rPr>
                <w:rFonts w:ascii="Arial" w:cs="Arial" w:eastAsia="Arial" w:hAnsi="Arial"/>
                <w:b/>
                <w:bCs/>
                <w:color w:val="009FE3"/>
                <w:sz w:val="22"/>
                <w:szCs w:val="22"/>
              </w:rPr>
              <w:t xml:space="preserve">8.5  </w:t>
            </w:r>
            <w:r>
              <w:rPr>
                <w:rFonts w:ascii="Arial" w:cs="Arial" w:eastAsia="Arial" w:hAnsi="Arial"/>
                <w:b/>
                <w:bCs/>
                <w:color w:val="FFFFFF"/>
                <w:sz w:val="22"/>
                <w:szCs w:val="22"/>
              </w:rPr>
              <w:t xml:space="preserve">SPECIAL PROCESSES</w:t>
            </w:r>
          </w:p>
        </w:tc>
      </w:tr>
      <w:tr>
        <w:tc>
          <w:tcPr>
            <w:tcBorders>
              <w:top w:val="single" w:color="CCCCCC" w:sz="1"/>
              <w:left w:val="single" w:color="CCCCCC" w:sz="1"/>
              <w:bottom w:val="single" w:color="CCCCCC" w:sz="1"/>
              <w:right w:val="single" w:color="CCCCCC" w:sz="1"/>
            </w:tcBorders>
            <w:shd w:fill="D6EEF8" w:val="clear"/>
            <w:tcMar>
              <w:top w:type="dxa" w:w="80"/>
              <w:left w:type="dxa" w:w="160"/>
              <w:bottom w:type="dxa" w:w="80"/>
              <w:right w:type="dxa" w:w="160"/>
            </w:tcMar>
          </w:tcPr>
          <w:p>
            <w:r>
              <w:rPr>
                <w:rFonts w:ascii="Arial" w:cs="Arial" w:eastAsia="Arial" w:hAnsi="Arial"/>
                <w:i/>
                <w:iCs/>
                <w:color w:val="001E3C"/>
                <w:sz w:val="20"/>
                <w:szCs w:val="20"/>
              </w:rPr>
              <w:t xml:space="preserve">Special processes whose results cannot be fully verified by subsequent inspection shall be qualified and performed by qualified personnel under controlled conditions.</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0"/>
            </w:pPr>
            <w:r>
              <w:rPr>
                <w:rFonts w:ascii="Arial" w:cs="Arial" w:eastAsia="Arial" w:hAnsi="Arial"/>
                <w:b/>
                <w:bCs/>
                <w:color w:val="83348F"/>
                <w:sz w:val="20"/>
                <w:szCs w:val="20"/>
              </w:rPr>
              <w:t xml:space="preserve">What this means in practice:</w:t>
            </w:r>
          </w:p>
          <w:p>
            <w:pPr>
              <w:spacing w:after="0" w:before="0"/>
            </w:pPr>
            <w:r>
              <w:rPr>
                <w:rFonts w:ascii="Arial" w:cs="Arial" w:eastAsia="Arial" w:hAnsi="Arial"/>
                <w:color w:val="5B595A"/>
                <w:sz w:val="19"/>
                <w:szCs w:val="19"/>
              </w:rPr>
              <w:t xml:space="preserve">Welding, heat treatment, NDE, coating, and similar processes must be performed to approved procedures by qualified personnel. Procedure qualification records and personnel qualification certificates must be maintained and accessible for review.</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09FE3" w:sz="1"/>
              <w:left w:val="single" w:color="009FE3" w:sz="1"/>
              <w:bottom w:val="single" w:color="009FE3" w:sz="1"/>
              <w:right w:val="single" w:color="009FE3" w:sz="1"/>
            </w:tcBorders>
            <w:shd w:fill="001E3C" w:val="clear"/>
            <w:tcMar>
              <w:top w:type="dxa" w:w="80"/>
              <w:left w:type="dxa" w:w="160"/>
              <w:bottom w:type="dxa" w:w="80"/>
              <w:right w:type="dxa" w:w="160"/>
            </w:tcMar>
          </w:tcPr>
          <w:p>
            <w:r>
              <w:rPr>
                <w:rFonts w:ascii="Arial" w:cs="Arial" w:eastAsia="Arial" w:hAnsi="Arial"/>
                <w:b/>
                <w:bCs/>
                <w:color w:val="009FE3"/>
                <w:sz w:val="22"/>
                <w:szCs w:val="22"/>
              </w:rPr>
              <w:t xml:space="preserve">8.7  </w:t>
            </w:r>
            <w:r>
              <w:rPr>
                <w:rFonts w:ascii="Arial" w:cs="Arial" w:eastAsia="Arial" w:hAnsi="Arial"/>
                <w:b/>
                <w:bCs/>
                <w:color w:val="FFFFFF"/>
                <w:sz w:val="22"/>
                <w:szCs w:val="22"/>
              </w:rPr>
              <w:t xml:space="preserve">CONTROL OF NUCLEAR NON-CONFORMANCES</w:t>
            </w:r>
          </w:p>
        </w:tc>
      </w:tr>
      <w:tr>
        <w:tc>
          <w:tcPr>
            <w:tcBorders>
              <w:top w:val="single" w:color="CCCCCC" w:sz="1"/>
              <w:left w:val="single" w:color="CCCCCC" w:sz="1"/>
              <w:bottom w:val="single" w:color="CCCCCC" w:sz="1"/>
              <w:right w:val="single" w:color="CCCCCC" w:sz="1"/>
            </w:tcBorders>
            <w:shd w:fill="D6EEF8" w:val="clear"/>
            <w:tcMar>
              <w:top w:type="dxa" w:w="80"/>
              <w:left w:type="dxa" w:w="160"/>
              <w:bottom w:type="dxa" w:w="80"/>
              <w:right w:type="dxa" w:w="160"/>
            </w:tcMar>
          </w:tcPr>
          <w:p>
            <w:r>
              <w:rPr>
                <w:rFonts w:ascii="Arial" w:cs="Arial" w:eastAsia="Arial" w:hAnsi="Arial"/>
                <w:i/>
                <w:iCs/>
                <w:color w:val="001E3C"/>
                <w:sz w:val="20"/>
                <w:szCs w:val="20"/>
              </w:rPr>
              <w:t xml:space="preserve">Non-conformances on ITNS work shall be formally identified, documented, evaluated for nuclear safety significance, dispositioned through an approved process, and closed with verification. Concessions require formal approval.</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0"/>
            </w:pPr>
            <w:r>
              <w:rPr>
                <w:rFonts w:ascii="Arial" w:cs="Arial" w:eastAsia="Arial" w:hAnsi="Arial"/>
                <w:b/>
                <w:bCs/>
                <w:color w:val="83348F"/>
                <w:sz w:val="20"/>
                <w:szCs w:val="20"/>
              </w:rPr>
              <w:t xml:space="preserve">What this means in practice:</w:t>
            </w:r>
          </w:p>
          <w:p>
            <w:pPr>
              <w:spacing w:after="0" w:before="0"/>
            </w:pPr>
            <w:r>
              <w:rPr>
                <w:rFonts w:ascii="Arial" w:cs="Arial" w:eastAsia="Arial" w:hAnsi="Arial"/>
                <w:color w:val="5B595A"/>
                <w:sz w:val="19"/>
                <w:szCs w:val="19"/>
              </w:rPr>
              <w:t xml:space="preserve">The key difference from generic NCR management is the requirement to evaluate nuclear safety significance and to obtain formal approval before use-as-is dispositions or concessions are applied. A nuclear non-conformance cannot simply be reworked and released: it must be evaluated, dispositioned through an agreed process, and the disposition must be documented and retained as a quality record.</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09FE3" w:sz="1"/>
              <w:left w:val="single" w:color="009FE3" w:sz="1"/>
              <w:bottom w:val="single" w:color="009FE3" w:sz="1"/>
              <w:right w:val="single" w:color="009FE3" w:sz="1"/>
            </w:tcBorders>
            <w:shd w:fill="001E3C" w:val="clear"/>
            <w:tcMar>
              <w:top w:type="dxa" w:w="80"/>
              <w:left w:type="dxa" w:w="160"/>
              <w:bottom w:type="dxa" w:w="80"/>
              <w:right w:type="dxa" w:w="160"/>
            </w:tcMar>
          </w:tcPr>
          <w:p>
            <w:r>
              <w:rPr>
                <w:rFonts w:ascii="Arial" w:cs="Arial" w:eastAsia="Arial" w:hAnsi="Arial"/>
                <w:b/>
                <w:bCs/>
                <w:color w:val="009FE3"/>
                <w:sz w:val="22"/>
                <w:szCs w:val="22"/>
              </w:rPr>
              <w:t xml:space="preserve">9.1  </w:t>
            </w:r>
            <w:r>
              <w:rPr>
                <w:rFonts w:ascii="Arial" w:cs="Arial" w:eastAsia="Arial" w:hAnsi="Arial"/>
                <w:b/>
                <w:bCs/>
                <w:color w:val="FFFFFF"/>
                <w:sz w:val="22"/>
                <w:szCs w:val="22"/>
              </w:rPr>
              <w:t xml:space="preserve">NUCLEAR PERFORMANCE MONITORING</w:t>
            </w:r>
          </w:p>
        </w:tc>
      </w:tr>
      <w:tr>
        <w:tc>
          <w:tcPr>
            <w:tcBorders>
              <w:top w:val="single" w:color="CCCCCC" w:sz="1"/>
              <w:left w:val="single" w:color="CCCCCC" w:sz="1"/>
              <w:bottom w:val="single" w:color="CCCCCC" w:sz="1"/>
              <w:right w:val="single" w:color="CCCCCC" w:sz="1"/>
            </w:tcBorders>
            <w:shd w:fill="D6EEF8" w:val="clear"/>
            <w:tcMar>
              <w:top w:type="dxa" w:w="80"/>
              <w:left w:type="dxa" w:w="160"/>
              <w:bottom w:type="dxa" w:w="80"/>
              <w:right w:type="dxa" w:w="160"/>
            </w:tcMar>
          </w:tcPr>
          <w:p>
            <w:r>
              <w:rPr>
                <w:rFonts w:ascii="Arial" w:cs="Arial" w:eastAsia="Arial" w:hAnsi="Arial"/>
                <w:i/>
                <w:iCs/>
                <w:color w:val="001E3C"/>
                <w:sz w:val="20"/>
                <w:szCs w:val="20"/>
              </w:rPr>
              <w:t xml:space="preserve">The organisation shall establish performance indicators specific to nuclear quality and review them at defined intervals as part of nuclear safety management.</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0"/>
            </w:pPr>
            <w:r>
              <w:rPr>
                <w:rFonts w:ascii="Arial" w:cs="Arial" w:eastAsia="Arial" w:hAnsi="Arial"/>
                <w:b/>
                <w:bCs/>
                <w:color w:val="83348F"/>
                <w:sz w:val="20"/>
                <w:szCs w:val="20"/>
              </w:rPr>
              <w:t xml:space="preserve">What this means in practice:</w:t>
            </w:r>
          </w:p>
          <w:p>
            <w:pPr>
              <w:spacing w:after="0" w:before="0"/>
            </w:pPr>
            <w:r>
              <w:rPr>
                <w:rFonts w:ascii="Arial" w:cs="Arial" w:eastAsia="Arial" w:hAnsi="Arial"/>
                <w:color w:val="5B595A"/>
                <w:sz w:val="19"/>
                <w:szCs w:val="19"/>
              </w:rPr>
              <w:t xml:space="preserve">Your management review process must include nuclear-specific quality performance data, not just generic KPIs. This should include trend data on nuclear NCRs, CFSI near misses, SQEP currency, and audit findings.</w:t>
            </w:r>
          </w:p>
        </w:tc>
      </w:tr>
    </w:tbl>
    <w:p>
      <w:pPr>
        <w:spacing w:after="80" w:before="80"/>
      </w:pPr>
      <w:r>
        <w:t xml:space="preserve"/>
      </w:r>
    </w:p>
    <w:p>
      <w:r>
        <w:br w:type="page"/>
      </w:r>
    </w:p>
    <w:p>
      <w:pPr>
        <w:shd w:fill="001E3C" w:val="clear"/>
        <w:spacing w:after="80" w:before="240"/>
        <w:ind w:left="120" w:right="120"/>
      </w:pPr>
      <w:r>
        <w:rPr>
          <w:rFonts w:ascii="Arial" w:cs="Arial" w:eastAsia="Arial" w:hAnsi="Arial"/>
          <w:b/>
          <w:bCs/>
          <w:color w:val="FFFFFF"/>
          <w:sz w:val="26"/>
          <w:szCs w:val="26"/>
        </w:rPr>
        <w:t xml:space="preserve">SECTION 4: YOUR PATH TO ISO 19443 ALIGNMENT</w:t>
      </w:r>
    </w:p>
    <w:p>
      <w:pPr>
        <w:spacing w:after="80" w:before="80"/>
      </w:pPr>
      <w:r>
        <w:t xml:space="preserve"/>
      </w:r>
    </w:p>
    <w:p>
      <w:pPr>
        <w:pStyle w:val="Heading2"/>
        <w:pBdr>
          <w:bottom w:val="single" w:color="009FE3" w:sz="4" w:space="1"/>
        </w:pBdr>
        <w:spacing w:after="80" w:before="240"/>
      </w:pPr>
      <w:r>
        <w:rPr>
          <w:rFonts w:ascii="Arial" w:cs="Arial" w:eastAsia="Arial" w:hAnsi="Arial"/>
          <w:b/>
          <w:bCs/>
          <w:color w:val="7B2D8B"/>
          <w:sz w:val="28"/>
          <w:szCs w:val="28"/>
        </w:rPr>
        <w:t xml:space="preserve">4.1 Where to Start</w:t>
      </w:r>
    </w:p>
    <w:p>
      <w:pPr>
        <w:spacing w:after="80" w:before="60"/>
      </w:pPr>
      <w:r>
        <w:rPr>
          <w:rFonts w:ascii="Arial" w:cs="Arial" w:eastAsia="Arial" w:hAnsi="Arial"/>
          <w:color w:val="5B595A"/>
          <w:sz w:val="22"/>
          <w:szCs w:val="22"/>
        </w:rPr>
        <w:t xml:space="preserve">For an organisation currently certified to ISO 9001, the journey to ISO 19443 compliance is structured around identifying and closing the gaps between your existing QMS and the additional ISO 19443 requirements. This is not a complete rebuild: a well-implemented ISO 9001 system provides a strong foundation. The key areas to address are those where nuclear specifically raises the bar.</w:t>
      </w:r>
    </w:p>
    <w:p>
      <w:pPr>
        <w:spacing w:after="80" w:before="80"/>
      </w:pPr>
      <w:r>
        <w:t xml:space="preserve"/>
      </w:r>
    </w:p>
    <w:p>
      <w:pPr>
        <w:spacing w:after="60" w:before="160"/>
      </w:pPr>
      <w:r>
        <w:rPr>
          <w:rFonts w:ascii="Arial" w:cs="Arial" w:eastAsia="Arial" w:hAnsi="Arial"/>
          <w:b/>
          <w:bCs/>
          <w:color w:val="83348F"/>
          <w:sz w:val="24"/>
          <w:szCs w:val="24"/>
        </w:rPr>
        <w:t xml:space="preserve">Priority Areas for Most ISO 9001 Organisations</w:t>
      </w:r>
    </w:p>
    <w:p>
      <w:pPr>
        <w:pStyle w:val="ListParagraph"/>
        <w:numPr>
          <w:ilvl w:val="0"/>
          <w:numId w:val="2"/>
        </w:numPr>
        <w:spacing w:after="40" w:before="40"/>
      </w:pPr>
      <w:r>
        <w:rPr>
          <w:rFonts w:ascii="Arial" w:cs="Arial" w:eastAsia="Arial" w:hAnsi="Arial"/>
          <w:b/>
          <w:bCs/>
          <w:color w:val="5B595A"/>
          <w:sz w:val="22"/>
          <w:szCs w:val="22"/>
        </w:rPr>
        <w:t xml:space="preserve">SQEP: most organisations have a training matrix and HR records, but few have the individual activity-level qualification records and formal authorisation trails that ISO 19443 requires for safety-significant work</w:t>
      </w:r>
    </w:p>
    <w:p>
      <w:pPr>
        <w:pStyle w:val="ListParagraph"/>
        <w:numPr>
          <w:ilvl w:val="0"/>
          <w:numId w:val="2"/>
        </w:numPr>
        <w:spacing w:after="40" w:before="40"/>
      </w:pPr>
      <w:r>
        <w:rPr>
          <w:rFonts w:ascii="Arial" w:cs="Arial" w:eastAsia="Arial" w:hAnsi="Arial"/>
          <w:b/>
          <w:bCs/>
          <w:color w:val="5B595A"/>
          <w:sz w:val="22"/>
          <w:szCs w:val="22"/>
        </w:rPr>
        <w:t xml:space="preserve">Lifetime records: ISO 9001 requires records to be retained but rarely specifies the timescales nuclear demands. Document management systems need to be assessed for their ability to maintain quality records for 40+ years</w:t>
      </w:r>
    </w:p>
    <w:p>
      <w:pPr>
        <w:pStyle w:val="ListParagraph"/>
        <w:numPr>
          <w:ilvl w:val="0"/>
          <w:numId w:val="2"/>
        </w:numPr>
        <w:spacing w:after="40" w:before="40"/>
      </w:pPr>
      <w:r>
        <w:rPr>
          <w:rFonts w:ascii="Arial" w:cs="Arial" w:eastAsia="Arial" w:hAnsi="Arial"/>
          <w:b/>
          <w:bCs/>
          <w:color w:val="5B595A"/>
          <w:sz w:val="22"/>
          <w:szCs w:val="22"/>
        </w:rPr>
        <w:t xml:space="preserve">Nuclear quality culture: the requirement for visible leadership commitment to quality as a nuclear safety priority goes beyond what a typical ISO 9001 management review covers</w:t>
      </w:r>
    </w:p>
    <w:p>
      <w:pPr>
        <w:pStyle w:val="ListParagraph"/>
        <w:numPr>
          <w:ilvl w:val="0"/>
          <w:numId w:val="2"/>
        </w:numPr>
        <w:spacing w:after="40" w:before="40"/>
      </w:pPr>
      <w:r>
        <w:rPr>
          <w:rFonts w:ascii="Arial" w:cs="Arial" w:eastAsia="Arial" w:hAnsi="Arial"/>
          <w:b/>
          <w:bCs/>
          <w:color w:val="5B595A"/>
          <w:sz w:val="22"/>
          <w:szCs w:val="22"/>
        </w:rPr>
        <w:t xml:space="preserve">Non-conformance management: the nuclear requirement for safety significance grading and formal concession approval typically requires updates to existing NCR procedures</w:t>
      </w:r>
    </w:p>
    <w:p>
      <w:pPr>
        <w:pStyle w:val="ListParagraph"/>
        <w:numPr>
          <w:ilvl w:val="0"/>
          <w:numId w:val="2"/>
        </w:numPr>
        <w:spacing w:after="40" w:before="40"/>
      </w:pPr>
      <w:r>
        <w:rPr>
          <w:rFonts w:ascii="Arial" w:cs="Arial" w:eastAsia="Arial" w:hAnsi="Arial"/>
          <w:b/>
          <w:bCs/>
          <w:color w:val="5B595A"/>
          <w:sz w:val="22"/>
          <w:szCs w:val="22"/>
        </w:rPr>
        <w:t xml:space="preserve">CFSI controls: most ISO 9001 systems address supplier quality but few have the specific purchasing-stage and goods-receipt-stage CFSI controls that nuclear requires</w:t>
      </w:r>
    </w:p>
    <w:p>
      <w:pPr>
        <w:spacing w:after="80" w:before="80"/>
      </w:pPr>
      <w:r>
        <w:t xml:space="preserve"/>
      </w:r>
    </w:p>
    <w:p>
      <w:pPr>
        <w:pStyle w:val="Heading2"/>
        <w:pBdr>
          <w:bottom w:val="single" w:color="009FE3" w:sz="4" w:space="1"/>
        </w:pBdr>
        <w:spacing w:after="80" w:before="240"/>
      </w:pPr>
      <w:r>
        <w:rPr>
          <w:rFonts w:ascii="Arial" w:cs="Arial" w:eastAsia="Arial" w:hAnsi="Arial"/>
          <w:b/>
          <w:bCs/>
          <w:color w:val="7B2D8B"/>
          <w:sz w:val="28"/>
          <w:szCs w:val="28"/>
        </w:rPr>
        <w:t xml:space="preserve">4.2 The Gap Analysis Approach</w:t>
      </w:r>
    </w:p>
    <w:p>
      <w:pPr>
        <w:spacing w:after="80" w:before="60"/>
      </w:pPr>
      <w:r>
        <w:rPr>
          <w:rFonts w:ascii="Arial" w:cs="Arial" w:eastAsia="Arial" w:hAnsi="Arial"/>
          <w:color w:val="5B595A"/>
          <w:sz w:val="22"/>
          <w:szCs w:val="22"/>
        </w:rPr>
        <w:t xml:space="preserve">The NSS-03b ISO 19443 Gap Analysis Tool provides a structured clause-by-clause comparison of your current QMS against the additional ISO 19443 requirements. Complete the gap analysis as a team exercise involving quality, operations, procurement, and HR. Each gap should be prioritised and entered into your CSIP as a planned improvement action.</w:t>
      </w:r>
    </w:p>
    <w:p>
      <w:pPr>
        <w:spacing w:after="80" w:before="60"/>
      </w:pPr>
      <w:r>
        <w:rPr>
          <w:rFonts w:ascii="Arial" w:cs="Arial" w:eastAsia="Arial" w:hAnsi="Arial"/>
          <w:color w:val="5B595A"/>
          <w:sz w:val="22"/>
          <w:szCs w:val="22"/>
        </w:rPr>
        <w:t xml:space="preserve">The typical stages in an ISO 19443 alignment journey are: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400"/>
        <w:gridCol w:w="3826"/>
      </w:tblGrid>
      <w:tr>
        <w:trPr>
          <w:tblHeader/>
        </w:trPr>
        <w:tc>
          <w:tcPr>
            <w:tcW w:type="dxa" w:w="800"/>
            <w:tcBorders>
              <w:top w:val="single" w:color="009FE3" w:sz="1"/>
              <w:left w:val="single" w:color="009FE3" w:sz="1"/>
              <w:bottom w:val="single" w:color="009FE3" w:sz="1"/>
              <w:right w:val="single" w:color="009FE3" w:sz="1"/>
            </w:tcBorders>
            <w:shd w:fill="001E3C"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4400"/>
            <w:tcBorders>
              <w:top w:val="single" w:color="009FE3" w:sz="1"/>
              <w:left w:val="single" w:color="009FE3" w:sz="1"/>
              <w:bottom w:val="single" w:color="009FE3" w:sz="1"/>
              <w:right w:val="single" w:color="009FE3" w:sz="1"/>
            </w:tcBorders>
            <w:shd w:fill="001E3C"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3826"/>
            <w:tcBorders>
              <w:top w:val="single" w:color="009FE3" w:sz="1"/>
              <w:left w:val="single" w:color="009FE3" w:sz="1"/>
              <w:bottom w:val="single" w:color="009FE3" w:sz="1"/>
              <w:right w:val="single" w:color="009FE3" w:sz="1"/>
            </w:tcBorders>
            <w:shd w:fill="001E3C" w:val="clear"/>
            <w:tcMar>
              <w:top w:type="dxa" w:w="80"/>
              <w:left w:type="dxa" w:w="120"/>
              <w:bottom w:type="dxa" w:w="80"/>
              <w:right w:type="dxa" w:w="120"/>
            </w:tcMar>
          </w:tcPr>
          <w:p>
            <w:r>
              <w:rPr>
                <w:rFonts w:ascii="Arial" w:cs="Arial" w:eastAsia="Arial" w:hAnsi="Arial"/>
                <w:b/>
                <w:bCs/>
                <w:color w:val="FFFFFF"/>
                <w:sz w:val="20"/>
                <w:szCs w:val="20"/>
              </w:rPr>
              <w:t xml:space="preserve">Typical Timeframe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1. Awareness</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Complete this training guide. Ensure quality manager and relevant leadership understand what ISO 19443 requires and why.</w:t>
            </w:r>
          </w:p>
        </w:tc>
        <w:tc>
          <w:tcPr>
            <w:tcW w:type="dxa" w:w="3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Immediate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B595A"/>
                <w:sz w:val="19"/>
                <w:szCs w:val="19"/>
              </w:rPr>
              <w:t xml:space="preserve">2. Gap Analysis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B595A"/>
                <w:sz w:val="19"/>
                <w:szCs w:val="19"/>
              </w:rPr>
              <w:t xml:space="preserve">Complete NSS-03b against your current QMS. Identify all gaps and estimate effort to close each.</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B595A"/>
                <w:sz w:val="19"/>
                <w:szCs w:val="19"/>
              </w:rPr>
              <w:t xml:space="preserve">1 to 2 months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3. Priority Actions</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Address highest-priority gaps first: SQEP records, NCR grading, CFSI procedure, lifetime records policy.</w:t>
            </w:r>
          </w:p>
        </w:tc>
        <w:tc>
          <w:tcPr>
            <w:tcW w:type="dxa" w:w="3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3 to 6 months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B595A"/>
                <w:sz w:val="19"/>
                <w:szCs w:val="19"/>
              </w:rPr>
              <w:t xml:space="preserve">4. System Updates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B595A"/>
                <w:sz w:val="19"/>
                <w:szCs w:val="19"/>
              </w:rPr>
              <w:t xml:space="preserve">Update QMS procedures, work instructions, and forms to reflect ISO 19443 requirements.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B595A"/>
                <w:sz w:val="19"/>
                <w:szCs w:val="19"/>
              </w:rPr>
              <w:t xml:space="preserve">6 to 12 months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5. Internal Audit</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Conduct an internal audit specifically against ISO 19443 additional requirements to confirm compliance.</w:t>
            </w:r>
          </w:p>
        </w:tc>
        <w:tc>
          <w:tcPr>
            <w:tcW w:type="dxa" w:w="3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Month 10 to 12</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B595A"/>
                <w:sz w:val="19"/>
                <w:szCs w:val="19"/>
              </w:rPr>
              <w:t xml:space="preserve">6. Certification</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B595A"/>
                <w:sz w:val="19"/>
                <w:szCs w:val="19"/>
              </w:rPr>
              <w:t xml:space="preserve">Engage a UKAS-accredited certification body for ISO 19443 certification audit.</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B595A"/>
                <w:sz w:val="19"/>
                <w:szCs w:val="19"/>
              </w:rPr>
              <w:t xml:space="preserve">As agreed with CB</w:t>
            </w:r>
          </w:p>
        </w:tc>
      </w:tr>
    </w:tbl>
    <w:p>
      <w:pPr>
        <w:spacing w:after="80" w:before="80"/>
      </w:pPr>
      <w:r>
        <w:t xml:space="preserve"/>
      </w:r>
    </w:p>
    <w:p>
      <w:pPr>
        <w:pStyle w:val="Heading2"/>
        <w:pBdr>
          <w:bottom w:val="single" w:color="009FE3" w:sz="4" w:space="1"/>
        </w:pBdr>
        <w:spacing w:after="80" w:before="240"/>
      </w:pPr>
      <w:r>
        <w:rPr>
          <w:rFonts w:ascii="Arial" w:cs="Arial" w:eastAsia="Arial" w:hAnsi="Arial"/>
          <w:b/>
          <w:bCs/>
          <w:color w:val="7B2D8B"/>
          <w:sz w:val="28"/>
          <w:szCs w:val="28"/>
        </w:rPr>
        <w:t xml:space="preserve">4.3 Certification vs. Alignment</w:t>
      </w:r>
    </w:p>
    <w:p>
      <w:pPr>
        <w:spacing w:after="80" w:before="60"/>
      </w:pPr>
      <w:r>
        <w:rPr>
          <w:rFonts w:ascii="Arial" w:cs="Arial" w:eastAsia="Arial" w:hAnsi="Arial"/>
          <w:color w:val="5B595A"/>
          <w:sz w:val="22"/>
          <w:szCs w:val="22"/>
        </w:rPr>
        <w:t xml:space="preserve">Formal certification to ISO 19443 by a UKAS-accredited certification body is the gold standard and is increasingly expected by nuclear clients. However, some nuclear contracts and client qualification programmes accept demonstrated alignment to the standard even without formal third-party certification, provided the organisation can evidence compliance against each additional requirement.</w:t>
      </w:r>
    </w:p>
    <w:p>
      <w:pPr>
        <w:spacing w:after="80" w:before="60"/>
      </w:pPr>
      <w:r>
        <w:rPr>
          <w:rFonts w:ascii="Arial" w:cs="Arial" w:eastAsia="Arial" w:hAnsi="Arial"/>
          <w:color w:val="5B595A"/>
          <w:sz w:val="22"/>
          <w:szCs w:val="22"/>
        </w:rPr>
        <w:t xml:space="preserve">Check the specific requirements of your nuclear client or the F4N programme before deciding whether to pursue certification or a documented alignment approach. For organisations already working toward or holding ISO 9001 certification through a UKAS body, the additional cost and effort of extending to ISO 19443 is often more modest than organisations assume.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009FE3" w:sz="1"/>
              <w:left w:val="single" w:color="009FE3" w:sz="1"/>
              <w:bottom w:val="single" w:color="009FE3" w:sz="1"/>
              <w:right w:val="single" w:color="009FE3" w:sz="1"/>
            </w:tcBorders>
            <w:shd w:fill="009FE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F4N POSITION</w:t>
            </w:r>
          </w:p>
        </w:tc>
        <w:tc>
          <w:tcPr>
            <w:tcW w:type="dxa" w:w="7626"/>
            <w:tcBorders>
              <w:top w:val="single" w:color="009FE3" w:sz="1"/>
              <w:left w:val="single" w:color="009FE3" w:sz="1"/>
              <w:bottom w:val="single" w:color="009FE3" w:sz="1"/>
              <w:right w:val="single" w:color="009FE3" w:sz="1"/>
            </w:tcBorders>
            <w:shd w:fill="D6EEF8" w:val="clear"/>
            <w:tcMar>
              <w:top w:type="dxa" w:w="100"/>
              <w:left w:type="dxa" w:w="140"/>
              <w:bottom w:type="dxa" w:w="100"/>
              <w:right w:type="dxa" w:w="120"/>
            </w:tcMar>
          </w:tcPr>
          <w:p>
            <w:r>
              <w:rPr>
                <w:rFonts w:ascii="Arial" w:cs="Arial" w:eastAsia="Arial" w:hAnsi="Arial"/>
                <w:color w:val="5B595A"/>
                <w:sz w:val="21"/>
                <w:szCs w:val="21"/>
              </w:rPr>
              <w:t xml:space="preserve">The F4N Nuclear Sector Specific assessment question on ISO 19443 looks for evidence of genuine understanding and practical application, not certification alone. A score of 7 requires good understanding and integration into practices. A score of 10 requires full integration across the organisation. The Gap Analysis Tool (NSS-03b) is designed to demonstrate and track this progression.</w:t>
            </w:r>
          </w:p>
        </w:tc>
      </w:tr>
    </w:tbl>
    <w:p>
      <w:pPr>
        <w:spacing w:after="80" w:before="80"/>
      </w:pPr>
      <w:r>
        <w:t xml:space="preserve"/>
      </w:r>
    </w:p>
    <w:p>
      <w:r>
        <w:br w:type="page"/>
      </w:r>
    </w:p>
    <w:p>
      <w:pPr>
        <w:shd w:fill="001E3C" w:val="clear"/>
        <w:spacing w:after="80" w:before="240"/>
        <w:ind w:left="120" w:right="120"/>
      </w:pPr>
      <w:r>
        <w:rPr>
          <w:rFonts w:ascii="Arial" w:cs="Arial" w:eastAsia="Arial" w:hAnsi="Arial"/>
          <w:b/>
          <w:bCs/>
          <w:color w:val="FFFFFF"/>
          <w:sz w:val="26"/>
          <w:szCs w:val="26"/>
        </w:rPr>
        <w:t xml:space="preserve">SECTION 5: DOCUMENTATION AND TRACEABILITY STANDARDS</w:t>
      </w:r>
    </w:p>
    <w:p>
      <w:pPr>
        <w:spacing w:after="80" w:before="80"/>
      </w:pPr>
      <w:r>
        <w:t xml:space="preserve"/>
      </w:r>
    </w:p>
    <w:p>
      <w:pPr>
        <w:pStyle w:val="Heading2"/>
        <w:pBdr>
          <w:bottom w:val="single" w:color="009FE3" w:sz="4" w:space="1"/>
        </w:pBdr>
        <w:spacing w:after="80" w:before="240"/>
      </w:pPr>
      <w:r>
        <w:rPr>
          <w:rFonts w:ascii="Arial" w:cs="Arial" w:eastAsia="Arial" w:hAnsi="Arial"/>
          <w:b/>
          <w:bCs/>
          <w:color w:val="7B2D8B"/>
          <w:sz w:val="28"/>
          <w:szCs w:val="28"/>
        </w:rPr>
        <w:t xml:space="preserve">5.1 Why Documentation is Different in Nuclear</w:t>
      </w:r>
    </w:p>
    <w:p>
      <w:pPr>
        <w:spacing w:after="80" w:before="60"/>
      </w:pPr>
      <w:r>
        <w:rPr>
          <w:rFonts w:ascii="Arial" w:cs="Arial" w:eastAsia="Arial" w:hAnsi="Arial"/>
          <w:color w:val="5B595A"/>
          <w:sz w:val="22"/>
          <w:szCs w:val="22"/>
        </w:rPr>
        <w:t xml:space="preserve">Documentation and record management in nuclear is not simply good administrative practice. It is a core element of the safety case. Records that support quality-relevant activities on nuclear projects may be required as evidence in regulatory investigations, as part of a facility's lifetime quality record, or as the basis for future maintenance and in-service inspection decisions.</w:t>
      </w:r>
    </w:p>
    <w:p>
      <w:pPr>
        <w:pStyle w:val="ListParagraph"/>
        <w:numPr>
          <w:ilvl w:val="0"/>
          <w:numId w:val="2"/>
        </w:numPr>
        <w:spacing w:after="40" w:before="40"/>
      </w:pPr>
      <w:r>
        <w:rPr>
          <w:rFonts w:ascii="Arial" w:cs="Arial" w:eastAsia="Arial" w:hAnsi="Arial"/>
          <w:b w:val="false"/>
          <w:bCs w:val="false"/>
          <w:color w:val="5B595A"/>
          <w:sz w:val="22"/>
          <w:szCs w:val="22"/>
        </w:rPr>
        <w:t xml:space="preserve">Records must be accurate: every certificate, measurement, and sign-off must reflect what was actually done</w:t>
      </w:r>
    </w:p>
    <w:p>
      <w:pPr>
        <w:pStyle w:val="ListParagraph"/>
        <w:numPr>
          <w:ilvl w:val="0"/>
          <w:numId w:val="2"/>
        </w:numPr>
        <w:spacing w:after="40" w:before="40"/>
      </w:pPr>
      <w:r>
        <w:rPr>
          <w:rFonts w:ascii="Arial" w:cs="Arial" w:eastAsia="Arial" w:hAnsi="Arial"/>
          <w:b w:val="false"/>
          <w:bCs w:val="false"/>
          <w:color w:val="5B595A"/>
          <w:sz w:val="22"/>
          <w:szCs w:val="22"/>
        </w:rPr>
        <w:t xml:space="preserve">Records must be legible: handwritten records must be readable. Amendments must be controlled and traceable</w:t>
      </w:r>
    </w:p>
    <w:p>
      <w:pPr>
        <w:pStyle w:val="ListParagraph"/>
        <w:numPr>
          <w:ilvl w:val="0"/>
          <w:numId w:val="2"/>
        </w:numPr>
        <w:spacing w:after="40" w:before="40"/>
      </w:pPr>
      <w:r>
        <w:rPr>
          <w:rFonts w:ascii="Arial" w:cs="Arial" w:eastAsia="Arial" w:hAnsi="Arial"/>
          <w:b w:val="false"/>
          <w:bCs w:val="false"/>
          <w:color w:val="5B595A"/>
          <w:sz w:val="22"/>
          <w:szCs w:val="22"/>
        </w:rPr>
        <w:t xml:space="preserve">Records must be complete: a record that captures the result but not the method, equipment, or inspector is not sufficient</w:t>
      </w:r>
    </w:p>
    <w:p>
      <w:pPr>
        <w:pStyle w:val="ListParagraph"/>
        <w:numPr>
          <w:ilvl w:val="0"/>
          <w:numId w:val="2"/>
        </w:numPr>
        <w:spacing w:after="40" w:before="40"/>
      </w:pPr>
      <w:r>
        <w:rPr>
          <w:rFonts w:ascii="Arial" w:cs="Arial" w:eastAsia="Arial" w:hAnsi="Arial"/>
          <w:b w:val="false"/>
          <w:bCs w:val="false"/>
          <w:color w:val="5B595A"/>
          <w:sz w:val="22"/>
          <w:szCs w:val="22"/>
        </w:rPr>
        <w:t xml:space="preserve">Records must be retrievable: records must be stored in a way that allows them to be found and accessed decades into the future</w:t>
      </w:r>
    </w:p>
    <w:p>
      <w:pPr>
        <w:pStyle w:val="ListParagraph"/>
        <w:numPr>
          <w:ilvl w:val="0"/>
          <w:numId w:val="2"/>
        </w:numPr>
        <w:spacing w:after="40" w:before="40"/>
      </w:pPr>
      <w:r>
        <w:rPr>
          <w:rFonts w:ascii="Arial" w:cs="Arial" w:eastAsia="Arial" w:hAnsi="Arial"/>
          <w:b w:val="false"/>
          <w:bCs w:val="false"/>
          <w:color w:val="5B595A"/>
          <w:sz w:val="22"/>
          <w:szCs w:val="22"/>
        </w:rPr>
        <w:t xml:space="preserve">Records must be protected: against damage, loss, deterioration, and unauthorised alteration</w:t>
      </w:r>
    </w:p>
    <w:p>
      <w:pPr>
        <w:spacing w:after="80" w:before="80"/>
      </w:pPr>
      <w:r>
        <w:t xml:space="preserve"/>
      </w:r>
    </w:p>
    <w:p>
      <w:pPr>
        <w:pStyle w:val="Heading2"/>
        <w:pBdr>
          <w:bottom w:val="single" w:color="009FE3" w:sz="4" w:space="1"/>
        </w:pBdr>
        <w:spacing w:after="80" w:before="240"/>
      </w:pPr>
      <w:r>
        <w:rPr>
          <w:rFonts w:ascii="Arial" w:cs="Arial" w:eastAsia="Arial" w:hAnsi="Arial"/>
          <w:b/>
          <w:bCs/>
          <w:color w:val="7B2D8B"/>
          <w:sz w:val="28"/>
          <w:szCs w:val="28"/>
        </w:rPr>
        <w:t xml:space="preserve">5.2 Lifetime Quality Records</w:t>
      </w:r>
    </w:p>
    <w:p>
      <w:pPr>
        <w:spacing w:after="80" w:before="60"/>
      </w:pPr>
      <w:r>
        <w:rPr>
          <w:rFonts w:ascii="Arial" w:cs="Arial" w:eastAsia="Arial" w:hAnsi="Arial"/>
          <w:color w:val="5B595A"/>
          <w:sz w:val="22"/>
          <w:szCs w:val="22"/>
        </w:rPr>
        <w:t xml:space="preserve">The nuclear sector requires that quality records for ITNS work are maintained for the lifetime of the facility or as specified in the contract. This is typically defined as 40 years but may be longer for certain licence-critical documents.</w:t>
      </w:r>
    </w:p>
    <w:p>
      <w:pPr>
        <w:spacing w:after="80" w:before="60"/>
      </w:pPr>
      <w:r>
        <w:rPr>
          <w:rFonts w:ascii="Arial" w:cs="Arial" w:eastAsia="Arial" w:hAnsi="Arial"/>
          <w:color w:val="5B595A"/>
          <w:sz w:val="22"/>
          <w:szCs w:val="22"/>
        </w:rPr>
        <w:t xml:space="preserve">For most supply chain organisations, this means:</w:t>
      </w:r>
    </w:p>
    <w:p>
      <w:pPr>
        <w:pStyle w:val="ListParagraph"/>
        <w:numPr>
          <w:ilvl w:val="0"/>
          <w:numId w:val="2"/>
        </w:numPr>
        <w:spacing w:after="40" w:before="40"/>
      </w:pPr>
      <w:r>
        <w:rPr>
          <w:rFonts w:ascii="Arial" w:cs="Arial" w:eastAsia="Arial" w:hAnsi="Arial"/>
          <w:b w:val="false"/>
          <w:bCs w:val="false"/>
          <w:color w:val="5B595A"/>
          <w:sz w:val="22"/>
          <w:szCs w:val="22"/>
        </w:rPr>
        <w:t xml:space="preserve">Reviewing your document retention policy and extending retention periods for nuclear quality records</w:t>
      </w:r>
    </w:p>
    <w:p>
      <w:pPr>
        <w:pStyle w:val="ListParagraph"/>
        <w:numPr>
          <w:ilvl w:val="0"/>
          <w:numId w:val="2"/>
        </w:numPr>
        <w:spacing w:after="40" w:before="40"/>
      </w:pPr>
      <w:r>
        <w:rPr>
          <w:rFonts w:ascii="Arial" w:cs="Arial" w:eastAsia="Arial" w:hAnsi="Arial"/>
          <w:b w:val="false"/>
          <w:bCs w:val="false"/>
          <w:color w:val="5B595A"/>
          <w:sz w:val="22"/>
          <w:szCs w:val="22"/>
        </w:rPr>
        <w:t xml:space="preserve">Assessing whether your document management system is capable of maintaining records for the required period, including through system migrations and changes in storage media</w:t>
      </w:r>
    </w:p>
    <w:p>
      <w:pPr>
        <w:pStyle w:val="ListParagraph"/>
        <w:numPr>
          <w:ilvl w:val="0"/>
          <w:numId w:val="2"/>
        </w:numPr>
        <w:spacing w:after="40" w:before="40"/>
      </w:pPr>
      <w:r>
        <w:rPr>
          <w:rFonts w:ascii="Arial" w:cs="Arial" w:eastAsia="Arial" w:hAnsi="Arial"/>
          <w:b w:val="false"/>
          <w:bCs w:val="false"/>
          <w:color w:val="5B595A"/>
          <w:sz w:val="22"/>
          <w:szCs w:val="22"/>
        </w:rPr>
        <w:t xml:space="preserve">Establishing a nominated custodian for nuclear quality records</w:t>
      </w:r>
    </w:p>
    <w:p>
      <w:pPr>
        <w:pStyle w:val="ListParagraph"/>
        <w:numPr>
          <w:ilvl w:val="0"/>
          <w:numId w:val="2"/>
        </w:numPr>
        <w:spacing w:after="40" w:before="40"/>
      </w:pPr>
      <w:r>
        <w:rPr>
          <w:rFonts w:ascii="Arial" w:cs="Arial" w:eastAsia="Arial" w:hAnsi="Arial"/>
          <w:b w:val="false"/>
          <w:bCs w:val="false"/>
          <w:color w:val="5B595A"/>
          <w:sz w:val="22"/>
          <w:szCs w:val="22"/>
        </w:rPr>
        <w:t xml:space="preserve">Including record retention requirements in supplier contracts and checking compliance during supplier audits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009FE3" w:sz="1"/>
              <w:left w:val="single" w:color="009FE3" w:sz="1"/>
              <w:bottom w:val="single" w:color="009FE3" w:sz="1"/>
              <w:right w:val="single" w:color="009FE3" w:sz="1"/>
            </w:tcBorders>
            <w:shd w:fill="009FE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PRACTICAL CONSIDERATION</w:t>
            </w:r>
          </w:p>
        </w:tc>
        <w:tc>
          <w:tcPr>
            <w:tcW w:type="dxa" w:w="7626"/>
            <w:tcBorders>
              <w:top w:val="single" w:color="009FE3" w:sz="1"/>
              <w:left w:val="single" w:color="009FE3" w:sz="1"/>
              <w:bottom w:val="single" w:color="009FE3" w:sz="1"/>
              <w:right w:val="single" w:color="009FE3" w:sz="1"/>
            </w:tcBorders>
            <w:shd w:fill="D6EEF8" w:val="clear"/>
            <w:tcMar>
              <w:top w:type="dxa" w:w="100"/>
              <w:left w:type="dxa" w:w="140"/>
              <w:bottom w:type="dxa" w:w="100"/>
              <w:right w:type="dxa" w:w="120"/>
            </w:tcMar>
          </w:tcPr>
          <w:p>
            <w:r>
              <w:rPr>
                <w:rFonts w:ascii="Arial" w:cs="Arial" w:eastAsia="Arial" w:hAnsi="Arial"/>
                <w:color w:val="5B595A"/>
                <w:sz w:val="21"/>
                <w:szCs w:val="21"/>
              </w:rPr>
              <w:t xml:space="preserve">If your business occupies a building with a ten-year lease and stores records on a cloud platform with a five-year contract, your nuclear lifetime record obligation is not being met. You need a specific documented approach to ensuring nuclear quality records survive beyond normal business planning horizons.</w:t>
            </w:r>
          </w:p>
        </w:tc>
      </w:tr>
    </w:tbl>
    <w:p>
      <w:pPr>
        <w:spacing w:after="80" w:before="80"/>
      </w:pPr>
      <w:r>
        <w:t xml:space="preserve"/>
      </w:r>
    </w:p>
    <w:p>
      <w:pPr>
        <w:pStyle w:val="Heading2"/>
        <w:pBdr>
          <w:bottom w:val="single" w:color="009FE3" w:sz="4" w:space="1"/>
        </w:pBdr>
        <w:spacing w:after="80" w:before="240"/>
      </w:pPr>
      <w:r>
        <w:rPr>
          <w:rFonts w:ascii="Arial" w:cs="Arial" w:eastAsia="Arial" w:hAnsi="Arial"/>
          <w:b/>
          <w:bCs/>
          <w:color w:val="7B2D8B"/>
          <w:sz w:val="28"/>
          <w:szCs w:val="28"/>
        </w:rPr>
        <w:t xml:space="preserve">5.3 Traceability Requirements</w:t>
      </w:r>
    </w:p>
    <w:p>
      <w:pPr>
        <w:spacing w:after="80" w:before="60"/>
      </w:pPr>
      <w:r>
        <w:rPr>
          <w:rFonts w:ascii="Arial" w:cs="Arial" w:eastAsia="Arial" w:hAnsi="Arial"/>
          <w:color w:val="5B595A"/>
          <w:sz w:val="22"/>
          <w:szCs w:val="22"/>
        </w:rPr>
        <w:t xml:space="preserve">Full traceability means being able to trace any item used on a nuclear application back through every stage of its manufacture, inspection, and release to its original source material. This includes:</w:t>
      </w:r>
    </w:p>
    <w:p>
      <w:pPr>
        <w:pStyle w:val="ListParagraph"/>
        <w:numPr>
          <w:ilvl w:val="0"/>
          <w:numId w:val="2"/>
        </w:numPr>
        <w:spacing w:after="40" w:before="40"/>
      </w:pPr>
      <w:r>
        <w:rPr>
          <w:rFonts w:ascii="Arial" w:cs="Arial" w:eastAsia="Arial" w:hAnsi="Arial"/>
          <w:b w:val="false"/>
          <w:bCs w:val="false"/>
          <w:color w:val="5B595A"/>
          <w:sz w:val="22"/>
          <w:szCs w:val="22"/>
        </w:rPr>
        <w:t xml:space="preserve">Material traceability: material certificates from the original mill or manufacturer, through any processing steps, to the finished item</w:t>
      </w:r>
    </w:p>
    <w:p>
      <w:pPr>
        <w:pStyle w:val="ListParagraph"/>
        <w:numPr>
          <w:ilvl w:val="0"/>
          <w:numId w:val="2"/>
        </w:numPr>
        <w:spacing w:after="40" w:before="40"/>
      </w:pPr>
      <w:r>
        <w:rPr>
          <w:rFonts w:ascii="Arial" w:cs="Arial" w:eastAsia="Arial" w:hAnsi="Arial"/>
          <w:b w:val="false"/>
          <w:bCs w:val="false"/>
          <w:color w:val="5B595A"/>
          <w:sz w:val="22"/>
          <w:szCs w:val="22"/>
        </w:rPr>
        <w:t xml:space="preserve">Process traceability: records showing that every inspection, test, heat treatment, or special process was carried out by a qualified individual using an approved procedure</w:t>
      </w:r>
    </w:p>
    <w:p>
      <w:pPr>
        <w:pStyle w:val="ListParagraph"/>
        <w:numPr>
          <w:ilvl w:val="0"/>
          <w:numId w:val="2"/>
        </w:numPr>
        <w:spacing w:after="40" w:before="40"/>
      </w:pPr>
      <w:r>
        <w:rPr>
          <w:rFonts w:ascii="Arial" w:cs="Arial" w:eastAsia="Arial" w:hAnsi="Arial"/>
          <w:b w:val="false"/>
          <w:bCs w:val="false"/>
          <w:color w:val="5B595A"/>
          <w:sz w:val="22"/>
          <w:szCs w:val="22"/>
        </w:rPr>
        <w:t xml:space="preserve">Inspection traceability: inspection records identifying the inspector, the equipment used, the result, and the acceptance criterion applied</w:t>
      </w:r>
    </w:p>
    <w:p>
      <w:pPr>
        <w:pStyle w:val="ListParagraph"/>
        <w:numPr>
          <w:ilvl w:val="0"/>
          <w:numId w:val="2"/>
        </w:numPr>
        <w:spacing w:after="40" w:before="40"/>
      </w:pPr>
      <w:r>
        <w:rPr>
          <w:rFonts w:ascii="Arial" w:cs="Arial" w:eastAsia="Arial" w:hAnsi="Arial"/>
          <w:b w:val="false"/>
          <w:bCs w:val="false"/>
          <w:color w:val="5B595A"/>
          <w:sz w:val="22"/>
          <w:szCs w:val="22"/>
        </w:rPr>
        <w:t xml:space="preserve">Concession traceability: where a non-conformance was accepted under a concession, the concession approval and its basis must be permanently linked to the affected item record</w:t>
      </w:r>
    </w:p>
    <w:p>
      <w:pPr>
        <w:spacing w:after="80" w:before="80"/>
      </w:pPr>
      <w:r>
        <w:t xml:space="preserve"/>
      </w:r>
    </w:p>
    <w:p>
      <w:r>
        <w:br w:type="page"/>
      </w:r>
    </w:p>
    <w:p>
      <w:pPr>
        <w:shd w:fill="001E3C" w:val="clear"/>
        <w:spacing w:after="80" w:before="240"/>
        <w:ind w:left="120" w:right="120"/>
      </w:pPr>
      <w:r>
        <w:rPr>
          <w:rFonts w:ascii="Arial" w:cs="Arial" w:eastAsia="Arial" w:hAnsi="Arial"/>
          <w:b/>
          <w:bCs/>
          <w:color w:val="FFFFFF"/>
          <w:sz w:val="26"/>
          <w:szCs w:val="26"/>
        </w:rPr>
        <w:t xml:space="preserve">SESSION RECORD AND SIGN-OFF</w:t>
      </w:r>
    </w:p>
    <w:p>
      <w:pPr>
        <w:spacing w:after="80" w:before="80"/>
      </w:pPr>
      <w:r>
        <w:t xml:space="preserve"/>
      </w:r>
    </w:p>
    <w:p>
      <w:pPr>
        <w:pStyle w:val="Heading2"/>
        <w:pBdr>
          <w:bottom w:val="single" w:color="009FE3" w:sz="4" w:space="1"/>
        </w:pBdr>
        <w:spacing w:after="80" w:before="240"/>
      </w:pPr>
      <w:r>
        <w:rPr>
          <w:rFonts w:ascii="Arial" w:cs="Arial" w:eastAsia="Arial" w:hAnsi="Arial"/>
          <w:b/>
          <w:bCs/>
          <w:color w:val="7B2D8B"/>
          <w:sz w:val="28"/>
          <w:szCs w:val="28"/>
        </w:rPr>
        <w:t xml:space="preserve">Training Session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09FE3" w:sz="1"/>
              <w:left w:val="single" w:color="009FE3" w:sz="1"/>
              <w:bottom w:val="single" w:color="009FE3" w:sz="1"/>
              <w:right w:val="single" w:color="009FE3" w:sz="1"/>
            </w:tcBorders>
            <w:shd w:fill="001E3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226"/>
            <w:tcBorders>
              <w:top w:val="single" w:color="009FE3" w:sz="1"/>
              <w:left w:val="single" w:color="009FE3" w:sz="1"/>
              <w:bottom w:val="single" w:color="009FE3" w:sz="1"/>
              <w:right w:val="single" w:color="009FE3" w:sz="1"/>
            </w:tcBorders>
            <w:shd w:fill="001E3C"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Session Date</w:t>
            </w:r>
          </w:p>
        </w:tc>
        <w:tc>
          <w:tcPr>
            <w:tcW w:type="dxa" w:w="6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B595A"/>
                <w:sz w:val="19"/>
                <w:szCs w:val="19"/>
              </w:rPr>
              <w:t xml:space="preserve">Facilitator Name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B595A"/>
                <w:sz w:val="19"/>
                <w:szCs w:val="19"/>
              </w:rPr>
              <w:t xml:space="preserve"/>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Location / Format</w:t>
            </w:r>
          </w:p>
        </w:tc>
        <w:tc>
          <w:tcPr>
            <w:tcW w:type="dxa" w:w="6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B595A"/>
                <w:sz w:val="19"/>
                <w:szCs w:val="19"/>
              </w:rPr>
              <w:t xml:space="preserve">Version of Guide Used</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B595A"/>
                <w:sz w:val="19"/>
                <w:szCs w:val="19"/>
              </w:rPr>
              <w:t xml:space="preserve">NSS-03a  Rev 1.0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Number of Attendees</w:t>
            </w:r>
          </w:p>
        </w:tc>
        <w:tc>
          <w:tcPr>
            <w:tcW w:type="dxa" w:w="6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
            </w:r>
          </w:p>
        </w:tc>
      </w:tr>
    </w:tbl>
    <w:p>
      <w:pPr>
        <w:spacing w:after="80" w:before="80"/>
      </w:pPr>
      <w:r>
        <w:t xml:space="preserve"/>
      </w:r>
    </w:p>
    <w:p>
      <w:pPr>
        <w:spacing w:after="60" w:before="160"/>
      </w:pPr>
      <w:r>
        <w:rPr>
          <w:rFonts w:ascii="Arial" w:cs="Arial" w:eastAsia="Arial" w:hAnsi="Arial"/>
          <w:b/>
          <w:bCs/>
          <w:color w:val="83348F"/>
          <w:sz w:val="24"/>
          <w:szCs w:val="24"/>
        </w:rPr>
        <w:t xml:space="preserve">Attendee Sign-Off</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2226"/>
      </w:tblGrid>
      <w:tr>
        <w:trPr>
          <w:tblHeader/>
        </w:trPr>
        <w:tc>
          <w:tcPr>
            <w:tcW w:type="dxa" w:w="3600"/>
            <w:tcBorders>
              <w:top w:val="single" w:color="009FE3" w:sz="1"/>
              <w:left w:val="single" w:color="009FE3" w:sz="1"/>
              <w:bottom w:val="single" w:color="009FE3" w:sz="1"/>
              <w:right w:val="single" w:color="009FE3" w:sz="1"/>
            </w:tcBorders>
            <w:shd w:fill="001E3C"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200"/>
            <w:tcBorders>
              <w:top w:val="single" w:color="009FE3" w:sz="1"/>
              <w:left w:val="single" w:color="009FE3" w:sz="1"/>
              <w:bottom w:val="single" w:color="009FE3" w:sz="1"/>
              <w:right w:val="single" w:color="009FE3" w:sz="1"/>
            </w:tcBorders>
            <w:shd w:fill="001E3C" w:val="clear"/>
            <w:tcMar>
              <w:top w:type="dxa" w:w="80"/>
              <w:left w:type="dxa" w:w="120"/>
              <w:bottom w:type="dxa" w:w="80"/>
              <w:right w:type="dxa" w:w="120"/>
            </w:tcMar>
          </w:tcPr>
          <w:p>
            <w:r>
              <w:rPr>
                <w:rFonts w:ascii="Arial" w:cs="Arial" w:eastAsia="Arial" w:hAnsi="Arial"/>
                <w:b/>
                <w:bCs/>
                <w:color w:val="FFFFFF"/>
                <w:sz w:val="20"/>
                <w:szCs w:val="20"/>
              </w:rPr>
              <w:t xml:space="preserve">Job Role</w:t>
            </w:r>
          </w:p>
        </w:tc>
        <w:tc>
          <w:tcPr>
            <w:tcW w:type="dxa" w:w="2226"/>
            <w:tcBorders>
              <w:top w:val="single" w:color="009FE3" w:sz="1"/>
              <w:left w:val="single" w:color="009FE3" w:sz="1"/>
              <w:bottom w:val="single" w:color="009FE3" w:sz="1"/>
              <w:right w:val="single" w:color="009FE3" w:sz="1"/>
            </w:tcBorders>
            <w:shd w:fill="001E3C" w:val="clear"/>
            <w:tcMar>
              <w:top w:type="dxa" w:w="80"/>
              <w:left w:type="dxa" w:w="120"/>
              <w:bottom w:type="dxa" w:w="80"/>
              <w:right w:type="dxa" w:w="120"/>
            </w:tcMar>
          </w:tcPr>
          <w:p>
            <w:r>
              <w:rPr>
                <w:rFonts w:ascii="Arial" w:cs="Arial" w:eastAsia="Arial" w:hAnsi="Arial"/>
                <w:b/>
                <w:bCs/>
                <w:color w:val="FFFFFF"/>
                <w:sz w:val="20"/>
                <w:szCs w:val="20"/>
              </w:rPr>
              <w:t xml:space="preserve">Signature</w:t>
            </w:r>
          </w:p>
        </w:tc>
      </w:tr>
      <w:tr>
        <w:trPr>
          <w:trHeight w:val="320" w:hRule="atLeast"/>
        </w:trP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2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r>
      <w:tr>
        <w:trPr>
          <w:trHeight w:val="320" w:hRule="atLeast"/>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rPr>
          <w:trHeight w:val="320" w:hRule="atLeast"/>
        </w:trP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2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r>
      <w:tr>
        <w:trPr>
          <w:trHeight w:val="320" w:hRule="atLeast"/>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rPr>
          <w:trHeight w:val="320" w:hRule="atLeast"/>
        </w:trP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2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r>
      <w:tr>
        <w:trPr>
          <w:trHeight w:val="320" w:hRule="atLeast"/>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rPr>
          <w:trHeight w:val="320" w:hRule="atLeast"/>
        </w:trP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2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r>
      <w:tr>
        <w:trPr>
          <w:trHeight w:val="320" w:hRule="atLeast"/>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rPr>
          <w:trHeight w:val="320" w:hRule="atLeast"/>
        </w:trP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2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r>
      <w:tr>
        <w:trPr>
          <w:trHeight w:val="320" w:hRule="atLeast"/>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rPr>
          <w:trHeight w:val="320" w:hRule="atLeast"/>
        </w:trP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2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r>
      <w:tr>
        <w:trPr>
          <w:trHeight w:val="320" w:hRule="atLeast"/>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80" w:before="80"/>
      </w:pPr>
      <w:r>
        <w:t xml:space="preserve"/>
      </w:r>
    </w:p>
    <w:p>
      <w:pPr>
        <w:pStyle w:val="Heading2"/>
        <w:pBdr>
          <w:bottom w:val="single" w:color="009FE3" w:sz="4" w:space="1"/>
        </w:pBdr>
        <w:spacing w:after="80" w:before="240"/>
      </w:pPr>
      <w:r>
        <w:rPr>
          <w:rFonts w:ascii="Arial" w:cs="Arial" w:eastAsia="Arial" w:hAnsi="Arial"/>
          <w:b/>
          <w:bCs/>
          <w:color w:val="7B2D8B"/>
          <w:sz w:val="28"/>
          <w:szCs w:val="28"/>
        </w:rPr>
        <w:t xml:space="preserve">Version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009FE3" w:sz="1"/>
              <w:left w:val="single" w:color="009FE3" w:sz="1"/>
              <w:bottom w:val="single" w:color="009FE3" w:sz="1"/>
              <w:right w:val="single" w:color="009FE3" w:sz="1"/>
            </w:tcBorders>
            <w:shd w:fill="001E3C"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7026"/>
            <w:tcBorders>
              <w:top w:val="single" w:color="009FE3" w:sz="1"/>
              <w:left w:val="single" w:color="009FE3" w:sz="1"/>
              <w:bottom w:val="single" w:color="009FE3" w:sz="1"/>
              <w:right w:val="single" w:color="009FE3" w:sz="1"/>
            </w:tcBorders>
            <w:shd w:fill="001E3C" w:val="clear"/>
            <w:tcMar>
              <w:top w:type="dxa" w:w="80"/>
              <w:left w:type="dxa" w:w="120"/>
              <w:bottom w:type="dxa" w:w="80"/>
              <w:right w:type="dxa" w:w="120"/>
            </w:tcMar>
          </w:tcPr>
          <w:p>
            <w:r>
              <w:rPr>
                <w:rFonts w:ascii="Arial" w:cs="Arial" w:eastAsia="Arial" w:hAnsi="Arial"/>
                <w:b/>
                <w:bCs/>
                <w:color w:val="FFFFFF"/>
                <w:sz w:val="20"/>
                <w:szCs w:val="20"/>
              </w:rPr>
              <w:t xml:space="preserve">Date / Description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Rev 1.0</w:t>
            </w:r>
          </w:p>
        </w:tc>
        <w:tc>
          <w:tcPr>
            <w:tcW w:type="dxa" w:w="7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Initial release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B595A"/>
                <w:sz w:val="19"/>
                <w:szCs w:val="19"/>
              </w:rPr>
              <w:t xml:space="preserve">Rev 1.1</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B595A"/>
                <w:sz w:val="19"/>
                <w:szCs w:val="19"/>
              </w:rPr>
              <w:t xml:space="preserve"/>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Rev 1.2</w:t>
            </w:r>
          </w:p>
        </w:tc>
        <w:tc>
          <w:tcPr>
            <w:tcW w:type="dxa" w:w="7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
            </w:r>
          </w:p>
        </w:tc>
      </w:tr>
    </w:tbl>
    <w:sectPr>
      <w:headerReference w:type="default" r:id="rId7"/>
      <w:footerReference w:type="default" r:id="rId8"/>
      <w:pgSz w:w="11906" w:h="16838" w:orient="portrait"/>
      <w:pgMar w:top="120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9FE3" w:sz="4" w:space="2"/>
      </w:pBdr>
      <w:tabs>
        <w:tab w:val="right" w:pos="9026"/>
      </w:tabs>
    </w:pPr>
    <w:r>
      <w:rPr>
        <w:rFonts w:ascii="Arial" w:cs="Arial" w:eastAsia="Arial" w:hAnsi="Arial"/>
        <w:color w:val="5B595A"/>
        <w:sz w:val="16"/>
        <w:szCs w:val="16"/>
      </w:rPr>
      <w:t xml:space="preserve">Commercial in Confidence  |  Uncontrolled when printed</w:t>
    </w:r>
    <w:r>
      <w:rPr>
        <w:rFonts w:ascii="Arial" w:cs="Arial" w:eastAsia="Arial" w:hAnsi="Arial"/>
        <w:sz w:val="16"/>
        <w:szCs w:val="16"/>
      </w:rPr>
      <w:t xml:space="preserve">	</w:t>
    </w:r>
    <w:r>
      <w:rPr>
        <w:rFonts w:ascii="Arial" w:cs="Arial" w:eastAsia="Arial" w:hAnsi="Arial"/>
        <w:color w:val="5B595A"/>
        <w:sz w:val="16"/>
        <w:szCs w:val="16"/>
      </w:rPr>
      <w:t xml:space="preserve">NSS-03a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pacing w:before="60" w:after="0"/>
      <w:pBdr>
        <w:top w:val="single" w:sz="6" w:space="1" w:color="29ABE2"/>
      </w:pBdr>
    </w:pPr>
    <w:r>
      <w:rPr>
        <w:rFonts w:ascii="Calibri" w:hAnsi="Calibri"/>
        <w:sz w:val="14"/>
        <w:color w:val="58595B"/>
      </w:rPr>
      <w:t xml:space="preserve">NucCol | Nuclear Collaboration Ltd  ·  Fit For Nuclear Programme  ·  Commercial in Confidence    |    Page </w:t>
    </w:r>
    <w:r>
      <w:rPr>
        <w:rFonts w:ascii="Calibri" w:hAnsi="Calibri"/>
        <w:sz w:val="14"/>
        <w:color w:val="58595B"/>
      </w:rPr>
      <w:fldChar w:fldCharType="begin"/>
      <w:instrText>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9FE3" w:sz="4" w:space="2"/>
      </w:pBdr>
      <w:tabs>
        <w:tab w:val="right" w:pos="9026"/>
      </w:tabs>
    </w:pPr>
    <w:r>
      <w:rPr>
        <w:rFonts w:ascii="Arial" w:cs="Arial" w:eastAsia="Arial" w:hAnsi="Arial"/>
        <w:color w:val="5B595A"/>
        <w:sz w:val="18"/>
        <w:szCs w:val="18"/>
      </w:rPr>
      <w:t xml:space="preserve">Introduction to ISO 19443 and Nuclear Quality Standards</w:t>
    </w:r>
    <w:r>
      <w:rPr>
        <w:rFonts w:ascii="Arial" w:cs="Arial" w:eastAsia="Arial" w:hAnsi="Arial"/>
        <w:sz w:val="18"/>
        <w:szCs w:val="18"/>
      </w:rPr>
      <w:t xml:space="preserve">	</w:t>
    </w:r>
    <w:r>
      <w:drawing>
        <wp:inline distT="0" distB="0" distL="0" distR="0">
          <wp:extent cx="609600"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09600" cy="409575"/>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Bdr>
        <w:bottom w:val="single" w:sz="12" w:space="1" w:color="29ABE2"/>
      </w:pBdr>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5400"/>
      <w:gridCol w:w="5400"/>
    </w:tblGrid>
    <w:tr>
      <w:tc>
        <w:tcPr>
          <w:tcW w:type="dxa" w:w="1440"/>
          <w:tcBorders>
            <w:top w:val="none" w:sz="0" w:color="auto"/>
            <w:left w:val="none" w:sz="0" w:color="auto"/>
            <w:bottom w:val="none" w:sz="0" w:color="auto"/>
            <w:right w:val="none" w:sz="0" w:color="auto"/>
            <w:insideH w:val="none" w:sz="0" w:color="auto"/>
            <w:insideV w:val="none" w:sz="0" w:color="auto"/>
          </w:tcBorders>
        </w:tcPr>
        <w:p>
          <w:pPr>
            <w:spacing w:before="0" w:after="0"/>
            <w:jc w:val="left"/>
          </w:pPr>
          <w:r>
            <w:drawing>
              <wp:inline xmlns:a="http://schemas.openxmlformats.org/drawingml/2006/main" xmlns:pic="http://schemas.openxmlformats.org/drawingml/2006/picture">
                <wp:extent cx="475488" cy="475488"/>
                <wp:docPr id="1" name="Picture 1"/>
                <wp:cNvGraphicFramePr>
                  <a:graphicFrameLocks noChangeAspect="1"/>
                </wp:cNvGraphicFramePr>
                <a:graphic>
                  <a:graphicData uri="http://schemas.openxmlformats.org/drawingml/2006/picture">
                    <pic:pic>
                      <pic:nvPicPr>
                        <pic:cNvPr id="0" name="nuccol_logo.png"/>
                        <pic:cNvPicPr/>
                      </pic:nvPicPr>
                      <pic:blipFill>
                        <a:blip r:embed="rId1"/>
                        <a:stretch>
                          <a:fillRect/>
                        </a:stretch>
                      </pic:blipFill>
                      <pic:spPr>
                        <a:xfrm>
                          <a:off x="0" y="0"/>
                          <a:ext cx="475488" cy="475488"/>
                        </a:xfrm>
                        <a:prstGeom prst="rect"/>
                      </pic:spPr>
                    </pic:pic>
                  </a:graphicData>
                </a:graphic>
              </wp:inline>
            </w:drawing>
          </w:r>
        </w:p>
      </w:tc>
      <w:tc>
        <w:tcPr>
          <w:tcW w:type="dxa" w:w="9360"/>
          <w:tcBorders>
            <w:top w:val="none" w:sz="0" w:color="auto"/>
            <w:left w:val="none" w:sz="0" w:color="auto"/>
            <w:bottom w:val="none" w:sz="0" w:color="auto"/>
            <w:right w:val="none" w:sz="0" w:color="auto"/>
            <w:insideH w:val="none" w:sz="0" w:color="auto"/>
            <w:insideV w:val="none" w:sz="0" w:color="auto"/>
          </w:tcBorders>
        </w:tcPr>
        <w:p>
          <w:pPr>
            <w:spacing w:before="0" w:after="0"/>
            <w:jc w:val="right"/>
          </w:pPr>
          <w:r>
            <w:drawing>
              <wp:inline xmlns:a="http://schemas.openxmlformats.org/drawingml/2006/main" xmlns:pic="http://schemas.openxmlformats.org/drawingml/2006/picture">
                <wp:extent cx="472561" cy="320040"/>
                <wp:docPr id="2" name="Picture 2"/>
                <wp:cNvGraphicFramePr>
                  <a:graphicFrameLocks noChangeAspect="1"/>
                </wp:cNvGraphicFramePr>
                <a:graphic>
                  <a:graphicData uri="http://schemas.openxmlformats.org/drawingml/2006/picture">
                    <pic:pic>
                      <pic:nvPicPr>
                        <pic:cNvPr id="0" name="f4n_logo.png"/>
                        <pic:cNvPicPr/>
                      </pic:nvPicPr>
                      <pic:blipFill>
                        <a:blip r:embed="rId2"/>
                        <a:stretch>
                          <a:fillRect/>
                        </a:stretch>
                      </pic:blipFill>
                      <pic:spPr>
                        <a:xfrm>
                          <a:off x="0" y="0"/>
                          <a:ext cx="472561" cy="320040"/>
                        </a:xfrm>
                        <a:prstGeom prst="rect"/>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60"/>
      </w:pPr>
    </w:lvl>
  </w:abstractNum>
  <w:abstractNum w:abstractNumId="3" w15:restartNumberingAfterBreak="0">
    <w:multiLevelType w:val="hybridMultilevel"/>
    <w:lvl w:ilvl="0" w15:tentative="1">
      <w:start w:val="1"/>
      <w:numFmt w:val="bullet"/>
      <w:lvlText w:val="●"/>
      <w:lvlJc w:val="left"/>
      <w:pPr>
        <w:ind w:left="56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B595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001E3C"/>
      <w:sz w:val="36"/>
      <w:szCs w:val="36"/>
    </w:rPr>
  </w:style>
  <w:style w:type="paragraph" w:styleId="Heading2">
    <w:name w:val="Heading 2"/>
    <w:basedOn w:val="Normal"/>
    <w:next w:val="Normal"/>
    <w:qFormat/>
    <w:pPr>
      <w:spacing w:after="80" w:before="240"/>
      <w:outlineLvl w:val="1"/>
    </w:pPr>
    <w:rPr>
      <w:rFonts w:ascii="Arial" w:cs="Arial" w:eastAsia="Arial" w:hAnsi="Arial"/>
      <w:b/>
      <w:bCs/>
      <w:color w:val="009FE3"/>
      <w:sz w:val="28"/>
      <w:szCs w:val="28"/>
    </w:rPr>
  </w:style>
</w:styl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fontTable" Target="fontTable.xml"/><Relationship Id="rId4" Type="http://schemas.openxmlformats.org/officeDocument/2006/relationships/endnotes" Target="endnotes.xml"/><Relationship Id="rId9" Type="http://schemas.openxmlformats.org/officeDocument/2006/relationships/image" Target="media/190602d65f38789c43b873e1f7eec962748cd1fc.jpg"/><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0" Type="http://schemas.openxmlformats.org/officeDocument/2006/relationships/image" Target="media/ac12153cde4db10b7bdab657433563c4718979a2.jp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53F6056AA6464A99729F79B34ECED9" ma:contentTypeVersion="15" ma:contentTypeDescription="Create a new document." ma:contentTypeScope="" ma:versionID="5f61f7f6e9ac7af992ae58f204f4a905">
  <xsd:schema xmlns:xsd="http://www.w3.org/2001/XMLSchema" xmlns:xs="http://www.w3.org/2001/XMLSchema" xmlns:p="http://schemas.microsoft.com/office/2006/metadata/properties" xmlns:ns2="ecb9c8fd-b149-4da5-ae47-4cb2a6f921f7" xmlns:ns3="a57c75ee-0d51-4c06-b83a-21883992ef88" targetNamespace="http://schemas.microsoft.com/office/2006/metadata/properties" ma:root="true" ma:fieldsID="5bd49160a10d99efc7c2a57519ff9fe8" ns2:_="" ns3:_="">
    <xsd:import namespace="ecb9c8fd-b149-4da5-ae47-4cb2a6f921f7"/>
    <xsd:import namespace="a57c75ee-0d51-4c06-b83a-21883992ef88"/>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MediaServiceBillingMetadata"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b9c8fd-b149-4da5-ae47-4cb2a6f921f7"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20" nillable="true" ma:displayName="Taxonomy Catch All Column" ma:hidden="true" ma:list="{3bbffa37-1fb4-4f8b-a66f-2651692f13f0}" ma:internalName="TaxCatchAll" ma:showField="CatchAllData" ma:web="ecb9c8fd-b149-4da5-ae47-4cb2a6f921f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7c75ee-0d51-4c06-b83a-21883992ef88"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323488a-041b-479c-b98c-53326eeb9fc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cb9c8fd-b149-4da5-ae47-4cb2a6f921f7" xsi:nil="true"/>
    <lcf76f155ced4ddcb4097134ff3c332f xmlns="a57c75ee-0d51-4c06-b83a-21883992ef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B76AA22-899E-4FC0-B3CD-4605CEDC1820}"/>
</file>

<file path=customXml/itemProps2.xml><?xml version="1.0" encoding="utf-8"?>
<ds:datastoreItem xmlns:ds="http://schemas.openxmlformats.org/officeDocument/2006/customXml" ds:itemID="{8693BE1E-F4D6-48E2-BFA1-6209A4B7D65D}"/>
</file>

<file path=customXml/itemProps3.xml><?xml version="1.0" encoding="utf-8"?>
<ds:datastoreItem xmlns:ds="http://schemas.openxmlformats.org/officeDocument/2006/customXml" ds:itemID="{C4EBC4CF-78DE-48A3-8F0B-1E9E0A3C8271}"/>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NSS-03a Introduction to ISO 19443 Training Guide</dc:title>
  <dc:creator>John Hilton-Brammer</dc:creator>
  <cp:lastModifiedBy>John Hilton-Brammer</cp:lastModifiedBy>
  <dcterms:created xsi:type="dcterms:W3CDTF">2026-07-01T07:45:32Z</dcterms:created>
  <dcterms:modified xsi:type="dcterms:W3CDTF">2026-07-01T07:45:32Z</dcterms:modified>
  <cp:category>Fit For Nuclear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0x0101002453F6056AA6464A99729F79B34ECED9</vt:lpwstr>
  </property>
</Properties>
</file>