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0" w:before="0"/>
      </w:pPr>
      <w:r>
        <w:rPr>
          <w:rFonts w:ascii="Arial" w:cs="Arial" w:eastAsia="Arial" w:hAnsi="Arial"/>
          <w:sz w:val="8"/>
          <w:szCs w:val="8"/>
        </w:rPr>
        <w:t xml:space="preserve"> </w:t>
      </w:r>
    </w:p>
    <w:p>
      <w:pPr>
        <w:spacing w:after="60" w:before="60"/>
      </w:pPr>
      <w:r>
        <w:t xml:space="preserve"/>
      </w:r>
    </w:p>
    <w:p>
      <w:pPr>
        <w:spacing w:after="60" w:before="60"/>
      </w:pPr>
      <w:r>
        <w:t xml:space="preserve"/>
      </w:r>
    </w:p>
    <w:p>
      <w:pPr>
        <w:spacing w:after="200" w:before="40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143000"/>
                    </a:xfrm>
                    <a:prstGeom prst="rect">
                      <a:avLst/>
                    </a:prstGeom>
                  </pic:spPr>
                </pic:pic>
              </a:graphicData>
            </a:graphic>
          </wp:inline>
        </w:drawing>
      </w:r>
    </w:p>
    <w:p>
      <w:pPr>
        <w:shd w:fill="009FE3" w:val="clear"/>
        <w:spacing w:after="0" w:before="500"/>
        <w:jc w:val="center"/>
      </w:pPr>
      <w:r>
        <w:rPr>
          <w:rFonts w:ascii="Arial" w:cs="Arial" w:eastAsia="Arial" w:hAnsi="Arial"/>
          <w:b/>
          <w:bCs/>
          <w:color w:val="FFFFFF"/>
          <w:sz w:val="42"/>
          <w:szCs w:val="42"/>
        </w:rPr>
        <w:t xml:space="preserve">NUCLEAR DOCUMENT CONTROL</w:t>
      </w:r>
    </w:p>
    <w:p>
      <w:pPr>
        <w:shd w:fill="009FE3" w:val="clear"/>
        <w:spacing w:after="0" w:before="0"/>
        <w:jc w:val="center"/>
      </w:pPr>
      <w:r>
        <w:rPr>
          <w:rFonts w:ascii="Arial" w:cs="Arial" w:eastAsia="Arial" w:hAnsi="Arial"/>
          <w:b/>
          <w:bCs/>
          <w:color w:val="FFFFFF"/>
          <w:sz w:val="36"/>
          <w:szCs w:val="36"/>
        </w:rPr>
        <w:t xml:space="preserve">AND TRACEABILITY PROCEDURE</w:t>
      </w:r>
    </w:p>
    <w:p>
      <w:pPr>
        <w:shd w:fill="83348F" w:val="clear"/>
        <w:spacing w:after="0" w:before="0"/>
        <w:jc w:val="center"/>
      </w:pPr>
      <w:r>
        <w:rPr>
          <w:rFonts w:ascii="Arial" w:cs="Arial" w:eastAsia="Arial" w:hAnsi="Arial"/>
          <w:b/>
          <w:bCs/>
          <w:color w:val="FFFFFF"/>
          <w:sz w:val="28"/>
          <w:szCs w:val="28"/>
        </w:rPr>
        <w:t xml:space="preserve">Working Procedure</w:t>
      </w:r>
    </w:p>
    <w:p>
      <w:pPr>
        <w:spacing w:after="60" w:before="60"/>
      </w:pPr>
      <w:r>
        <w:t xml:space="preserve"/>
      </w:r>
    </w:p>
    <w:p>
      <w:pPr>
        <w:spacing w:after="60" w:before="60"/>
      </w:pPr>
      <w:r>
        <w:t xml:space="preserve"/>
      </w:r>
    </w:p>
    <w:p>
      <w:pPr>
        <w:spacing w:after="80" w:before="360"/>
        <w:jc w:val="center"/>
      </w:pPr>
      <w:r>
        <w:rPr>
          <w:rFonts w:ascii="Arial" w:cs="Arial" w:eastAsia="Arial" w:hAnsi="Arial"/>
          <w:b/>
          <w:bCs/>
          <w:color w:val="5B595A"/>
          <w:sz w:val="22"/>
          <w:szCs w:val="22"/>
        </w:rPr>
        <w:t xml:space="preserve">NSS-03f</w:t>
      </w:r>
    </w:p>
    <w:p>
      <w:pPr>
        <w:spacing w:after="80" w:before="0"/>
        <w:jc w:val="center"/>
      </w:pPr>
      <w:r>
        <w:rPr>
          <w:rFonts w:ascii="Arial" w:cs="Arial" w:eastAsia="Arial" w:hAnsi="Arial"/>
          <w:color w:val="5B595A"/>
          <w:sz w:val="20"/>
          <w:szCs w:val="20"/>
        </w:rPr>
        <w:t xml:space="preserve">Nuclear Sector Specific Programme</w:t>
      </w:r>
    </w:p>
    <w:p>
      <w:pPr>
        <w:spacing w:after="80" w:before="0"/>
        <w:jc w:val="center"/>
      </w:pPr>
      <w:r>
        <w:rPr>
          <w:rFonts w:ascii="Arial" w:cs="Arial" w:eastAsia="Arial" w:hAnsi="Arial"/>
          <w:b/>
          <w:bCs/>
          <w:color w:val="009FE3"/>
          <w:sz w:val="20"/>
          <w:szCs w:val="20"/>
        </w:rPr>
        <w:t xml:space="preserve">Delivered by NucCol</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hd w:fill="001E3C" w:val="clear"/>
        <w:spacing w:after="0" w:before="0"/>
        <w:jc w:val="center"/>
      </w:pPr>
      <w:r>
        <w:rPr>
          <w:rFonts w:ascii="Arial" w:cs="Arial" w:eastAsia="Arial" w:hAnsi="Arial"/>
          <w:color w:val="FFFFFF"/>
          <w:sz w:val="18"/>
          <w:szCs w:val="18"/>
        </w:rPr>
        <w:t xml:space="preserve">www.nuccol.co.uk  |  Commercial in Confidence</w:t>
      </w:r>
    </w:p>
    <w:p>
      <w:r>
        <w:br w:type="page"/>
      </w:r>
    </w:p>
    <w:p>
      <w:pPr>
        <w:sectPr>
          <w:headerReference w:type="default" r:id="rId11"/>
          <w:footerReference w:type="default" r:id="rId12"/>
          <w:pgSz w:w="11906" w:h="16838" w:orient="portrait"/>
          <w:pgMar w:top="720" w:right="1080" w:bottom="720" w:left="1080" w:header="283" w:footer="283"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62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Document Reference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NSS-03f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Status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Owner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[Quality Manager Name]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Approved By</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[Director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Date of Issue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Review Frequency</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Annual or following a significant change in nuclear activities or regulatory requirements</w:t>
            </w:r>
          </w:p>
        </w:tc>
      </w:tr>
    </w:tbl>
    <w:p>
      <w:pPr>
        <w:spacing w:after="60" w:before="60"/>
      </w:pPr>
      <w:r>
        <w:t xml:space="preserve"/>
      </w:r>
    </w:p>
    <w:p>
      <w:pPr>
        <w:pStyle w:val="Heading1"/>
        <w:spacing w:after="100" w:before="280"/>
      </w:pPr>
      <w:r>
        <w:rPr>
          <w:rFonts w:ascii="Arial" w:cs="Arial" w:eastAsia="Arial" w:hAnsi="Arial"/>
          <w:b/>
          <w:bCs/>
          <w:color w:val="29ABE2"/>
          <w:sz w:val="32"/>
          <w:szCs w:val="32"/>
        </w:rPr>
        <w:t xml:space="preserve">Purpose and Scope</w:t>
      </w:r>
    </w:p>
    <w:p>
      <w:pPr>
        <w:spacing w:after="80" w:before="60"/>
      </w:pPr>
      <w:r>
        <w:rPr>
          <w:rFonts w:ascii="Arial" w:cs="Arial" w:eastAsia="Arial" w:hAnsi="Arial"/>
          <w:color w:val="5B595A"/>
          <w:sz w:val="21"/>
          <w:szCs w:val="21"/>
        </w:rPr>
        <w:t xml:space="preserve">This procedure defines how [Company Name] controls documents and maintains records for activities within the scope of nuclear supply chain work, specifically for Products and Services Important to Nuclear Safety (ITNS). It meets the requirements of ISO 19443:2018 clause 7.5 and the additional nuclear lifetime record obligations that go beyond ISO 9001.</w:t>
      </w:r>
    </w:p>
    <w:p>
      <w:pPr>
        <w:spacing w:after="80" w:before="60"/>
      </w:pPr>
      <w:r>
        <w:rPr>
          <w:rFonts w:ascii="Arial" w:cs="Arial" w:eastAsia="Arial" w:hAnsi="Arial"/>
          <w:color w:val="5B595A"/>
          <w:sz w:val="21"/>
          <w:szCs w:val="21"/>
        </w:rPr>
        <w:t xml:space="preserve">This procedure applies to all staff involved in creating, reviewing, approving, using, distributing, storing, or disposing of documents and quality records related to nuclear ITNS work. It supplements but does not replace the company's standard document control procedure, which continues to apply to non-nuclear work.</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NUCLEAR RECORD REQUIREMENT</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Quality records for ITNS work must be retained for the lifetime of the nuclear facility or as otherwise specified in the contract, which is typically 40 years or more. This is a legally grounded requirement flowing from the nuclear site licence conditions. Failure to maintain adequate quality records can have significant regulatory and commercial consequences.</w:t>
            </w:r>
          </w:p>
        </w:tc>
      </w:tr>
    </w:tbl>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SECTION 1: DOCUMENT CONTROL</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1.1 Document Identification</w:t>
      </w:r>
    </w:p>
    <w:p>
      <w:pPr>
        <w:spacing w:after="80" w:before="60"/>
      </w:pPr>
      <w:r>
        <w:rPr>
          <w:rFonts w:ascii="Arial" w:cs="Arial" w:eastAsia="Arial" w:hAnsi="Arial"/>
          <w:color w:val="5B595A"/>
          <w:sz w:val="21"/>
          <w:szCs w:val="21"/>
        </w:rPr>
        <w:t xml:space="preserve">All controlled documents used on nuclear ITNS work shall be uniquely identified using the following numbering convention: [Company Prefix]-[Document Type]-[Sequential Number]-[Version], for example: ABC-QP-001-Rev2. The document identifier, title, version, date, and authorisation shall appear on every page of the controlled document.</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1.2 Document Creation and Review</w:t>
      </w:r>
    </w:p>
    <w:p>
      <w:pPr>
        <w:pStyle w:val="ListParagraph"/>
        <w:numPr>
          <w:ilvl w:val="0"/>
          <w:numId w:val="2"/>
        </w:numPr>
        <w:spacing w:after="40" w:before="40"/>
      </w:pPr>
      <w:r>
        <w:rPr>
          <w:rFonts w:ascii="Arial" w:cs="Arial" w:eastAsia="Arial" w:hAnsi="Arial"/>
          <w:b w:val="false"/>
          <w:bCs w:val="false"/>
          <w:color w:val="5B595A"/>
          <w:sz w:val="21"/>
          <w:szCs w:val="21"/>
        </w:rPr>
        <w:t xml:space="preserve">Documents are created by the nominated author using approved templates</w:t>
      </w:r>
    </w:p>
    <w:p>
      <w:pPr>
        <w:pStyle w:val="ListParagraph"/>
        <w:numPr>
          <w:ilvl w:val="0"/>
          <w:numId w:val="2"/>
        </w:numPr>
        <w:spacing w:after="40" w:before="40"/>
      </w:pPr>
      <w:r>
        <w:rPr>
          <w:rFonts w:ascii="Arial" w:cs="Arial" w:eastAsia="Arial" w:hAnsi="Arial"/>
          <w:b w:val="false"/>
          <w:bCs w:val="false"/>
          <w:color w:val="5B595A"/>
          <w:sz w:val="21"/>
          <w:szCs w:val="21"/>
        </w:rPr>
        <w:t xml:space="preserve">All controlled documents for nuclear ITNS work must be reviewed for technical accuracy by a suitably qualified individual before issue</w:t>
      </w:r>
    </w:p>
    <w:p>
      <w:pPr>
        <w:pStyle w:val="ListParagraph"/>
        <w:numPr>
          <w:ilvl w:val="0"/>
          <w:numId w:val="2"/>
        </w:numPr>
        <w:spacing w:after="40" w:before="40"/>
      </w:pPr>
      <w:r>
        <w:rPr>
          <w:rFonts w:ascii="Arial" w:cs="Arial" w:eastAsia="Arial" w:hAnsi="Arial"/>
          <w:b w:val="false"/>
          <w:bCs w:val="false"/>
          <w:color w:val="5B595A"/>
          <w:sz w:val="21"/>
          <w:szCs w:val="21"/>
        </w:rPr>
        <w:t xml:space="preserve">Final approval must be given by the Quality Manager or a nominated deputy with equivalent authority</w:t>
      </w:r>
    </w:p>
    <w:p>
      <w:pPr>
        <w:pStyle w:val="ListParagraph"/>
        <w:numPr>
          <w:ilvl w:val="0"/>
          <w:numId w:val="2"/>
        </w:numPr>
        <w:spacing w:after="40" w:before="40"/>
      </w:pPr>
      <w:r>
        <w:rPr>
          <w:rFonts w:ascii="Arial" w:cs="Arial" w:eastAsia="Arial" w:hAnsi="Arial"/>
          <w:b w:val="false"/>
          <w:bCs w:val="false"/>
          <w:color w:val="5B595A"/>
          <w:sz w:val="21"/>
          <w:szCs w:val="21"/>
        </w:rPr>
        <w:t xml:space="preserve">The approver must not be the same person as the author</w:t>
      </w:r>
    </w:p>
    <w:p>
      <w:pPr>
        <w:pStyle w:val="ListParagraph"/>
        <w:numPr>
          <w:ilvl w:val="0"/>
          <w:numId w:val="2"/>
        </w:numPr>
        <w:spacing w:after="40" w:before="40"/>
      </w:pPr>
      <w:r>
        <w:rPr>
          <w:rFonts w:ascii="Arial" w:cs="Arial" w:eastAsia="Arial" w:hAnsi="Arial"/>
          <w:b w:val="false"/>
          <w:bCs w:val="false"/>
          <w:color w:val="5B595A"/>
          <w:sz w:val="21"/>
          <w:szCs w:val="21"/>
        </w:rPr>
        <w:t xml:space="preserve">No controlled document may be used on nuclear work before it has been formally approved and issued through this procedure</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1.3 Document Issue and Distribution</w:t>
      </w:r>
    </w:p>
    <w:p>
      <w:pPr>
        <w:spacing w:after="80" w:before="60"/>
      </w:pPr>
      <w:r>
        <w:rPr>
          <w:rFonts w:ascii="Arial" w:cs="Arial" w:eastAsia="Arial" w:hAnsi="Arial"/>
          <w:color w:val="5B595A"/>
          <w:sz w:val="21"/>
          <w:szCs w:val="21"/>
        </w:rPr>
        <w:t xml:space="preserve">The Master Document Register (maintained by the Quality Manager) records all controlled documents, their current revision, distribution, and status. Controlled copies are issued with a controlled copy number recorded in the register. Only controlled copies from the register are valid for use on nuclear work.</w:t>
      </w:r>
    </w:p>
    <w:p>
      <w:pPr>
        <w:pStyle w:val="ListParagraph"/>
        <w:numPr>
          <w:ilvl w:val="0"/>
          <w:numId w:val="2"/>
        </w:numPr>
        <w:spacing w:after="40" w:before="40"/>
      </w:pPr>
      <w:r>
        <w:rPr>
          <w:rFonts w:ascii="Arial" w:cs="Arial" w:eastAsia="Arial" w:hAnsi="Arial"/>
          <w:b w:val="false"/>
          <w:bCs w:val="false"/>
          <w:color w:val="5B595A"/>
          <w:sz w:val="21"/>
          <w:szCs w:val="21"/>
        </w:rPr>
        <w:t xml:space="preserve">Electronic distribution: documents shall be distributed in read-only format (PDF). Recipients must not print from uncontrolled sources.</w:t>
      </w:r>
    </w:p>
    <w:p>
      <w:pPr>
        <w:pStyle w:val="ListParagraph"/>
        <w:numPr>
          <w:ilvl w:val="0"/>
          <w:numId w:val="2"/>
        </w:numPr>
        <w:spacing w:after="40" w:before="40"/>
      </w:pPr>
      <w:r>
        <w:rPr>
          <w:rFonts w:ascii="Arial" w:cs="Arial" w:eastAsia="Arial" w:hAnsi="Arial"/>
          <w:b w:val="false"/>
          <w:bCs w:val="false"/>
          <w:color w:val="5B595A"/>
          <w:sz w:val="21"/>
          <w:szCs w:val="21"/>
        </w:rPr>
        <w:t xml:space="preserve">Hard copy distribution: numbered controlled copies with a distribution list are acceptable for site use where electronic access is not available. Hard copies must be returned or destroyed when superseded.</w:t>
      </w:r>
    </w:p>
    <w:p>
      <w:pPr>
        <w:pStyle w:val="ListParagraph"/>
        <w:numPr>
          <w:ilvl w:val="0"/>
          <w:numId w:val="2"/>
        </w:numPr>
        <w:spacing w:after="40" w:before="40"/>
      </w:pPr>
      <w:r>
        <w:rPr>
          <w:rFonts w:ascii="Arial" w:cs="Arial" w:eastAsia="Arial" w:hAnsi="Arial"/>
          <w:b w:val="false"/>
          <w:bCs w:val="false"/>
          <w:color w:val="5B595A"/>
          <w:sz w:val="21"/>
          <w:szCs w:val="21"/>
        </w:rPr>
        <w:t xml:space="preserve">Uncontrolled copies: documents marked 'Uncontrolled when printed' are for reference only and must not be used as the basis for nuclear work activities.</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1.4 Document Change Control</w:t>
      </w:r>
    </w:p>
    <w:p>
      <w:pPr>
        <w:spacing w:after="80" w:before="60"/>
      </w:pPr>
      <w:r>
        <w:rPr>
          <w:rFonts w:ascii="Arial" w:cs="Arial" w:eastAsia="Arial" w:hAnsi="Arial"/>
          <w:color w:val="5B595A"/>
          <w:sz w:val="21"/>
          <w:szCs w:val="21"/>
        </w:rPr>
        <w:t xml:space="preserve">Changes to controlled documents for nuclear ITNS work must go through formal change control:</w:t>
      </w:r>
    </w:p>
    <w:p>
      <w:pPr>
        <w:pStyle w:val="ListParagraph"/>
        <w:numPr>
          <w:ilvl w:val="0"/>
          <w:numId w:val="2"/>
        </w:numPr>
        <w:spacing w:after="40" w:before="40"/>
      </w:pPr>
      <w:r>
        <w:rPr>
          <w:rFonts w:ascii="Arial" w:cs="Arial" w:eastAsia="Arial" w:hAnsi="Arial"/>
          <w:b w:val="false"/>
          <w:bCs w:val="false"/>
          <w:color w:val="5B595A"/>
          <w:sz w:val="21"/>
          <w:szCs w:val="21"/>
        </w:rPr>
        <w:t xml:space="preserve">The change is proposed and documented on a Document Change Request</w:t>
      </w:r>
    </w:p>
    <w:p>
      <w:pPr>
        <w:pStyle w:val="ListParagraph"/>
        <w:numPr>
          <w:ilvl w:val="0"/>
          <w:numId w:val="2"/>
        </w:numPr>
        <w:spacing w:after="40" w:before="40"/>
      </w:pPr>
      <w:r>
        <w:rPr>
          <w:rFonts w:ascii="Arial" w:cs="Arial" w:eastAsia="Arial" w:hAnsi="Arial"/>
          <w:b w:val="false"/>
          <w:bCs w:val="false"/>
          <w:color w:val="5B595A"/>
          <w:sz w:val="21"/>
          <w:szCs w:val="21"/>
        </w:rPr>
        <w:t xml:space="preserve">The change is reviewed and approved by the Quality Manager</w:t>
      </w:r>
    </w:p>
    <w:p>
      <w:pPr>
        <w:pStyle w:val="ListParagraph"/>
        <w:numPr>
          <w:ilvl w:val="0"/>
          <w:numId w:val="2"/>
        </w:numPr>
        <w:spacing w:after="40" w:before="40"/>
      </w:pPr>
      <w:r>
        <w:rPr>
          <w:rFonts w:ascii="Arial" w:cs="Arial" w:eastAsia="Arial" w:hAnsi="Arial"/>
          <w:b w:val="false"/>
          <w:bCs w:val="false"/>
          <w:color w:val="5B595A"/>
          <w:sz w:val="21"/>
          <w:szCs w:val="21"/>
        </w:rPr>
        <w:t xml:space="preserve">The revised document is issued under a new revision number</w:t>
      </w:r>
    </w:p>
    <w:p>
      <w:pPr>
        <w:pStyle w:val="ListParagraph"/>
        <w:numPr>
          <w:ilvl w:val="0"/>
          <w:numId w:val="2"/>
        </w:numPr>
        <w:spacing w:after="40" w:before="40"/>
      </w:pPr>
      <w:r>
        <w:rPr>
          <w:rFonts w:ascii="Arial" w:cs="Arial" w:eastAsia="Arial" w:hAnsi="Arial"/>
          <w:b w:val="false"/>
          <w:bCs w:val="false"/>
          <w:color w:val="5B595A"/>
          <w:sz w:val="21"/>
          <w:szCs w:val="21"/>
        </w:rPr>
        <w:t xml:space="preserve">Previous revisions are superseded and removed from active use</w:t>
      </w:r>
    </w:p>
    <w:p>
      <w:pPr>
        <w:pStyle w:val="ListParagraph"/>
        <w:numPr>
          <w:ilvl w:val="0"/>
          <w:numId w:val="2"/>
        </w:numPr>
        <w:spacing w:after="40" w:before="40"/>
      </w:pPr>
      <w:r>
        <w:rPr>
          <w:rFonts w:ascii="Arial" w:cs="Arial" w:eastAsia="Arial" w:hAnsi="Arial"/>
          <w:b w:val="false"/>
          <w:bCs w:val="false"/>
          <w:color w:val="5B595A"/>
          <w:sz w:val="21"/>
          <w:szCs w:val="21"/>
        </w:rPr>
        <w:t xml:space="preserve">All previous holders of the document are notified of the new revision</w:t>
      </w:r>
    </w:p>
    <w:p>
      <w:pPr>
        <w:pStyle w:val="ListParagraph"/>
        <w:numPr>
          <w:ilvl w:val="0"/>
          <w:numId w:val="2"/>
        </w:numPr>
        <w:spacing w:after="40" w:before="40"/>
      </w:pPr>
      <w:r>
        <w:rPr>
          <w:rFonts w:ascii="Arial" w:cs="Arial" w:eastAsia="Arial" w:hAnsi="Arial"/>
          <w:b w:val="false"/>
          <w:bCs w:val="false"/>
          <w:color w:val="5B595A"/>
          <w:sz w:val="21"/>
          <w:szCs w:val="21"/>
        </w:rPr>
        <w:t xml:space="preserve">The revision history table on the document records the change and the reason for it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IMPORTANT</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Previous versions of controlled documents used on nuclear work must be retained as quality records even after supersession. They should be clearly marked 'SUPERSEDED' and archived, not deleted. The document used for any particular activity must be the version that was current at the time.</w:t>
            </w:r>
          </w:p>
        </w:tc>
      </w:tr>
    </w:tbl>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SECTION 2: QUALITY RECORD MANAGEMENT</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2.1 What Constitutes a Quality Record</w:t>
      </w:r>
    </w:p>
    <w:p>
      <w:pPr>
        <w:spacing w:after="80" w:before="60"/>
      </w:pPr>
      <w:r>
        <w:rPr>
          <w:rFonts w:ascii="Arial" w:cs="Arial" w:eastAsia="Arial" w:hAnsi="Arial"/>
          <w:color w:val="5B595A"/>
          <w:sz w:val="21"/>
          <w:szCs w:val="21"/>
        </w:rPr>
        <w:t xml:space="preserve">Quality records are evidence that quality-relevant activities were carried out in conformance with specified requirements. For nuclear ITNS work, the following are always quality records:</w:t>
      </w:r>
    </w:p>
    <w:p>
      <w:pPr>
        <w:pStyle w:val="ListParagraph"/>
        <w:numPr>
          <w:ilvl w:val="0"/>
          <w:numId w:val="2"/>
        </w:numPr>
        <w:spacing w:after="40" w:before="40"/>
      </w:pPr>
      <w:r>
        <w:rPr>
          <w:rFonts w:ascii="Arial" w:cs="Arial" w:eastAsia="Arial" w:hAnsi="Arial"/>
          <w:b w:val="false"/>
          <w:bCs w:val="false"/>
          <w:color w:val="5B595A"/>
          <w:sz w:val="21"/>
          <w:szCs w:val="21"/>
        </w:rPr>
        <w:t xml:space="preserve">Material certificates and mill certificates</w:t>
      </w:r>
    </w:p>
    <w:p>
      <w:pPr>
        <w:pStyle w:val="ListParagraph"/>
        <w:numPr>
          <w:ilvl w:val="0"/>
          <w:numId w:val="2"/>
        </w:numPr>
        <w:spacing w:after="40" w:before="40"/>
      </w:pPr>
      <w:r>
        <w:rPr>
          <w:rFonts w:ascii="Arial" w:cs="Arial" w:eastAsia="Arial" w:hAnsi="Arial"/>
          <w:b w:val="false"/>
          <w:bCs w:val="false"/>
          <w:color w:val="5B595A"/>
          <w:sz w:val="21"/>
          <w:szCs w:val="21"/>
        </w:rPr>
        <w:t xml:space="preserve">Calibration records for measurement and test equipment</w:t>
      </w:r>
    </w:p>
    <w:p>
      <w:pPr>
        <w:pStyle w:val="ListParagraph"/>
        <w:numPr>
          <w:ilvl w:val="0"/>
          <w:numId w:val="2"/>
        </w:numPr>
        <w:spacing w:after="40" w:before="40"/>
      </w:pPr>
      <w:r>
        <w:rPr>
          <w:rFonts w:ascii="Arial" w:cs="Arial" w:eastAsia="Arial" w:hAnsi="Arial"/>
          <w:b w:val="false"/>
          <w:bCs w:val="false"/>
          <w:color w:val="5B595A"/>
          <w:sz w:val="21"/>
          <w:szCs w:val="21"/>
        </w:rPr>
        <w:t xml:space="preserve">Inspection and test records, including completed ITPs</w:t>
      </w:r>
    </w:p>
    <w:p>
      <w:pPr>
        <w:pStyle w:val="ListParagraph"/>
        <w:numPr>
          <w:ilvl w:val="0"/>
          <w:numId w:val="2"/>
        </w:numPr>
        <w:spacing w:after="40" w:before="40"/>
      </w:pPr>
      <w:r>
        <w:rPr>
          <w:rFonts w:ascii="Arial" w:cs="Arial" w:eastAsia="Arial" w:hAnsi="Arial"/>
          <w:b w:val="false"/>
          <w:bCs w:val="false"/>
          <w:color w:val="5B595A"/>
          <w:sz w:val="21"/>
          <w:szCs w:val="21"/>
        </w:rPr>
        <w:t xml:space="preserve">Weld records, welder qualification certificates, and WPS documents</w:t>
      </w:r>
    </w:p>
    <w:p>
      <w:pPr>
        <w:pStyle w:val="ListParagraph"/>
        <w:numPr>
          <w:ilvl w:val="0"/>
          <w:numId w:val="2"/>
        </w:numPr>
        <w:spacing w:after="40" w:before="40"/>
      </w:pPr>
      <w:r>
        <w:rPr>
          <w:rFonts w:ascii="Arial" w:cs="Arial" w:eastAsia="Arial" w:hAnsi="Arial"/>
          <w:b w:val="false"/>
          <w:bCs w:val="false"/>
          <w:color w:val="5B595A"/>
          <w:sz w:val="21"/>
          <w:szCs w:val="21"/>
        </w:rPr>
        <w:t xml:space="preserve">NDE reports and technician qualification certificates</w:t>
      </w:r>
    </w:p>
    <w:p>
      <w:pPr>
        <w:pStyle w:val="ListParagraph"/>
        <w:numPr>
          <w:ilvl w:val="0"/>
          <w:numId w:val="2"/>
        </w:numPr>
        <w:spacing w:after="40" w:before="40"/>
      </w:pPr>
      <w:r>
        <w:rPr>
          <w:rFonts w:ascii="Arial" w:cs="Arial" w:eastAsia="Arial" w:hAnsi="Arial"/>
          <w:b w:val="false"/>
          <w:bCs w:val="false"/>
          <w:color w:val="5B595A"/>
          <w:sz w:val="21"/>
          <w:szCs w:val="21"/>
        </w:rPr>
        <w:t xml:space="preserve">Non-conformance reports and associated investigation and disposition records</w:t>
      </w:r>
    </w:p>
    <w:p>
      <w:pPr>
        <w:pStyle w:val="ListParagraph"/>
        <w:numPr>
          <w:ilvl w:val="0"/>
          <w:numId w:val="2"/>
        </w:numPr>
        <w:spacing w:after="40" w:before="40"/>
      </w:pPr>
      <w:r>
        <w:rPr>
          <w:rFonts w:ascii="Arial" w:cs="Arial" w:eastAsia="Arial" w:hAnsi="Arial"/>
          <w:b w:val="false"/>
          <w:bCs w:val="false"/>
          <w:color w:val="5B595A"/>
          <w:sz w:val="21"/>
          <w:szCs w:val="21"/>
        </w:rPr>
        <w:t xml:space="preserve">Concession requests and client approvals</w:t>
      </w:r>
    </w:p>
    <w:p>
      <w:pPr>
        <w:pStyle w:val="ListParagraph"/>
        <w:numPr>
          <w:ilvl w:val="0"/>
          <w:numId w:val="2"/>
        </w:numPr>
        <w:spacing w:after="40" w:before="40"/>
      </w:pPr>
      <w:r>
        <w:rPr>
          <w:rFonts w:ascii="Arial" w:cs="Arial" w:eastAsia="Arial" w:hAnsi="Arial"/>
          <w:b w:val="false"/>
          <w:bCs w:val="false"/>
          <w:color w:val="5B595A"/>
          <w:sz w:val="21"/>
          <w:szCs w:val="21"/>
        </w:rPr>
        <w:t xml:space="preserve">SQEP records: qualifications, training, and authorisations of personnel</w:t>
      </w:r>
    </w:p>
    <w:p>
      <w:pPr>
        <w:pStyle w:val="ListParagraph"/>
        <w:numPr>
          <w:ilvl w:val="0"/>
          <w:numId w:val="2"/>
        </w:numPr>
        <w:spacing w:after="40" w:before="40"/>
      </w:pPr>
      <w:r>
        <w:rPr>
          <w:rFonts w:ascii="Arial" w:cs="Arial" w:eastAsia="Arial" w:hAnsi="Arial"/>
          <w:b w:val="false"/>
          <w:bCs w:val="false"/>
          <w:color w:val="5B595A"/>
          <w:sz w:val="21"/>
          <w:szCs w:val="21"/>
        </w:rPr>
        <w:t xml:space="preserve">Quality plan documents and their approval records</w:t>
      </w:r>
    </w:p>
    <w:p>
      <w:pPr>
        <w:pStyle w:val="ListParagraph"/>
        <w:numPr>
          <w:ilvl w:val="0"/>
          <w:numId w:val="2"/>
        </w:numPr>
        <w:spacing w:after="40" w:before="40"/>
      </w:pPr>
      <w:r>
        <w:rPr>
          <w:rFonts w:ascii="Arial" w:cs="Arial" w:eastAsia="Arial" w:hAnsi="Arial"/>
          <w:b w:val="false"/>
          <w:bCs w:val="false"/>
          <w:color w:val="5B595A"/>
          <w:sz w:val="21"/>
          <w:szCs w:val="21"/>
        </w:rPr>
        <w:t xml:space="preserve">Audit reports and close-out records</w:t>
      </w:r>
    </w:p>
    <w:p>
      <w:pPr>
        <w:pStyle w:val="ListParagraph"/>
        <w:numPr>
          <w:ilvl w:val="0"/>
          <w:numId w:val="2"/>
        </w:numPr>
        <w:spacing w:after="40" w:before="40"/>
      </w:pPr>
      <w:r>
        <w:rPr>
          <w:rFonts w:ascii="Arial" w:cs="Arial" w:eastAsia="Arial" w:hAnsi="Arial"/>
          <w:b w:val="false"/>
          <w:bCs w:val="false"/>
          <w:color w:val="5B595A"/>
          <w:sz w:val="21"/>
          <w:szCs w:val="21"/>
        </w:rPr>
        <w:t xml:space="preserve">Final release certificates and associated documentation packs</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2.2 Record Creation Standards</w:t>
      </w:r>
    </w:p>
    <w:p>
      <w:pPr>
        <w:spacing w:after="80" w:before="60"/>
      </w:pPr>
      <w:r>
        <w:rPr>
          <w:rFonts w:ascii="Arial" w:cs="Arial" w:eastAsia="Arial" w:hAnsi="Arial"/>
          <w:color w:val="5B595A"/>
          <w:sz w:val="21"/>
          <w:szCs w:val="21"/>
        </w:rPr>
        <w:t xml:space="preserve">Quality records for nuclear ITNS work must meet the following standards:</w:t>
      </w:r>
    </w:p>
    <w:p>
      <w:pPr>
        <w:pStyle w:val="ListParagraph"/>
        <w:numPr>
          <w:ilvl w:val="0"/>
          <w:numId w:val="2"/>
        </w:numPr>
        <w:spacing w:after="40" w:before="40"/>
      </w:pPr>
      <w:r>
        <w:rPr>
          <w:rFonts w:ascii="Arial" w:cs="Arial" w:eastAsia="Arial" w:hAnsi="Arial"/>
          <w:b w:val="false"/>
          <w:bCs w:val="false"/>
          <w:color w:val="5B595A"/>
          <w:sz w:val="21"/>
          <w:szCs w:val="21"/>
        </w:rPr>
        <w:t xml:space="preserve">Accuracy: records must truthfully reflect what was done. Falsification of nuclear quality records is a criminal offence.</w:t>
      </w:r>
    </w:p>
    <w:p>
      <w:pPr>
        <w:pStyle w:val="ListParagraph"/>
        <w:numPr>
          <w:ilvl w:val="0"/>
          <w:numId w:val="2"/>
        </w:numPr>
        <w:spacing w:after="40" w:before="40"/>
      </w:pPr>
      <w:r>
        <w:rPr>
          <w:rFonts w:ascii="Arial" w:cs="Arial" w:eastAsia="Arial" w:hAnsi="Arial"/>
          <w:b w:val="false"/>
          <w:bCs w:val="false"/>
          <w:color w:val="5B595A"/>
          <w:sz w:val="21"/>
          <w:szCs w:val="21"/>
        </w:rPr>
        <w:t xml:space="preserve">Completeness: every required field must be completed. Blank fields must be marked N/A with justification if not applicable.</w:t>
      </w:r>
    </w:p>
    <w:p>
      <w:pPr>
        <w:pStyle w:val="ListParagraph"/>
        <w:numPr>
          <w:ilvl w:val="0"/>
          <w:numId w:val="2"/>
        </w:numPr>
        <w:spacing w:after="40" w:before="40"/>
      </w:pPr>
      <w:r>
        <w:rPr>
          <w:rFonts w:ascii="Arial" w:cs="Arial" w:eastAsia="Arial" w:hAnsi="Arial"/>
          <w:b w:val="false"/>
          <w:bCs w:val="false"/>
          <w:color w:val="5B595A"/>
          <w:sz w:val="21"/>
          <w:szCs w:val="21"/>
        </w:rPr>
        <w:t xml:space="preserve">Legibility: handwritten records must be legible. Corrections must be made by a single line through the error, initialled and dated. No correction fluid (Tippex) is permitted on nuclear quality records.</w:t>
      </w:r>
    </w:p>
    <w:p>
      <w:pPr>
        <w:pStyle w:val="ListParagraph"/>
        <w:numPr>
          <w:ilvl w:val="0"/>
          <w:numId w:val="2"/>
        </w:numPr>
        <w:spacing w:after="40" w:before="40"/>
      </w:pPr>
      <w:r>
        <w:rPr>
          <w:rFonts w:ascii="Arial" w:cs="Arial" w:eastAsia="Arial" w:hAnsi="Arial"/>
          <w:b w:val="false"/>
          <w:bCs w:val="false"/>
          <w:color w:val="5B595A"/>
          <w:sz w:val="21"/>
          <w:szCs w:val="21"/>
        </w:rPr>
        <w:t xml:space="preserve">Traceability: every record must be uniquely identified and traceable to the item, activity, contract, and personnel involved.</w:t>
      </w:r>
    </w:p>
    <w:p>
      <w:pPr>
        <w:pStyle w:val="ListParagraph"/>
        <w:numPr>
          <w:ilvl w:val="0"/>
          <w:numId w:val="2"/>
        </w:numPr>
        <w:spacing w:after="40" w:before="40"/>
      </w:pPr>
      <w:r>
        <w:rPr>
          <w:rFonts w:ascii="Arial" w:cs="Arial" w:eastAsia="Arial" w:hAnsi="Arial"/>
          <w:b w:val="false"/>
          <w:bCs w:val="false"/>
          <w:color w:val="5B595A"/>
          <w:sz w:val="21"/>
          <w:szCs w:val="21"/>
        </w:rPr>
        <w:t xml:space="preserve">Timeliness: records must be completed at the time the activity is carried out. Retrospective completion must be approved by the Quality Manager.</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2.3 Record Retention Requirements</w:t>
      </w:r>
    </w:p>
    <w:p>
      <w:pPr>
        <w:spacing w:after="80" w:before="60"/>
      </w:pPr>
      <w:r>
        <w:rPr>
          <w:rFonts w:ascii="Arial" w:cs="Arial" w:eastAsia="Arial" w:hAnsi="Arial"/>
          <w:color w:val="5B595A"/>
          <w:sz w:val="21"/>
          <w:szCs w:val="21"/>
        </w:rPr>
        <w:t xml:space="preserve">Nuclear quality records shall be retained in accordance with the following minimum periods. Contract requirements take precedence if they specify a longer retention period: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Record Type</w:t>
            </w:r>
          </w:p>
        </w:tc>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Minimum Retention Period</w:t>
            </w:r>
          </w:p>
        </w:tc>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Storage Location</w:t>
            </w:r>
          </w:p>
        </w:tc>
        <w:tc>
          <w:tcPr>
            <w:tcW w:type="dxa" w:w="18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Custodian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Material certificates for ITNS items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Life of nuclear facility (typically 40 years minimum)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Quality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Inspection and test records (ITNS)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Life of nuclear facility (typically 40 years minimum)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Quality 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Weld records and WPS documents (ITNS)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Life of nuclear facility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Quality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NDE reports (ITNS)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Life of nuclear facility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Quality 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NCR records (ITNS)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Life of nuclear facility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Quality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Concession records (ITNS)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Life of nuclear facility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Quality 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SQEP records (for nuclear personnel)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Duration of employment + 10 years minimum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HR / Quality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Calibration records (ITNS equipment)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Life of equipment + 5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Equipment Controller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Quality Plans (ITNS contracts)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Life of nuclear facility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Quality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ITP documents (ITNS)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Life of nuclear facility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Quality 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Audit records (nuclear)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10 years minimum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Quality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CFSI suspect item 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Life of nuclear facility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Quality Manager</w:t>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2.4 Record Storage and Protection</w:t>
      </w:r>
    </w:p>
    <w:p>
      <w:pPr>
        <w:spacing w:after="80" w:before="60"/>
      </w:pPr>
      <w:r>
        <w:rPr>
          <w:rFonts w:ascii="Arial" w:cs="Arial" w:eastAsia="Arial" w:hAnsi="Arial"/>
          <w:color w:val="5B595A"/>
          <w:sz w:val="21"/>
          <w:szCs w:val="21"/>
        </w:rPr>
        <w:t xml:space="preserve">Nuclear quality records must be stored in a manner that protects them against the following risks:</w:t>
      </w:r>
    </w:p>
    <w:p>
      <w:pPr>
        <w:pStyle w:val="ListParagraph"/>
        <w:numPr>
          <w:ilvl w:val="0"/>
          <w:numId w:val="2"/>
        </w:numPr>
        <w:spacing w:after="40" w:before="40"/>
      </w:pPr>
      <w:r>
        <w:rPr>
          <w:rFonts w:ascii="Arial" w:cs="Arial" w:eastAsia="Arial" w:hAnsi="Arial"/>
          <w:b w:val="false"/>
          <w:bCs w:val="false"/>
          <w:color w:val="5B595A"/>
          <w:sz w:val="21"/>
          <w:szCs w:val="21"/>
        </w:rPr>
        <w:t xml:space="preserve">Accidental deletion or loss (electronic records: minimum two independent backup locations, including one offsite)</w:t>
      </w:r>
    </w:p>
    <w:p>
      <w:pPr>
        <w:pStyle w:val="ListParagraph"/>
        <w:numPr>
          <w:ilvl w:val="0"/>
          <w:numId w:val="2"/>
        </w:numPr>
        <w:spacing w:after="40" w:before="40"/>
      </w:pPr>
      <w:r>
        <w:rPr>
          <w:rFonts w:ascii="Arial" w:cs="Arial" w:eastAsia="Arial" w:hAnsi="Arial"/>
          <w:b w:val="false"/>
          <w:bCs w:val="false"/>
          <w:color w:val="5B595A"/>
          <w:sz w:val="21"/>
          <w:szCs w:val="21"/>
        </w:rPr>
        <w:t xml:space="preserve">Unauthorised access or alteration (access controls to be implemented for quality record storage)</w:t>
      </w:r>
    </w:p>
    <w:p>
      <w:pPr>
        <w:pStyle w:val="ListParagraph"/>
        <w:numPr>
          <w:ilvl w:val="0"/>
          <w:numId w:val="2"/>
        </w:numPr>
        <w:spacing w:after="40" w:before="40"/>
      </w:pPr>
      <w:r>
        <w:rPr>
          <w:rFonts w:ascii="Arial" w:cs="Arial" w:eastAsia="Arial" w:hAnsi="Arial"/>
          <w:b w:val="false"/>
          <w:bCs w:val="false"/>
          <w:color w:val="5B595A"/>
          <w:sz w:val="21"/>
          <w:szCs w:val="21"/>
        </w:rPr>
        <w:t xml:space="preserve">Physical deterioration (hard copy records stored in dry, secure conditions away from heat, moisture, and pests)</w:t>
      </w:r>
    </w:p>
    <w:p>
      <w:pPr>
        <w:pStyle w:val="ListParagraph"/>
        <w:numPr>
          <w:ilvl w:val="0"/>
          <w:numId w:val="2"/>
        </w:numPr>
        <w:spacing w:after="40" w:before="40"/>
      </w:pPr>
      <w:r>
        <w:rPr>
          <w:rFonts w:ascii="Arial" w:cs="Arial" w:eastAsia="Arial" w:hAnsi="Arial"/>
          <w:b w:val="false"/>
          <w:bCs w:val="false"/>
          <w:color w:val="5B595A"/>
          <w:sz w:val="21"/>
          <w:szCs w:val="21"/>
        </w:rPr>
        <w:t xml:space="preserve">Technology obsolescence (electronic records stored in formats that will remain readable over the retention period; file format reviews every five years)</w:t>
      </w:r>
    </w:p>
    <w:p>
      <w:pPr>
        <w:pStyle w:val="ListParagraph"/>
        <w:numPr>
          <w:ilvl w:val="0"/>
          <w:numId w:val="2"/>
        </w:numPr>
        <w:spacing w:after="40" w:before="40"/>
      </w:pPr>
      <w:r>
        <w:rPr>
          <w:rFonts w:ascii="Arial" w:cs="Arial" w:eastAsia="Arial" w:hAnsi="Arial"/>
          <w:b w:val="false"/>
          <w:bCs w:val="false"/>
          <w:color w:val="5B595A"/>
          <w:sz w:val="21"/>
          <w:szCs w:val="21"/>
        </w:rPr>
        <w:t xml:space="preserve">Loss of business continuity (a nominated records custodian with a succession plan)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TECHNOLOGY OBSOLESCENCE NOTE</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Storing nuclear quality records in proprietary software systems that may no longer exist in 40 years is a known risk. Export records to standard, non-proprietary formats (PDF/A for documents, CSV for data) at point of creation or at regular intervals. Do not rely solely on a cloud platform with no long-term commitment.</w:t>
            </w:r>
          </w:p>
        </w:tc>
      </w:tr>
    </w:tbl>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SECTION 3: TRACEABILITY</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3.1 Material and Component Traceability</w:t>
      </w:r>
    </w:p>
    <w:p>
      <w:pPr>
        <w:spacing w:after="80" w:before="60"/>
      </w:pPr>
      <w:r>
        <w:rPr>
          <w:rFonts w:ascii="Arial" w:cs="Arial" w:eastAsia="Arial" w:hAnsi="Arial"/>
          <w:color w:val="5B595A"/>
          <w:sz w:val="21"/>
          <w:szCs w:val="21"/>
        </w:rPr>
        <w:t xml:space="preserve">Full traceability for ITNS materials and components means the ability to trace from the finished item back through every stage of manufacture, inspection, and release to the original source material. This requires:</w:t>
      </w:r>
    </w:p>
    <w:p>
      <w:pPr>
        <w:pStyle w:val="ListParagraph"/>
        <w:numPr>
          <w:ilvl w:val="0"/>
          <w:numId w:val="2"/>
        </w:numPr>
        <w:spacing w:after="40" w:before="40"/>
      </w:pPr>
      <w:r>
        <w:rPr>
          <w:rFonts w:ascii="Arial" w:cs="Arial" w:eastAsia="Arial" w:hAnsi="Arial"/>
          <w:b w:val="false"/>
          <w:bCs w:val="false"/>
          <w:color w:val="5B595A"/>
          <w:sz w:val="21"/>
          <w:szCs w:val="21"/>
        </w:rPr>
        <w:t xml:space="preserve">Unique identification of every ITNS item at receipt, with the identification traceable to the certificate of conformance or mill certificate</w:t>
      </w:r>
    </w:p>
    <w:p>
      <w:pPr>
        <w:pStyle w:val="ListParagraph"/>
        <w:numPr>
          <w:ilvl w:val="0"/>
          <w:numId w:val="2"/>
        </w:numPr>
        <w:spacing w:after="40" w:before="40"/>
      </w:pPr>
      <w:r>
        <w:rPr>
          <w:rFonts w:ascii="Arial" w:cs="Arial" w:eastAsia="Arial" w:hAnsi="Arial"/>
          <w:b w:val="false"/>
          <w:bCs w:val="false"/>
          <w:color w:val="5B595A"/>
          <w:sz w:val="21"/>
          <w:szCs w:val="21"/>
        </w:rPr>
        <w:t xml:space="preserve">Maintenance of the identification through all manufacturing stages without interruption</w:t>
      </w:r>
    </w:p>
    <w:p>
      <w:pPr>
        <w:pStyle w:val="ListParagraph"/>
        <w:numPr>
          <w:ilvl w:val="0"/>
          <w:numId w:val="2"/>
        </w:numPr>
        <w:spacing w:after="40" w:before="40"/>
      </w:pPr>
      <w:r>
        <w:rPr>
          <w:rFonts w:ascii="Arial" w:cs="Arial" w:eastAsia="Arial" w:hAnsi="Arial"/>
          <w:b w:val="false"/>
          <w:bCs w:val="false"/>
          <w:color w:val="5B595A"/>
          <w:sz w:val="21"/>
          <w:szCs w:val="21"/>
        </w:rPr>
        <w:t xml:space="preserve">Records of every inspection and test conducted at each stage, with the identification of the item cross-referenced</w:t>
      </w:r>
    </w:p>
    <w:p>
      <w:pPr>
        <w:pStyle w:val="ListParagraph"/>
        <w:numPr>
          <w:ilvl w:val="0"/>
          <w:numId w:val="2"/>
        </w:numPr>
        <w:spacing w:after="40" w:before="40"/>
      </w:pPr>
      <w:r>
        <w:rPr>
          <w:rFonts w:ascii="Arial" w:cs="Arial" w:eastAsia="Arial" w:hAnsi="Arial"/>
          <w:b w:val="false"/>
          <w:bCs w:val="false"/>
          <w:color w:val="5B595A"/>
          <w:sz w:val="21"/>
          <w:szCs w:val="21"/>
        </w:rPr>
        <w:t xml:space="preserve">Traceability of all special process operations (welding, NDE, heat treatment) to the specific procedure and the specific operator</w:t>
      </w:r>
    </w:p>
    <w:p>
      <w:pPr>
        <w:pStyle w:val="ListParagraph"/>
        <w:numPr>
          <w:ilvl w:val="0"/>
          <w:numId w:val="2"/>
        </w:numPr>
        <w:spacing w:after="40" w:before="40"/>
      </w:pPr>
      <w:r>
        <w:rPr>
          <w:rFonts w:ascii="Arial" w:cs="Arial" w:eastAsia="Arial" w:hAnsi="Arial"/>
          <w:b w:val="false"/>
          <w:bCs w:val="false"/>
          <w:color w:val="5B595A"/>
          <w:sz w:val="21"/>
          <w:szCs w:val="21"/>
        </w:rPr>
        <w:t xml:space="preserve">Retention of the full traceability record as part of the lifetime quality record pack</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3.2 Traceability for Mixed Lots and Batches</w:t>
      </w:r>
    </w:p>
    <w:p>
      <w:pPr>
        <w:spacing w:after="80" w:before="60"/>
      </w:pPr>
      <w:r>
        <w:rPr>
          <w:rFonts w:ascii="Arial" w:cs="Arial" w:eastAsia="Arial" w:hAnsi="Arial"/>
          <w:color w:val="5B595A"/>
          <w:sz w:val="21"/>
          <w:szCs w:val="21"/>
        </w:rPr>
        <w:t xml:space="preserve">Where ITNS materials are received in mixed batches or where multiple heats or lots are held in stock, segregation and identification must ensure that the traceability of each item to its specific certificate is maintained at all times. The following controls apply:</w:t>
      </w:r>
    </w:p>
    <w:p>
      <w:pPr>
        <w:pStyle w:val="ListParagraph"/>
        <w:numPr>
          <w:ilvl w:val="0"/>
          <w:numId w:val="2"/>
        </w:numPr>
        <w:spacing w:after="40" w:before="40"/>
      </w:pPr>
      <w:r>
        <w:rPr>
          <w:rFonts w:ascii="Arial" w:cs="Arial" w:eastAsia="Arial" w:hAnsi="Arial"/>
          <w:b w:val="false"/>
          <w:bCs w:val="false"/>
          <w:color w:val="5B595A"/>
          <w:sz w:val="21"/>
          <w:szCs w:val="21"/>
        </w:rPr>
        <w:t xml:space="preserve">ITNS materials must be stored separately from commercial grade materials</w:t>
      </w:r>
    </w:p>
    <w:p>
      <w:pPr>
        <w:pStyle w:val="ListParagraph"/>
        <w:numPr>
          <w:ilvl w:val="0"/>
          <w:numId w:val="2"/>
        </w:numPr>
        <w:spacing w:after="40" w:before="40"/>
      </w:pPr>
      <w:r>
        <w:rPr>
          <w:rFonts w:ascii="Arial" w:cs="Arial" w:eastAsia="Arial" w:hAnsi="Arial"/>
          <w:b w:val="false"/>
          <w:bCs w:val="false"/>
          <w:color w:val="5B595A"/>
          <w:sz w:val="21"/>
          <w:szCs w:val="21"/>
        </w:rPr>
        <w:t xml:space="preserve">Each ITNS item must be individually identified or, if stored in a batch, the batch must be identifiable and all items traceable to the batch certificate</w:t>
      </w:r>
    </w:p>
    <w:p>
      <w:pPr>
        <w:pStyle w:val="ListParagraph"/>
        <w:numPr>
          <w:ilvl w:val="0"/>
          <w:numId w:val="2"/>
        </w:numPr>
        <w:spacing w:after="40" w:before="40"/>
      </w:pPr>
      <w:r>
        <w:rPr>
          <w:rFonts w:ascii="Arial" w:cs="Arial" w:eastAsia="Arial" w:hAnsi="Arial"/>
          <w:b w:val="false"/>
          <w:bCs w:val="false"/>
          <w:color w:val="5B595A"/>
          <w:sz w:val="21"/>
          <w:szCs w:val="21"/>
        </w:rPr>
        <w:t xml:space="preserve">Any activity that could cause mixing of ITNS materials with commercial or unverified materials is prohibited without prior approval from the Quality Manager</w:t>
      </w:r>
    </w:p>
    <w:p>
      <w:pPr>
        <w:pStyle w:val="ListParagraph"/>
        <w:numPr>
          <w:ilvl w:val="0"/>
          <w:numId w:val="2"/>
        </w:numPr>
        <w:spacing w:after="40" w:before="40"/>
      </w:pPr>
      <w:r>
        <w:rPr>
          <w:rFonts w:ascii="Arial" w:cs="Arial" w:eastAsia="Arial" w:hAnsi="Arial"/>
          <w:b w:val="false"/>
          <w:bCs w:val="false"/>
          <w:color w:val="5B595A"/>
          <w:sz w:val="21"/>
          <w:szCs w:val="21"/>
        </w:rPr>
        <w:t xml:space="preserve">Kitting of ITNS materials for production must be controlled by a documented kitting list that maintains traceability</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3.3 The Lifetime Quality Record Pack</w:t>
      </w:r>
    </w:p>
    <w:p>
      <w:pPr>
        <w:spacing w:after="80" w:before="60"/>
      </w:pPr>
      <w:r>
        <w:rPr>
          <w:rFonts w:ascii="Arial" w:cs="Arial" w:eastAsia="Arial" w:hAnsi="Arial"/>
          <w:color w:val="5B595A"/>
          <w:sz w:val="21"/>
          <w:szCs w:val="21"/>
        </w:rPr>
        <w:t xml:space="preserve">For every nuclear ITNS contract or work package, a Lifetime Quality Record Pack shall be assembled at the conclusion of the work. This pack contains, in a structured and indexed format, all quality records generated under the scope of that contract. The pack shall be reviewed by the Quality Manager, signed off as complete, and retained in accordance with the record retention requirements above.</w:t>
      </w:r>
    </w:p>
    <w:p>
      <w:pPr>
        <w:spacing w:after="80" w:before="60"/>
      </w:pPr>
      <w:r>
        <w:rPr>
          <w:rFonts w:ascii="Arial" w:cs="Arial" w:eastAsia="Arial" w:hAnsi="Arial"/>
          <w:color w:val="5B595A"/>
          <w:sz w:val="21"/>
          <w:szCs w:val="21"/>
        </w:rPr>
        <w:t xml:space="preserve">The minimum contents of a Lifetime Quality Record Pack are:</w:t>
      </w:r>
    </w:p>
    <w:p>
      <w:pPr>
        <w:pStyle w:val="ListParagraph"/>
        <w:numPr>
          <w:ilvl w:val="0"/>
          <w:numId w:val="2"/>
        </w:numPr>
        <w:spacing w:after="40" w:before="40"/>
      </w:pPr>
      <w:r>
        <w:rPr>
          <w:rFonts w:ascii="Arial" w:cs="Arial" w:eastAsia="Arial" w:hAnsi="Arial"/>
          <w:b w:val="false"/>
          <w:bCs w:val="false"/>
          <w:color w:val="5B595A"/>
          <w:sz w:val="21"/>
          <w:szCs w:val="21"/>
        </w:rPr>
        <w:t xml:space="preserve">Signed and approved Quality Plan</w:t>
      </w:r>
    </w:p>
    <w:p>
      <w:pPr>
        <w:pStyle w:val="ListParagraph"/>
        <w:numPr>
          <w:ilvl w:val="0"/>
          <w:numId w:val="2"/>
        </w:numPr>
        <w:spacing w:after="40" w:before="40"/>
      </w:pPr>
      <w:r>
        <w:rPr>
          <w:rFonts w:ascii="Arial" w:cs="Arial" w:eastAsia="Arial" w:hAnsi="Arial"/>
          <w:b w:val="false"/>
          <w:bCs w:val="false"/>
          <w:color w:val="5B595A"/>
          <w:sz w:val="21"/>
          <w:szCs w:val="21"/>
        </w:rPr>
        <w:t xml:space="preserve">Complete signed ITP with all inspection and test results</w:t>
      </w:r>
    </w:p>
    <w:p>
      <w:pPr>
        <w:pStyle w:val="ListParagraph"/>
        <w:numPr>
          <w:ilvl w:val="0"/>
          <w:numId w:val="2"/>
        </w:numPr>
        <w:spacing w:after="40" w:before="40"/>
      </w:pPr>
      <w:r>
        <w:rPr>
          <w:rFonts w:ascii="Arial" w:cs="Arial" w:eastAsia="Arial" w:hAnsi="Arial"/>
          <w:b w:val="false"/>
          <w:bCs w:val="false"/>
          <w:color w:val="5B595A"/>
          <w:sz w:val="21"/>
          <w:szCs w:val="21"/>
        </w:rPr>
        <w:t xml:space="preserve">Material certificates for all ITNS materials used</w:t>
      </w:r>
    </w:p>
    <w:p>
      <w:pPr>
        <w:pStyle w:val="ListParagraph"/>
        <w:numPr>
          <w:ilvl w:val="0"/>
          <w:numId w:val="2"/>
        </w:numPr>
        <w:spacing w:after="40" w:before="40"/>
      </w:pPr>
      <w:r>
        <w:rPr>
          <w:rFonts w:ascii="Arial" w:cs="Arial" w:eastAsia="Arial" w:hAnsi="Arial"/>
          <w:b w:val="false"/>
          <w:bCs w:val="false"/>
          <w:color w:val="5B595A"/>
          <w:sz w:val="21"/>
          <w:szCs w:val="21"/>
        </w:rPr>
        <w:t xml:space="preserve">All NCR records and dispositions, including any concession approvals</w:t>
      </w:r>
    </w:p>
    <w:p>
      <w:pPr>
        <w:pStyle w:val="ListParagraph"/>
        <w:numPr>
          <w:ilvl w:val="0"/>
          <w:numId w:val="2"/>
        </w:numPr>
        <w:spacing w:after="40" w:before="40"/>
      </w:pPr>
      <w:r>
        <w:rPr>
          <w:rFonts w:ascii="Arial" w:cs="Arial" w:eastAsia="Arial" w:hAnsi="Arial"/>
          <w:b w:val="false"/>
          <w:bCs w:val="false"/>
          <w:color w:val="5B595A"/>
          <w:sz w:val="21"/>
          <w:szCs w:val="21"/>
        </w:rPr>
        <w:t xml:space="preserve">Weld records, NDE reports, and special process certificates as applicable</w:t>
      </w:r>
    </w:p>
    <w:p>
      <w:pPr>
        <w:pStyle w:val="ListParagraph"/>
        <w:numPr>
          <w:ilvl w:val="0"/>
          <w:numId w:val="2"/>
        </w:numPr>
        <w:spacing w:after="40" w:before="40"/>
      </w:pPr>
      <w:r>
        <w:rPr>
          <w:rFonts w:ascii="Arial" w:cs="Arial" w:eastAsia="Arial" w:hAnsi="Arial"/>
          <w:b w:val="false"/>
          <w:bCs w:val="false"/>
          <w:color w:val="5B595A"/>
          <w:sz w:val="21"/>
          <w:szCs w:val="21"/>
        </w:rPr>
        <w:t xml:space="preserve">Final release certificate</w:t>
      </w:r>
    </w:p>
    <w:p>
      <w:pPr>
        <w:pStyle w:val="ListParagraph"/>
        <w:numPr>
          <w:ilvl w:val="0"/>
          <w:numId w:val="2"/>
        </w:numPr>
        <w:spacing w:after="40" w:before="40"/>
      </w:pPr>
      <w:r>
        <w:rPr>
          <w:rFonts w:ascii="Arial" w:cs="Arial" w:eastAsia="Arial" w:hAnsi="Arial"/>
          <w:b w:val="false"/>
          <w:bCs w:val="false"/>
          <w:color w:val="5B595A"/>
          <w:sz w:val="21"/>
          <w:szCs w:val="21"/>
        </w:rPr>
        <w:t xml:space="preserve">List of SQEP personnel who performed ITNS activities</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7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 / 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1.0</w:t>
            </w:r>
          </w:p>
        </w:tc>
        <w:tc>
          <w:tcPr>
            <w:tcW w:type="dxa" w:w="7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Initial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1.1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1.2</w:t>
            </w:r>
          </w:p>
        </w:tc>
        <w:tc>
          <w:tcPr>
            <w:tcW w:type="dxa" w:w="7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bl>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FE3" w:sz="4" w:space="2"/>
      </w:pBdr>
      <w:tabs>
        <w:tab w:val="right" w:pos="9026"/>
      </w:tabs>
    </w:pPr>
    <w:r>
      <w:rPr>
        <w:rFonts w:ascii="Arial" w:cs="Arial" w:eastAsia="Arial" w:hAnsi="Arial"/>
        <w:color w:val="5B595A"/>
        <w:sz w:val="16"/>
        <w:szCs w:val="16"/>
      </w:rPr>
      <w:t xml:space="preserve">Commercial in Confidence  |  Uncontrolled when printed</w:t>
    </w:r>
    <w:r>
      <w:rPr>
        <w:rFonts w:ascii="Arial" w:cs="Arial" w:eastAsia="Arial" w:hAnsi="Arial"/>
        <w:sz w:val="16"/>
        <w:szCs w:val="16"/>
      </w:rPr>
      <w:t xml:space="preserve">	</w:t>
    </w:r>
    <w:r>
      <w:rPr>
        <w:rFonts w:ascii="Arial" w:cs="Arial" w:eastAsia="Arial" w:hAnsi="Arial"/>
        <w:color w:val="5B595A"/>
        <w:sz w:val="16"/>
        <w:szCs w:val="16"/>
      </w:rPr>
      <w:t xml:space="preserve">NSS-03f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FE3" w:sz="4" w:space="2"/>
      </w:pBdr>
      <w:tabs>
        <w:tab w:val="right" w:pos="9026"/>
      </w:tabs>
    </w:pPr>
    <w:r>
      <w:rPr>
        <w:rFonts w:ascii="Arial" w:cs="Arial" w:eastAsia="Arial" w:hAnsi="Arial"/>
        <w:color w:val="5B595A"/>
        <w:sz w:val="18"/>
        <w:szCs w:val="18"/>
      </w:rPr>
      <w:t xml:space="preserve">Nuclear Document Control and Traceability Procedure</w:t>
    </w:r>
    <w:r>
      <w:rPr>
        <w:rFonts w:ascii="Arial" w:cs="Arial" w:eastAsia="Arial" w:hAnsi="Arial"/>
        <w:sz w:val="18"/>
        <w:szCs w:val="18"/>
      </w:rPr>
      <w:t xml:space="preserve">	</w:t>
    </w:r>
    <w:r>
      <w:drawing>
        <wp:inline distT="0" distB="0" distL="0" distR="0">
          <wp:extent cx="6096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01E3C"/>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09FE3"/>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90602d65f38789c43b873e1f7eec962748cd1fc.jp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8EDB522-991C-44BA-BCDF-5AB1D78C5423}"/>
</file>

<file path=customXml/itemProps2.xml><?xml version="1.0" encoding="utf-8"?>
<ds:datastoreItem xmlns:ds="http://schemas.openxmlformats.org/officeDocument/2006/customXml" ds:itemID="{2076F68B-170F-4CA8-99F1-B3E6519E0C41}"/>
</file>

<file path=customXml/itemProps3.xml><?xml version="1.0" encoding="utf-8"?>
<ds:datastoreItem xmlns:ds="http://schemas.openxmlformats.org/officeDocument/2006/customXml" ds:itemID="{9A8FBCAD-7378-4899-8874-486B8ED03B1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NSS-03f Nuclear Document Control Traceability Procedure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