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drawing>
          <wp:inline distT="0" distB="0" distL="0" distR="0">
            <wp:extent cx="1714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514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Information Classification
Policy and Procedure</w:t>
      </w:r>
    </w:p>
    <w:p>
      <w:pPr>
        <w:spacing w:after="200" w:before="100"/>
        <w:jc w:val="center"/>
      </w:pPr>
      <w:r>
        <w:rPr>
          <w:rFonts w:ascii="Arial" w:cs="Arial" w:eastAsia="Arial" w:hAnsi="Arial"/>
          <w:b/>
          <w:bCs/>
          <w:color w:val="83348F"/>
          <w:sz w:val="28"/>
          <w:szCs w:val="28"/>
        </w:rPr>
        <w:t xml:space="preserve">Nuclear Sector Specific | NSS-07</w:t>
      </w:r>
    </w:p>
    <w:p>
      <w:pPr>
        <w:spacing w:after="600" w:before="200"/>
        <w:jc w:val="center"/>
      </w:pPr>
      <w:r>
        <w:rPr>
          <w:rFonts w:ascii="Arial" w:cs="Arial" w:eastAsia="Arial" w:hAnsi="Arial"/>
          <w:i/>
          <w:iCs/>
          <w:color w:val="5B595A"/>
          <w:sz w:val="22"/>
          <w:szCs w:val="22"/>
        </w:rPr>
        <w:t xml:space="preserve">A working procedure for classifying, handling and protecting nuclear-related information assets</w:t>
      </w:r>
    </w:p>
    <w:p>
      <w:pPr>
        <w:spacing w:after="100" w:before="400"/>
        <w:jc w:val="center"/>
      </w:pPr>
      <w:r>
        <w:rPr>
          <w:rFonts w:ascii="Arial" w:cs="Arial" w:eastAsia="Arial" w:hAnsi="Arial"/>
          <w:color w:val="5B595A"/>
          <w:sz w:val="18"/>
          <w:szCs w:val="18"/>
        </w:rPr>
        <w:t xml:space="preserve">NSS-07-01 | Version 1.0</w:t>
      </w:r>
    </w:p>
    <w:p>
      <w:pPr>
        <w:jc w:val="center"/>
      </w:pPr>
      <w:r>
        <w:rPr>
          <w:rFonts w:ascii="Arial" w:cs="Arial" w:eastAsia="Arial" w:hAnsi="Arial"/>
          <w:color w:val="5B595A"/>
          <w:sz w:val="18"/>
          <w:szCs w:val="18"/>
        </w:rPr>
        <w:t xml:space="preserve">Nuclear Collaboration Ltd | Fit For Nuclear Programme</w:t>
      </w:r>
    </w:p>
    <w:p>
      <w:r>
        <w:br w:type="page"/>
      </w:r>
    </w:p>
    <w:p>
      <w:pPr>
        <w:pStyle w:val="Heading1"/>
        <w:spacing w:after="120" w:before="300"/>
      </w:pPr>
      <w:r>
        <w:rPr>
          <w:rFonts w:ascii="Arial" w:cs="Arial" w:eastAsia="Arial" w:hAnsi="Arial"/>
          <w:b/>
          <w:bCs/>
          <w:color w:val="29ABE2"/>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c>
          <w:tcPr>
            <w:tcW w:type="dxa" w:w="1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3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1.0</w:t>
            </w:r>
          </w:p>
        </w:tc>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29/06/2026</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[Author]</w:t>
            </w:r>
          </w:p>
        </w:tc>
        <w:tc>
          <w:tcPr>
            <w:tcW w:type="dxa" w:w="3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Initial release</w:t>
            </w:r>
          </w:p>
        </w:tc>
      </w:tr>
    </w:tbl>
    <w:p>
      <w:r>
        <w:br w:type="page"/>
      </w:r>
    </w:p>
    <w:p>
      <w:pPr>
        <w:pStyle w:val="Heading1"/>
        <w:spacing w:after="120" w:before="300"/>
      </w:pPr>
      <w:r>
        <w:rPr>
          <w:rFonts w:ascii="Arial" w:cs="Arial" w:eastAsia="Arial" w:hAnsi="Arial"/>
          <w:b/>
          <w:bCs/>
          <w:color w:val="29ABE2"/>
          <w:sz w:val="28"/>
          <w:szCs w:val="28"/>
        </w:rPr>
        <w:t xml:space="preserve">1. Purpose and Scope</w:t>
      </w:r>
    </w:p>
    <w:p>
      <w:pPr>
        <w:spacing w:after="80" w:before="80"/>
      </w:pPr>
      <w:r>
        <w:rPr>
          <w:rFonts w:ascii="Arial" w:cs="Arial" w:eastAsia="Arial" w:hAnsi="Arial"/>
          <w:color w:val="5B595A"/>
          <w:sz w:val="20"/>
          <w:szCs w:val="20"/>
        </w:rPr>
        <w:t xml:space="preserve">This procedure establishes the framework for classifying and protecting information assets within [Company Name]. It applies to all information created, received, stored, processed or transmitted in connection with nuclear supply chain activities, whether in physical or electronic form.</w:t>
      </w:r>
    </w:p>
    <w:p>
      <w:pPr>
        <w:spacing w:after="80" w:before="80"/>
      </w:pPr>
      <w:r>
        <w:rPr>
          <w:rFonts w:ascii="Arial" w:cs="Arial" w:eastAsia="Arial" w:hAnsi="Arial"/>
          <w:color w:val="5B595A"/>
          <w:sz w:val="20"/>
          <w:szCs w:val="20"/>
        </w:rPr>
        <w:t xml:space="preserve">Nuclear programme information requires careful stewardship. Clients and licensees expect supply chain organisations to handle sensitive technical, commercial and safety-related data with the same rigour applied to physical components. Mishandling information can result in contract loss, regulatory consequence and reputational damage.</w:t>
      </w:r>
    </w:p>
    <w:p>
      <w:pPr>
        <w:spacing w:after="120" w:before="120"/>
      </w:pPr>
      <w:r>
        <w:rPr>
          <w:rFonts w:ascii="Arial" w:cs="Arial" w:eastAsia="Arial" w:hAnsi="Arial"/>
          <w:i/>
          <w:iCs/>
          <w:color w:val="83348F"/>
          <w:sz w:val="20"/>
          <w:szCs w:val="20"/>
        </w:rPr>
        <w:t xml:space="preserve">Every piece of information we handle on behalf of a nuclear client carries an obligation. Classification is not an administrative exercise; it is a professional standard.</w:t>
      </w:r>
    </w:p>
    <w:p>
      <w:pPr>
        <w:pStyle w:val="Heading1"/>
        <w:spacing w:after="120" w:before="300"/>
      </w:pPr>
      <w:r>
        <w:rPr>
          <w:rFonts w:ascii="Arial" w:cs="Arial" w:eastAsia="Arial" w:hAnsi="Arial"/>
          <w:b/>
          <w:bCs/>
          <w:color w:val="29ABE2"/>
          <w:sz w:val="28"/>
          <w:szCs w:val="28"/>
        </w:rPr>
        <w:t xml:space="preserve">2. Information Classification Tiers</w:t>
      </w:r>
    </w:p>
    <w:p>
      <w:pPr>
        <w:spacing w:after="80" w:before="80"/>
      </w:pPr>
      <w:r>
        <w:rPr>
          <w:rFonts w:ascii="Arial" w:cs="Arial" w:eastAsia="Arial" w:hAnsi="Arial"/>
          <w:color w:val="5B595A"/>
          <w:sz w:val="20"/>
          <w:szCs w:val="20"/>
        </w:rPr>
        <w:t xml:space="preserve">All information handled by [Company Name] in connection with nuclear programmes shall be assigned one of the following classification levels at the point of creation or receipt.</w:t>
      </w:r>
    </w:p>
    <w:p>
      <w:pPr>
        <w:pStyle w:val="Heading2"/>
        <w:spacing w:after="100" w:before="200"/>
      </w:pPr>
      <w:r>
        <w:rPr>
          <w:rFonts w:ascii="Arial" w:cs="Arial" w:eastAsia="Arial" w:hAnsi="Arial"/>
          <w:b/>
          <w:bCs/>
          <w:color w:val="7B2D8B"/>
          <w:sz w:val="24"/>
          <w:szCs w:val="24"/>
        </w:rPr>
        <w:t xml:space="preserve">2.1 Classification Level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 Level</w:t>
            </w:r>
          </w:p>
        </w:tc>
        <w:tc>
          <w:tcPr>
            <w:tcW w:type="dxa" w:w="36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36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Examples</w:t>
            </w:r>
          </w:p>
        </w:tc>
      </w:tr>
      <w:tr>
        <w:tc>
          <w:tcPr>
            <w:tcW w:type="dxa" w:w="18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PUBLIC</w:t>
            </w:r>
          </w:p>
        </w:tc>
        <w:tc>
          <w:tcPr>
            <w:tcW w:type="dxa" w:w="36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Information approved for unrestricted external release.</w:t>
            </w:r>
          </w:p>
        </w:tc>
        <w:tc>
          <w:tcPr>
            <w:tcW w:type="dxa" w:w="36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Marketing materials, published accreditations, public announcements</w:t>
            </w:r>
          </w:p>
        </w:tc>
      </w:tr>
      <w:tr>
        <w:tc>
          <w:tcPr>
            <w:tcW w:type="dxa" w:w="18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INTERNAL USE ONLY</w:t>
            </w:r>
          </w:p>
        </w:tc>
        <w:tc>
          <w:tcPr>
            <w:tcW w:type="dxa" w:w="36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Information for internal business use. Not for external distribution without authorisation.</w:t>
            </w:r>
          </w:p>
        </w:tc>
        <w:tc>
          <w:tcPr>
            <w:tcW w:type="dxa" w:w="36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Internal procedures, staff communications, general project updates</w:t>
            </w:r>
          </w:p>
        </w:tc>
      </w:tr>
      <w:tr>
        <w:tc>
          <w:tcPr>
            <w:tcW w:type="dxa" w:w="18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COMMERCIAL IN CONFIDENCE</w:t>
            </w:r>
          </w:p>
        </w:tc>
        <w:tc>
          <w:tcPr>
            <w:tcW w:type="dxa" w:w="36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Commercially sensitive information shared under contractual obligation or business need.</w:t>
            </w:r>
          </w:p>
        </w:tc>
        <w:tc>
          <w:tcPr>
            <w:tcW w:type="dxa" w:w="36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Pricing data, contract terms, client deliverables, supplier agreements</w:t>
            </w:r>
          </w:p>
        </w:tc>
      </w:tr>
      <w:tr>
        <w:tc>
          <w:tcPr>
            <w:tcW w:type="dxa" w:w="18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RESTRICTED</w:t>
            </w:r>
          </w:p>
        </w:tc>
        <w:tc>
          <w:tcPr>
            <w:tcW w:type="dxa" w:w="36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Sensitive nuclear programme information requiring formal access controls and secure handling.</w:t>
            </w:r>
          </w:p>
        </w:tc>
        <w:tc>
          <w:tcPr>
            <w:tcW w:type="dxa" w:w="36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Technical specifications, safety case data, design drawings, quality records</w:t>
            </w:r>
          </w:p>
        </w:tc>
      </w:tr>
      <w:tr>
        <w:tc>
          <w:tcPr>
            <w:tcW w:type="dxa" w:w="18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CONFIDENTIAL</w:t>
            </w:r>
          </w:p>
        </w:tc>
        <w:tc>
          <w:tcPr>
            <w:tcW w:type="dxa" w:w="36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Highly sensitive information where unauthorised disclosure could impact national security, safety or programme integrity.</w:t>
            </w:r>
          </w:p>
        </w:tc>
        <w:tc>
          <w:tcPr>
            <w:tcW w:type="dxa" w:w="36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Security plans, classified technical data, ONR submissions, site access information</w:t>
            </w:r>
          </w:p>
        </w:tc>
      </w:tr>
    </w:tbl>
    <w:p>
      <w:pPr>
        <w:spacing w:before="200"/>
      </w:pPr>
    </w:p>
    <w:p>
      <w:pPr>
        <w:pStyle w:val="Heading2"/>
        <w:spacing w:after="100" w:before="200"/>
      </w:pPr>
      <w:r>
        <w:rPr>
          <w:rFonts w:ascii="Arial" w:cs="Arial" w:eastAsia="Arial" w:hAnsi="Arial"/>
          <w:b/>
          <w:bCs/>
          <w:color w:val="7B2D8B"/>
          <w:sz w:val="24"/>
          <w:szCs w:val="24"/>
        </w:rPr>
        <w:t xml:space="preserve">2.2 Default Classification</w:t>
      </w:r>
    </w:p>
    <w:p>
      <w:pPr>
        <w:spacing w:after="80" w:before="80"/>
      </w:pPr>
      <w:r>
        <w:rPr>
          <w:rFonts w:ascii="Arial" w:cs="Arial" w:eastAsia="Arial" w:hAnsi="Arial"/>
          <w:color w:val="5B595A"/>
          <w:sz w:val="20"/>
          <w:szCs w:val="20"/>
        </w:rPr>
        <w:t xml:space="preserve">Where information cannot be immediately classified, it shall be treated as RESTRICTED until formal classification is assigned. Nuclear programme documents received without a classification marking shall be treated as COMMERCIAL IN CONFIDENCE as a minimum.</w:t>
      </w:r>
    </w:p>
    <w:p>
      <w:pPr>
        <w:pStyle w:val="Heading1"/>
        <w:spacing w:after="120" w:before="300"/>
      </w:pPr>
      <w:r>
        <w:rPr>
          <w:rFonts w:ascii="Arial" w:cs="Arial" w:eastAsia="Arial" w:hAnsi="Arial"/>
          <w:b/>
          <w:bCs/>
          <w:color w:val="29ABE2"/>
          <w:sz w:val="28"/>
          <w:szCs w:val="28"/>
        </w:rPr>
        <w:t xml:space="preserve">3. Information Marking Requirements</w:t>
      </w:r>
    </w:p>
    <w:p>
      <w:pPr>
        <w:pStyle w:val="Heading2"/>
        <w:spacing w:after="100" w:before="200"/>
      </w:pPr>
      <w:r>
        <w:rPr>
          <w:rFonts w:ascii="Arial" w:cs="Arial" w:eastAsia="Arial" w:hAnsi="Arial"/>
          <w:b/>
          <w:bCs/>
          <w:color w:val="7B2D8B"/>
          <w:sz w:val="24"/>
          <w:szCs w:val="24"/>
        </w:rPr>
        <w:t xml:space="preserve">3.1 Physical Documents</w:t>
      </w:r>
    </w:p>
    <w:p>
      <w:pPr>
        <w:pStyle w:val="ListParagraph"/>
        <w:numPr>
          <w:ilvl w:val="0"/>
          <w:numId w:val="2"/>
        </w:numPr>
        <w:spacing w:after="60" w:before="60"/>
      </w:pPr>
      <w:r>
        <w:rPr>
          <w:rFonts w:ascii="Arial" w:cs="Arial" w:eastAsia="Arial" w:hAnsi="Arial"/>
          <w:color w:val="5B595A"/>
          <w:sz w:val="20"/>
          <w:szCs w:val="20"/>
        </w:rPr>
        <w:t xml:space="preserve">All physical documents shall carry the classification level in the header and footer of each page.</w:t>
      </w:r>
    </w:p>
    <w:p>
      <w:pPr>
        <w:pStyle w:val="ListParagraph"/>
        <w:numPr>
          <w:ilvl w:val="0"/>
          <w:numId w:val="2"/>
        </w:numPr>
        <w:spacing w:after="60" w:before="60"/>
      </w:pPr>
      <w:r>
        <w:rPr>
          <w:rFonts w:ascii="Arial" w:cs="Arial" w:eastAsia="Arial" w:hAnsi="Arial"/>
          <w:color w:val="5B595A"/>
          <w:sz w:val="20"/>
          <w:szCs w:val="20"/>
        </w:rPr>
        <w:t xml:space="preserve">The originator is responsible for applying the correct marking at point of creation.</w:t>
      </w:r>
    </w:p>
    <w:p>
      <w:pPr>
        <w:pStyle w:val="ListParagraph"/>
        <w:numPr>
          <w:ilvl w:val="0"/>
          <w:numId w:val="2"/>
        </w:numPr>
        <w:spacing w:after="60" w:before="60"/>
      </w:pPr>
      <w:r>
        <w:rPr>
          <w:rFonts w:ascii="Arial" w:cs="Arial" w:eastAsia="Arial" w:hAnsi="Arial"/>
          <w:color w:val="5B595A"/>
          <w:sz w:val="20"/>
          <w:szCs w:val="20"/>
        </w:rPr>
        <w:t xml:space="preserve">When printing classified electronic documents, the classification marking must be preserved and visible.</w:t>
      </w:r>
    </w:p>
    <w:p>
      <w:pPr>
        <w:pStyle w:val="ListParagraph"/>
        <w:numPr>
          <w:ilvl w:val="0"/>
          <w:numId w:val="2"/>
        </w:numPr>
        <w:spacing w:after="60" w:before="60"/>
      </w:pPr>
      <w:r>
        <w:rPr>
          <w:rFonts w:ascii="Arial" w:cs="Arial" w:eastAsia="Arial" w:hAnsi="Arial"/>
          <w:color w:val="5B595A"/>
          <w:sz w:val="20"/>
          <w:szCs w:val="20"/>
        </w:rPr>
        <w:t xml:space="preserve">Documents classified RESTRICTED and above must be marked with the originator's name and date.</w:t>
      </w:r>
    </w:p>
    <w:p>
      <w:pPr>
        <w:pStyle w:val="Heading2"/>
        <w:spacing w:after="100" w:before="200"/>
      </w:pPr>
      <w:r>
        <w:rPr>
          <w:rFonts w:ascii="Arial" w:cs="Arial" w:eastAsia="Arial" w:hAnsi="Arial"/>
          <w:b/>
          <w:bCs/>
          <w:color w:val="7B2D8B"/>
          <w:sz w:val="24"/>
          <w:szCs w:val="24"/>
        </w:rPr>
        <w:t xml:space="preserve">3.2 Electronic Files and Emails</w:t>
      </w:r>
    </w:p>
    <w:p>
      <w:pPr>
        <w:pStyle w:val="ListParagraph"/>
        <w:numPr>
          <w:ilvl w:val="0"/>
          <w:numId w:val="2"/>
        </w:numPr>
        <w:spacing w:after="60" w:before="60"/>
      </w:pPr>
      <w:r>
        <w:rPr>
          <w:rFonts w:ascii="Arial" w:cs="Arial" w:eastAsia="Arial" w:hAnsi="Arial"/>
          <w:color w:val="5B595A"/>
          <w:sz w:val="20"/>
          <w:szCs w:val="20"/>
        </w:rPr>
        <w:t xml:space="preserve">Electronic files shall include the classification level in the document header, filename prefix or metadata where the system supports it.</w:t>
      </w:r>
    </w:p>
    <w:p>
      <w:pPr>
        <w:pStyle w:val="ListParagraph"/>
        <w:numPr>
          <w:ilvl w:val="0"/>
          <w:numId w:val="2"/>
        </w:numPr>
        <w:spacing w:after="60" w:before="60"/>
      </w:pPr>
      <w:r>
        <w:rPr>
          <w:rFonts w:ascii="Arial" w:cs="Arial" w:eastAsia="Arial" w:hAnsi="Arial"/>
          <w:color w:val="5B595A"/>
          <w:sz w:val="20"/>
          <w:szCs w:val="20"/>
        </w:rPr>
        <w:t xml:space="preserve">Email subject lines for RESTRICTED and above content shall include the classification in square brackets, for example: [RESTRICTED] HPC Weld Inspection Report Q3.</w:t>
      </w:r>
    </w:p>
    <w:p>
      <w:pPr>
        <w:pStyle w:val="ListParagraph"/>
        <w:numPr>
          <w:ilvl w:val="0"/>
          <w:numId w:val="2"/>
        </w:numPr>
        <w:spacing w:after="60" w:before="60"/>
      </w:pPr>
      <w:r>
        <w:rPr>
          <w:rFonts w:ascii="Arial" w:cs="Arial" w:eastAsia="Arial" w:hAnsi="Arial"/>
          <w:color w:val="5B595A"/>
          <w:sz w:val="20"/>
          <w:szCs w:val="20"/>
        </w:rPr>
        <w:t xml:space="preserve">Attachments sent by email shall be classified independently of the covering email.</w:t>
      </w:r>
    </w:p>
    <w:p>
      <w:pPr>
        <w:pStyle w:val="ListParagraph"/>
        <w:numPr>
          <w:ilvl w:val="0"/>
          <w:numId w:val="2"/>
        </w:numPr>
        <w:spacing w:after="60" w:before="60"/>
      </w:pPr>
      <w:r>
        <w:rPr>
          <w:rFonts w:ascii="Arial" w:cs="Arial" w:eastAsia="Arial" w:hAnsi="Arial"/>
          <w:color w:val="5B595A"/>
          <w:sz w:val="20"/>
          <w:szCs w:val="20"/>
        </w:rPr>
        <w:t xml:space="preserve">Automated classification tools shall be configured where the IT environment supports them.</w:t>
      </w:r>
    </w:p>
    <w:p>
      <w:pPr>
        <w:pStyle w:val="Heading2"/>
        <w:spacing w:after="100" w:before="200"/>
      </w:pPr>
      <w:r>
        <w:rPr>
          <w:rFonts w:ascii="Arial" w:cs="Arial" w:eastAsia="Arial" w:hAnsi="Arial"/>
          <w:b/>
          <w:bCs/>
          <w:color w:val="7B2D8B"/>
          <w:sz w:val="24"/>
          <w:szCs w:val="24"/>
        </w:rPr>
        <w:t xml:space="preserve">3.3 Downgrading and Declassification</w:t>
      </w:r>
    </w:p>
    <w:p>
      <w:pPr>
        <w:spacing w:after="80" w:before="80"/>
      </w:pPr>
      <w:r>
        <w:rPr>
          <w:rFonts w:ascii="Arial" w:cs="Arial" w:eastAsia="Arial" w:hAnsi="Arial"/>
          <w:color w:val="5B595A"/>
          <w:sz w:val="20"/>
          <w:szCs w:val="20"/>
        </w:rPr>
        <w:t xml:space="preserve">The classification of a document may only be changed by the original author or a designated Information Owner. Any change must be documented with the reason, date and authorising person recorded on the document itself.</w:t>
      </w:r>
    </w:p>
    <w:p>
      <w:pPr>
        <w:pStyle w:val="Heading1"/>
        <w:spacing w:after="120" w:before="300"/>
      </w:pPr>
      <w:r>
        <w:rPr>
          <w:rFonts w:ascii="Arial" w:cs="Arial" w:eastAsia="Arial" w:hAnsi="Arial"/>
          <w:b/>
          <w:bCs/>
          <w:color w:val="29ABE2"/>
          <w:sz w:val="28"/>
          <w:szCs w:val="28"/>
        </w:rPr>
        <w:t xml:space="preserve">4. Handling Requirements by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426"/>
      </w:tblGrid>
      <w:tr>
        <w:tc>
          <w:tcPr>
            <w:tcW w:type="dxa" w:w="19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Storage</w:t>
            </w:r>
          </w:p>
        </w:tc>
        <w:tc>
          <w:tcPr>
            <w:tcW w:type="dxa" w:w="19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Transmission</w:t>
            </w:r>
          </w:p>
        </w:tc>
        <w:tc>
          <w:tcPr>
            <w:tcW w:type="dxa" w:w="19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Disposal</w:t>
            </w:r>
          </w:p>
        </w:tc>
        <w:tc>
          <w:tcPr>
            <w:tcW w:type="dxa" w:w="14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r>
      <w:tr>
        <w:tc>
          <w:tcPr>
            <w:tcW w:type="dxa" w:w="19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INTERNAL USE ONLY</w:t>
            </w:r>
          </w:p>
        </w:tc>
        <w:tc>
          <w:tcPr>
            <w:tcW w:type="dxa" w:w="19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Standard systems, password protected</w:t>
            </w:r>
          </w:p>
        </w:tc>
        <w:tc>
          <w:tcPr>
            <w:tcW w:type="dxa" w:w="19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Internal email acceptable</w:t>
            </w:r>
          </w:p>
        </w:tc>
        <w:tc>
          <w:tcPr>
            <w:tcW w:type="dxa" w:w="19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Standard confidential waste</w:t>
            </w:r>
          </w:p>
        </w:tc>
        <w:tc>
          <w:tcPr>
            <w:tcW w:type="dxa" w:w="14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All staff</w:t>
            </w:r>
          </w:p>
        </w:tc>
      </w:tr>
      <w:tr>
        <w:tc>
          <w:tcPr>
            <w:tcW w:type="dxa" w:w="19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COMMERCIAL IN CONFIDENCE</w:t>
            </w:r>
          </w:p>
        </w:tc>
        <w:tc>
          <w:tcPr>
            <w:tcW w:type="dxa" w:w="19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Password protected, access controlled folders</w:t>
            </w:r>
          </w:p>
        </w:tc>
        <w:tc>
          <w:tcPr>
            <w:tcW w:type="dxa" w:w="19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Encrypted email or secure transfer</w:t>
            </w:r>
          </w:p>
        </w:tc>
        <w:tc>
          <w:tcPr>
            <w:tcW w:type="dxa" w:w="19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Shredding or confidential waste</w:t>
            </w:r>
          </w:p>
        </w:tc>
        <w:tc>
          <w:tcPr>
            <w:tcW w:type="dxa" w:w="14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Named individuals on need-to-know basis</w:t>
            </w:r>
          </w:p>
        </w:tc>
      </w:tr>
      <w:tr>
        <w:tc>
          <w:tcPr>
            <w:tcW w:type="dxa" w:w="19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RESTRICTED</w:t>
            </w:r>
          </w:p>
        </w:tc>
        <w:tc>
          <w:tcPr>
            <w:tcW w:type="dxa" w:w="19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Encrypted storage, access controlled, audit-logged</w:t>
            </w:r>
          </w:p>
        </w:tc>
        <w:tc>
          <w:tcPr>
            <w:tcW w:type="dxa" w:w="19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Encrypted transfer only, no personal email accounts</w:t>
            </w:r>
          </w:p>
        </w:tc>
        <w:tc>
          <w:tcPr>
            <w:tcW w:type="dxa" w:w="19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Secure cross-cut shredding or destruction certificate</w:t>
            </w:r>
          </w:p>
        </w:tc>
        <w:tc>
          <w:tcPr>
            <w:tcW w:type="dxa" w:w="14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Named individuals with documented authorisation</w:t>
            </w:r>
          </w:p>
        </w:tc>
      </w:tr>
      <w:tr>
        <w:tc>
          <w:tcPr>
            <w:tcW w:type="dxa" w:w="19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CONFIDENTIAL</w:t>
            </w:r>
          </w:p>
        </w:tc>
        <w:tc>
          <w:tcPr>
            <w:tcW w:type="dxa" w:w="19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Accredited IT systems only, physical secure cabinets for hard copy</w:t>
            </w:r>
          </w:p>
        </w:tc>
        <w:tc>
          <w:tcPr>
            <w:tcW w:type="dxa" w:w="19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Accredited secure channels only</w:t>
            </w:r>
          </w:p>
        </w:tc>
        <w:tc>
          <w:tcPr>
            <w:tcW w:type="dxa" w:w="19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Witnessed destruction with documented certification</w:t>
            </w:r>
          </w:p>
        </w:tc>
        <w:tc>
          <w:tcPr>
            <w:tcW w:type="dxa" w:w="14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Security-cleared personnel only</w:t>
            </w:r>
          </w:p>
        </w:tc>
      </w:tr>
    </w:tbl>
    <w:p>
      <w:pPr>
        <w:spacing w:before="200"/>
      </w:pPr>
    </w:p>
    <w:p>
      <w:pPr>
        <w:pStyle w:val="Heading1"/>
        <w:spacing w:after="120" w:before="300"/>
      </w:pPr>
      <w:r>
        <w:rPr>
          <w:rFonts w:ascii="Arial" w:cs="Arial" w:eastAsia="Arial" w:hAnsi="Arial"/>
          <w:b/>
          <w:bCs/>
          <w:color w:val="29ABE2"/>
          <w:sz w:val="28"/>
          <w:szCs w:val="28"/>
        </w:rPr>
        <w:t xml:space="preserve">5. Access Control and Need to Know</w:t>
      </w:r>
    </w:p>
    <w:p>
      <w:pPr>
        <w:spacing w:after="80" w:before="80"/>
      </w:pPr>
      <w:r>
        <w:rPr>
          <w:rFonts w:ascii="Arial" w:cs="Arial" w:eastAsia="Arial" w:hAnsi="Arial"/>
          <w:color w:val="5B595A"/>
          <w:sz w:val="20"/>
          <w:szCs w:val="20"/>
        </w:rPr>
        <w:t xml:space="preserve">Access to classified information shall be granted on the principle of need to know. A person's role or seniority does not automatically confer the right of access to classified information.</w:t>
      </w:r>
    </w:p>
    <w:p>
      <w:pPr>
        <w:pStyle w:val="Heading2"/>
        <w:spacing w:after="100" w:before="200"/>
      </w:pPr>
      <w:r>
        <w:rPr>
          <w:rFonts w:ascii="Arial" w:cs="Arial" w:eastAsia="Arial" w:hAnsi="Arial"/>
          <w:b/>
          <w:bCs/>
          <w:color w:val="7B2D8B"/>
          <w:sz w:val="24"/>
          <w:szCs w:val="24"/>
        </w:rPr>
        <w:t xml:space="preserve">5.1 Granting Access</w:t>
      </w:r>
    </w:p>
    <w:p>
      <w:pPr>
        <w:pStyle w:val="ListParagraph"/>
        <w:numPr>
          <w:ilvl w:val="0"/>
          <w:numId w:val="3"/>
        </w:numPr>
        <w:spacing w:after="60" w:before="60"/>
      </w:pPr>
      <w:r>
        <w:rPr>
          <w:rFonts w:ascii="Arial" w:cs="Arial" w:eastAsia="Arial" w:hAnsi="Arial"/>
          <w:color w:val="5B595A"/>
          <w:sz w:val="20"/>
          <w:szCs w:val="20"/>
        </w:rPr>
        <w:t xml:space="preserve">The Information Owner or nominated deputy identifies who requires access to fulfil their responsibilities.</w:t>
      </w:r>
    </w:p>
    <w:p>
      <w:pPr>
        <w:pStyle w:val="ListParagraph"/>
        <w:numPr>
          <w:ilvl w:val="0"/>
          <w:numId w:val="3"/>
        </w:numPr>
        <w:spacing w:after="60" w:before="60"/>
      </w:pPr>
      <w:r>
        <w:rPr>
          <w:rFonts w:ascii="Arial" w:cs="Arial" w:eastAsia="Arial" w:hAnsi="Arial"/>
          <w:color w:val="5B595A"/>
          <w:sz w:val="20"/>
          <w:szCs w:val="20"/>
        </w:rPr>
        <w:t xml:space="preserve">Access is formally granted and recorded in the Information Asset Register (NSS-07-05).</w:t>
      </w:r>
    </w:p>
    <w:p>
      <w:pPr>
        <w:pStyle w:val="ListParagraph"/>
        <w:numPr>
          <w:ilvl w:val="0"/>
          <w:numId w:val="3"/>
        </w:numPr>
        <w:spacing w:after="60" w:before="60"/>
      </w:pPr>
      <w:r>
        <w:rPr>
          <w:rFonts w:ascii="Arial" w:cs="Arial" w:eastAsia="Arial" w:hAnsi="Arial"/>
          <w:color w:val="5B595A"/>
          <w:sz w:val="20"/>
          <w:szCs w:val="20"/>
        </w:rPr>
        <w:t xml:space="preserve">Access rights are reviewed when personnel change roles or leave the organisation.</w:t>
      </w:r>
    </w:p>
    <w:p>
      <w:pPr>
        <w:pStyle w:val="ListParagraph"/>
        <w:numPr>
          <w:ilvl w:val="0"/>
          <w:numId w:val="3"/>
        </w:numPr>
        <w:spacing w:after="60" w:before="60"/>
      </w:pPr>
      <w:r>
        <w:rPr>
          <w:rFonts w:ascii="Arial" w:cs="Arial" w:eastAsia="Arial" w:hAnsi="Arial"/>
          <w:color w:val="5B595A"/>
          <w:sz w:val="20"/>
          <w:szCs w:val="20"/>
        </w:rPr>
        <w:t xml:space="preserve">Third-party access to RESTRICTED and above information is subject to a signed Non-Disclosure Agreement before access is provided.</w:t>
      </w:r>
    </w:p>
    <w:p>
      <w:pPr>
        <w:pStyle w:val="Heading2"/>
        <w:spacing w:after="100" w:before="200"/>
      </w:pPr>
      <w:r>
        <w:rPr>
          <w:rFonts w:ascii="Arial" w:cs="Arial" w:eastAsia="Arial" w:hAnsi="Arial"/>
          <w:b/>
          <w:bCs/>
          <w:color w:val="7B2D8B"/>
          <w:sz w:val="24"/>
          <w:szCs w:val="24"/>
        </w:rPr>
        <w:t xml:space="preserve">5.2 Revoking Access</w:t>
      </w:r>
    </w:p>
    <w:p>
      <w:pPr>
        <w:spacing w:after="80" w:before="80"/>
      </w:pPr>
      <w:r>
        <w:rPr>
          <w:rFonts w:ascii="Arial" w:cs="Arial" w:eastAsia="Arial" w:hAnsi="Arial"/>
          <w:color w:val="5B595A"/>
          <w:sz w:val="20"/>
          <w:szCs w:val="20"/>
        </w:rPr>
        <w:t xml:space="preserve">Access shall be revoked immediately upon: departure of the individual from the organisation, change of role removing the business need, contract termination with the relevant client, or identification of a security breach. Revocation is recorded in the Information Asset Register with the date and reason.</w:t>
      </w:r>
    </w:p>
    <w:p>
      <w:pPr>
        <w:pStyle w:val="Heading1"/>
        <w:spacing w:after="120" w:before="300"/>
      </w:pPr>
      <w:r>
        <w:rPr>
          <w:rFonts w:ascii="Arial" w:cs="Arial" w:eastAsia="Arial" w:hAnsi="Arial"/>
          <w:b/>
          <w:bCs/>
          <w:color w:val="29ABE2"/>
          <w:sz w:val="28"/>
          <w:szCs w:val="28"/>
        </w:rPr>
        <w:t xml:space="preserve">6. IT Security Requirements for Classified Information</w:t>
      </w:r>
    </w:p>
    <w:p>
      <w:pPr>
        <w:spacing w:after="80" w:before="80"/>
      </w:pPr>
      <w:r>
        <w:rPr>
          <w:rFonts w:ascii="Arial" w:cs="Arial" w:eastAsia="Arial" w:hAnsi="Arial"/>
          <w:color w:val="5B595A"/>
          <w:sz w:val="20"/>
          <w:szCs w:val="20"/>
        </w:rPr>
        <w:t xml:space="preserve">Where classified information is processed on IT systems, the following controls apply in addition to the general handling requirements above.</w:t>
      </w:r>
    </w:p>
    <w:p>
      <w:pPr>
        <w:pStyle w:val="ListParagraph"/>
        <w:numPr>
          <w:ilvl w:val="0"/>
          <w:numId w:val="2"/>
        </w:numPr>
        <w:spacing w:after="60" w:before="60"/>
      </w:pPr>
      <w:r>
        <w:rPr>
          <w:rFonts w:ascii="Arial" w:cs="Arial" w:eastAsia="Arial" w:hAnsi="Arial"/>
          <w:color w:val="5B595A"/>
          <w:sz w:val="20"/>
          <w:szCs w:val="20"/>
        </w:rPr>
        <w:t xml:space="preserve">RESTRICTED and above information shall not be stored on personal devices unless those devices are encrypted and enrolled in the company mobile device management system.</w:t>
      </w:r>
    </w:p>
    <w:p>
      <w:pPr>
        <w:pStyle w:val="ListParagraph"/>
        <w:numPr>
          <w:ilvl w:val="0"/>
          <w:numId w:val="2"/>
        </w:numPr>
        <w:spacing w:after="60" w:before="60"/>
      </w:pPr>
      <w:r>
        <w:rPr>
          <w:rFonts w:ascii="Arial" w:cs="Arial" w:eastAsia="Arial" w:hAnsi="Arial"/>
          <w:color w:val="5B595A"/>
          <w:sz w:val="20"/>
          <w:szCs w:val="20"/>
        </w:rPr>
        <w:t xml:space="preserve">Cloud storage services shall only be used for RESTRICTED and above information where the service holds appropriate security certification and data is encrypted at rest and in transit.</w:t>
      </w:r>
    </w:p>
    <w:p>
      <w:pPr>
        <w:pStyle w:val="ListParagraph"/>
        <w:numPr>
          <w:ilvl w:val="0"/>
          <w:numId w:val="2"/>
        </w:numPr>
        <w:spacing w:after="60" w:before="60"/>
      </w:pPr>
      <w:r>
        <w:rPr>
          <w:rFonts w:ascii="Arial" w:cs="Arial" w:eastAsia="Arial" w:hAnsi="Arial"/>
          <w:color w:val="5B595A"/>
          <w:sz w:val="20"/>
          <w:szCs w:val="20"/>
        </w:rPr>
        <w:t xml:space="preserve">USB and removable media use for RESTRICTED and above information requires specific authorisation and all transfers are logged.</w:t>
      </w:r>
    </w:p>
    <w:p>
      <w:pPr>
        <w:pStyle w:val="ListParagraph"/>
        <w:numPr>
          <w:ilvl w:val="0"/>
          <w:numId w:val="2"/>
        </w:numPr>
        <w:spacing w:after="60" w:before="60"/>
      </w:pPr>
      <w:r>
        <w:rPr>
          <w:rFonts w:ascii="Arial" w:cs="Arial" w:eastAsia="Arial" w:hAnsi="Arial"/>
          <w:color w:val="5B595A"/>
          <w:sz w:val="20"/>
          <w:szCs w:val="20"/>
        </w:rPr>
        <w:t xml:space="preserve">Screens displaying RESTRICTED and above information shall be locked when the user is away from the workstation.</w:t>
      </w:r>
    </w:p>
    <w:p>
      <w:pPr>
        <w:spacing w:after="120" w:before="120"/>
      </w:pPr>
      <w:r>
        <w:rPr>
          <w:rFonts w:ascii="Arial" w:cs="Arial" w:eastAsia="Arial" w:hAnsi="Arial"/>
          <w:i/>
          <w:iCs/>
          <w:color w:val="83348F"/>
          <w:sz w:val="20"/>
          <w:szCs w:val="20"/>
        </w:rPr>
        <w:t xml:space="preserve">If in doubt about whether an IT system is appropriate for classified information, seek guidance from the Information Security Manager before proceeding.</w:t>
      </w:r>
    </w:p>
    <w:p>
      <w:pPr>
        <w:pStyle w:val="Heading1"/>
        <w:spacing w:after="120" w:before="300"/>
      </w:pPr>
      <w:r>
        <w:rPr>
          <w:rFonts w:ascii="Arial" w:cs="Arial" w:eastAsia="Arial" w:hAnsi="Arial"/>
          <w:b/>
          <w:bCs/>
          <w:color w:val="29ABE2"/>
          <w:sz w:val="28"/>
          <w:szCs w:val="28"/>
        </w:rPr>
        <w:t xml:space="preserve">7. Sharing with Third Parties</w:t>
      </w:r>
    </w:p>
    <w:p>
      <w:pPr>
        <w:spacing w:after="80" w:before="80"/>
      </w:pPr>
      <w:r>
        <w:rPr>
          <w:rFonts w:ascii="Arial" w:cs="Arial" w:eastAsia="Arial" w:hAnsi="Arial"/>
          <w:color w:val="5B595A"/>
          <w:sz w:val="20"/>
          <w:szCs w:val="20"/>
        </w:rPr>
        <w:t xml:space="preserve">Before sharing classified information with any third party, including subcontractors, consultants or partner organisations, the following steps must be completed.</w:t>
      </w:r>
    </w:p>
    <w:p>
      <w:pPr>
        <w:pStyle w:val="ListParagraph"/>
        <w:numPr>
          <w:ilvl w:val="0"/>
          <w:numId w:val="3"/>
        </w:numPr>
        <w:spacing w:after="60" w:before="60"/>
      </w:pPr>
      <w:r>
        <w:rPr>
          <w:rFonts w:ascii="Arial" w:cs="Arial" w:eastAsia="Arial" w:hAnsi="Arial"/>
          <w:color w:val="5B595A"/>
          <w:sz w:val="20"/>
          <w:szCs w:val="20"/>
        </w:rPr>
        <w:t xml:space="preserve">Confirm that the recipient organisation has appropriate information security arrangements in place.</w:t>
      </w:r>
    </w:p>
    <w:p>
      <w:pPr>
        <w:pStyle w:val="ListParagraph"/>
        <w:numPr>
          <w:ilvl w:val="0"/>
          <w:numId w:val="3"/>
        </w:numPr>
        <w:spacing w:after="60" w:before="60"/>
      </w:pPr>
      <w:r>
        <w:rPr>
          <w:rFonts w:ascii="Arial" w:cs="Arial" w:eastAsia="Arial" w:hAnsi="Arial"/>
          <w:color w:val="5B595A"/>
          <w:sz w:val="20"/>
          <w:szCs w:val="20"/>
        </w:rPr>
        <w:t xml:space="preserve">Ensure a valid Non-Disclosure Agreement or equivalent contractual protection is in place.</w:t>
      </w:r>
    </w:p>
    <w:p>
      <w:pPr>
        <w:pStyle w:val="ListParagraph"/>
        <w:numPr>
          <w:ilvl w:val="0"/>
          <w:numId w:val="3"/>
        </w:numPr>
        <w:spacing w:after="60" w:before="60"/>
      </w:pPr>
      <w:r>
        <w:rPr>
          <w:rFonts w:ascii="Arial" w:cs="Arial" w:eastAsia="Arial" w:hAnsi="Arial"/>
          <w:color w:val="5B595A"/>
          <w:sz w:val="20"/>
          <w:szCs w:val="20"/>
        </w:rPr>
        <w:t xml:space="preserve">Obtain authorisation from the Information Owner or contract manager.</w:t>
      </w:r>
    </w:p>
    <w:p>
      <w:pPr>
        <w:pStyle w:val="ListParagraph"/>
        <w:numPr>
          <w:ilvl w:val="0"/>
          <w:numId w:val="3"/>
        </w:numPr>
        <w:spacing w:after="60" w:before="60"/>
      </w:pPr>
      <w:r>
        <w:rPr>
          <w:rFonts w:ascii="Arial" w:cs="Arial" w:eastAsia="Arial" w:hAnsi="Arial"/>
          <w:color w:val="5B595A"/>
          <w:sz w:val="20"/>
          <w:szCs w:val="20"/>
        </w:rPr>
        <w:t xml:space="preserve">Log the disclosure in the Information Asset Register, including the date, recipient, classification and scope of the information shared.</w:t>
      </w:r>
    </w:p>
    <w:p>
      <w:pPr>
        <w:pStyle w:val="ListParagraph"/>
        <w:numPr>
          <w:ilvl w:val="0"/>
          <w:numId w:val="3"/>
        </w:numPr>
        <w:spacing w:after="60" w:before="60"/>
      </w:pPr>
      <w:r>
        <w:rPr>
          <w:rFonts w:ascii="Arial" w:cs="Arial" w:eastAsia="Arial" w:hAnsi="Arial"/>
          <w:color w:val="5B595A"/>
          <w:sz w:val="20"/>
          <w:szCs w:val="20"/>
        </w:rPr>
        <w:t xml:space="preserve">Include contractual flow-down requirements specifying the recipient's obligations regarding handling and onward disclosure.</w:t>
      </w:r>
    </w:p>
    <w:p>
      <w:pPr>
        <w:spacing w:after="80" w:before="80"/>
      </w:pPr>
      <w:r>
        <w:rPr>
          <w:rFonts w:ascii="Arial" w:cs="Arial" w:eastAsia="Arial" w:hAnsi="Arial"/>
          <w:color w:val="5B595A"/>
          <w:sz w:val="20"/>
          <w:szCs w:val="20"/>
        </w:rPr>
        <w:t xml:space="preserve">Client-specific requirements take precedence over this procedure. Where a client specifies additional or more restrictive controls, those controls shall be followed.</w:t>
      </w:r>
    </w:p>
    <w:p>
      <w:pPr>
        <w:pStyle w:val="Heading1"/>
        <w:spacing w:after="120" w:before="300"/>
      </w:pPr>
      <w:r>
        <w:rPr>
          <w:rFonts w:ascii="Arial" w:cs="Arial" w:eastAsia="Arial" w:hAnsi="Arial"/>
          <w:b/>
          <w:bCs/>
          <w:color w:val="29ABE2"/>
          <w:sz w:val="28"/>
          <w:szCs w:val="28"/>
        </w:rPr>
        <w:t xml:space="preserve">8. Reporting Security Breaches</w:t>
      </w:r>
    </w:p>
    <w:p>
      <w:pPr>
        <w:spacing w:after="80" w:before="80"/>
      </w:pPr>
      <w:r>
        <w:rPr>
          <w:rFonts w:ascii="Arial" w:cs="Arial" w:eastAsia="Arial" w:hAnsi="Arial"/>
          <w:color w:val="5B595A"/>
          <w:sz w:val="20"/>
          <w:szCs w:val="20"/>
        </w:rPr>
        <w:t xml:space="preserve">Any actual or suspected security breach involving classified information must be reported immediately. This includes loss of a classified document, unauthorised access, misdirected emails containing classified content, or suspected compromise of IT systems.</w:t>
      </w:r>
    </w:p>
    <w:p>
      <w:pPr>
        <w:pStyle w:val="Heading2"/>
        <w:spacing w:after="100" w:before="200"/>
      </w:pPr>
      <w:r>
        <w:rPr>
          <w:rFonts w:ascii="Arial" w:cs="Arial" w:eastAsia="Arial" w:hAnsi="Arial"/>
          <w:b/>
          <w:bCs/>
          <w:color w:val="7B2D8B"/>
          <w:sz w:val="24"/>
          <w:szCs w:val="24"/>
        </w:rPr>
        <w:t xml:space="preserve">8.1 Reporting Steps</w:t>
      </w:r>
    </w:p>
    <w:p>
      <w:pPr>
        <w:pStyle w:val="ListParagraph"/>
        <w:numPr>
          <w:ilvl w:val="0"/>
          <w:numId w:val="3"/>
        </w:numPr>
        <w:spacing w:after="60" w:before="60"/>
      </w:pPr>
      <w:r>
        <w:rPr>
          <w:rFonts w:ascii="Arial" w:cs="Arial" w:eastAsia="Arial" w:hAnsi="Arial"/>
          <w:color w:val="5B595A"/>
          <w:sz w:val="20"/>
          <w:szCs w:val="20"/>
        </w:rPr>
        <w:t xml:space="preserve">Report the incident to the Information Security Manager and Line Manager without delay.</w:t>
      </w:r>
    </w:p>
    <w:p>
      <w:pPr>
        <w:pStyle w:val="ListParagraph"/>
        <w:numPr>
          <w:ilvl w:val="0"/>
          <w:numId w:val="3"/>
        </w:numPr>
        <w:spacing w:after="60" w:before="60"/>
      </w:pPr>
      <w:r>
        <w:rPr>
          <w:rFonts w:ascii="Arial" w:cs="Arial" w:eastAsia="Arial" w:hAnsi="Arial"/>
          <w:color w:val="5B595A"/>
          <w:sz w:val="20"/>
          <w:szCs w:val="20"/>
        </w:rPr>
        <w:t xml:space="preserve">Do not attempt to recover a lost item or investigate a breach independently.</w:t>
      </w:r>
    </w:p>
    <w:p>
      <w:pPr>
        <w:pStyle w:val="ListParagraph"/>
        <w:numPr>
          <w:ilvl w:val="0"/>
          <w:numId w:val="3"/>
        </w:numPr>
        <w:spacing w:after="60" w:before="60"/>
      </w:pPr>
      <w:r>
        <w:rPr>
          <w:rFonts w:ascii="Arial" w:cs="Arial" w:eastAsia="Arial" w:hAnsi="Arial"/>
          <w:color w:val="5B595A"/>
          <w:sz w:val="20"/>
          <w:szCs w:val="20"/>
        </w:rPr>
        <w:t xml:space="preserve">Record the incident in the Security Incident Log (NSS-07-07).</w:t>
      </w:r>
    </w:p>
    <w:p>
      <w:pPr>
        <w:pStyle w:val="ListParagraph"/>
        <w:numPr>
          <w:ilvl w:val="0"/>
          <w:numId w:val="3"/>
        </w:numPr>
        <w:spacing w:after="60" w:before="60"/>
      </w:pPr>
      <w:r>
        <w:rPr>
          <w:rFonts w:ascii="Arial" w:cs="Arial" w:eastAsia="Arial" w:hAnsi="Arial"/>
          <w:color w:val="5B595A"/>
          <w:sz w:val="20"/>
          <w:szCs w:val="20"/>
        </w:rPr>
        <w:t xml:space="preserve">Preserve any evidence relevant to the breach.</w:t>
      </w:r>
    </w:p>
    <w:p>
      <w:pPr>
        <w:pStyle w:val="ListParagraph"/>
        <w:numPr>
          <w:ilvl w:val="0"/>
          <w:numId w:val="3"/>
        </w:numPr>
        <w:spacing w:after="60" w:before="60"/>
      </w:pPr>
      <w:r>
        <w:rPr>
          <w:rFonts w:ascii="Arial" w:cs="Arial" w:eastAsia="Arial" w:hAnsi="Arial"/>
          <w:color w:val="5B595A"/>
          <w:sz w:val="20"/>
          <w:szCs w:val="20"/>
        </w:rPr>
        <w:t xml:space="preserve">Follow any client notification requirements specified in the contract.</w:t>
      </w:r>
    </w:p>
    <w:p>
      <w:pPr>
        <w:spacing w:after="80" w:before="80"/>
      </w:pPr>
      <w:r>
        <w:rPr>
          <w:rFonts w:ascii="Arial" w:cs="Arial" w:eastAsia="Arial" w:hAnsi="Arial"/>
          <w:color w:val="5B595A"/>
          <w:sz w:val="20"/>
          <w:szCs w:val="20"/>
        </w:rPr>
        <w:t xml:space="preserve">Breaches will be investigated in accordance with the company's disciplinary and incident investigation procedures. Deliberate or reckless mishandling of classified information is a serious disciplinary matter.</w:t>
      </w:r>
    </w:p>
    <w:p>
      <w:pPr>
        <w:pStyle w:val="Heading1"/>
        <w:spacing w:after="120" w:before="300"/>
      </w:pPr>
      <w:r>
        <w:rPr>
          <w:rFonts w:ascii="Arial" w:cs="Arial" w:eastAsia="Arial" w:hAnsi="Arial"/>
          <w:b/>
          <w:bCs/>
          <w:color w:val="29ABE2"/>
          <w:sz w:val="28"/>
          <w:szCs w:val="28"/>
        </w:rPr>
        <w:t xml:space="preserve">9.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6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Responsibilities</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Information Security Manager</w:t>
            </w:r>
          </w:p>
        </w:tc>
        <w:tc>
          <w:tcPr>
            <w:tcW w:type="dxa" w:w="6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Maintaining this procedure, managing the Information Asset Register, investigating breaches, advising on classification decisions, liaising with clients on security requirements.</w:t>
            </w:r>
          </w:p>
        </w:tc>
      </w:tr>
      <w:tr>
        <w:tc>
          <w:tcPr>
            <w:tcW w:type="dxa" w:w="2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Information Owners</w:t>
            </w:r>
          </w:p>
        </w:tc>
        <w:tc>
          <w:tcPr>
            <w:tcW w:type="dxa" w:w="65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Assigning classification to information they create, maintaining access records for their information assets, approving downgrading or reclassification requests.</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Line Managers</w:t>
            </w:r>
          </w:p>
        </w:tc>
        <w:tc>
          <w:tcPr>
            <w:tcW w:type="dxa" w:w="6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Ensuring their teams are trained on this procedure, monitoring compliance within their areas, escalating suspected breaches.</w:t>
            </w:r>
          </w:p>
        </w:tc>
      </w:tr>
      <w:tr>
        <w:tc>
          <w:tcPr>
            <w:tcW w:type="dxa" w:w="2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All Staff</w:t>
            </w:r>
          </w:p>
        </w:tc>
        <w:tc>
          <w:tcPr>
            <w:tcW w:type="dxa" w:w="65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Classifying information they create, handling classified information in accordance with this procedure, reporting suspected breaches, completing required security training.</w:t>
            </w:r>
          </w:p>
        </w:tc>
      </w:tr>
    </w:tbl>
    <w:p>
      <w:pPr>
        <w:spacing w:before="200"/>
      </w:pPr>
    </w:p>
    <w:p>
      <w:pPr>
        <w:pStyle w:val="Heading1"/>
        <w:spacing w:after="120" w:before="300"/>
      </w:pPr>
      <w:r>
        <w:rPr>
          <w:rFonts w:ascii="Arial" w:cs="Arial" w:eastAsia="Arial" w:hAnsi="Arial"/>
          <w:b/>
          <w:bCs/>
          <w:color w:val="29ABE2"/>
          <w:sz w:val="28"/>
          <w:szCs w:val="28"/>
        </w:rPr>
        <w:t xml:space="preserve">10. Training and Awareness</w:t>
      </w:r>
    </w:p>
    <w:p>
      <w:pPr>
        <w:spacing w:after="80" w:before="80"/>
      </w:pPr>
      <w:r>
        <w:rPr>
          <w:rFonts w:ascii="Arial" w:cs="Arial" w:eastAsia="Arial" w:hAnsi="Arial"/>
          <w:color w:val="5B595A"/>
          <w:sz w:val="20"/>
          <w:szCs w:val="20"/>
        </w:rPr>
        <w:t xml:space="preserve">All personnel who handle nuclear programme information shall complete information security awareness training within their first month of employment and annually thereafter. Records of training completion are held by the HR function and referenced in the SQEP matrix.</w:t>
      </w:r>
    </w:p>
    <w:p>
      <w:pPr>
        <w:spacing w:after="80" w:before="80"/>
      </w:pPr>
      <w:r>
        <w:rPr>
          <w:rFonts w:ascii="Arial" w:cs="Arial" w:eastAsia="Arial" w:hAnsi="Arial"/>
          <w:color w:val="5B595A"/>
          <w:sz w:val="20"/>
          <w:szCs w:val="20"/>
        </w:rPr>
        <w:t xml:space="preserve">Specific guidance on client requirements, such as those applicable to Hinkley Point C, Sizewell C or other licensed sites, shall be communicated to relevant personnel as part of contract-specific induction.</w:t>
      </w:r>
    </w:p>
    <w:p>
      <w:pPr>
        <w:pStyle w:val="Heading1"/>
        <w:spacing w:after="120" w:before="300"/>
      </w:pPr>
      <w:r>
        <w:rPr>
          <w:rFonts w:ascii="Arial" w:cs="Arial" w:eastAsia="Arial" w:hAnsi="Arial"/>
          <w:b/>
          <w:bCs/>
          <w:color w:val="29ABE2"/>
          <w:sz w:val="28"/>
          <w:szCs w:val="28"/>
        </w:rPr>
        <w:t xml:space="preserve">11. Review and Maintenance</w:t>
      </w:r>
    </w:p>
    <w:p>
      <w:pPr>
        <w:spacing w:after="80" w:before="80"/>
      </w:pPr>
      <w:r>
        <w:rPr>
          <w:rFonts w:ascii="Arial" w:cs="Arial" w:eastAsia="Arial" w:hAnsi="Arial"/>
          <w:color w:val="5B595A"/>
          <w:sz w:val="20"/>
          <w:szCs w:val="20"/>
        </w:rPr>
        <w:t xml:space="preserve">This procedure is reviewed annually or following a significant security incident, change in client requirements, or change in relevant legislation or regulation. The Information Security Manager is responsible for initiating and completing the review.</w:t>
      </w:r>
    </w:p>
    <w:p>
      <w:pPr>
        <w:spacing w:after="80" w:before="80"/>
      </w:pPr>
      <w:r>
        <w:rPr>
          <w:rFonts w:ascii="Arial" w:cs="Arial" w:eastAsia="Arial" w:hAnsi="Arial"/>
          <w:color w:val="5B595A"/>
          <w:sz w:val="20"/>
          <w:szCs w:val="20"/>
        </w:rPr>
        <w:t xml:space="preserve">The current version is held in the document management system and is the only controlled version. Printed copies are uncontrolled and should be verified against the current version before use.</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9FE3"/>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e40d43c0ba4ffb45ea9359ad3458fa65afc3548f.jpg"/></Relationships>
</file>

<file path=word/_rels/header1.xml.rels><?xml version='1.0' encoding='UTF-8' standalone='yes'?>
<Relationships xmlns="http://schemas.openxmlformats.org/package/2006/relationships"><Relationship Id="rId0" Type="http://schemas.openxmlformats.org/officeDocument/2006/relationships/image" Target="media/7400ee0919b941006232ee1142da60edd96fe65b.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BD3ABE-12EA-4DAA-882E-3AC68D274470}"/>
</file>

<file path=customXml/itemProps2.xml><?xml version="1.0" encoding="utf-8"?>
<ds:datastoreItem xmlns:ds="http://schemas.openxmlformats.org/officeDocument/2006/customXml" ds:itemID="{9E1E4FE8-5000-4C0F-A456-B67FD1CF74B5}"/>
</file>

<file path=customXml/itemProps3.xml><?xml version="1.0" encoding="utf-8"?>
<ds:datastoreItem xmlns:ds="http://schemas.openxmlformats.org/officeDocument/2006/customXml" ds:itemID="{64B5F571-B3C2-4455-A16B-0F324A554E2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NSS-07-01 Information Classification Policy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