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drawing>
          <wp:inline distT="0" distB="0" distL="0" distR="0">
            <wp:extent cx="17145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514350"/>
                    </a:xfrm>
                    <a:prstGeom prst="rect">
                      <a:avLst/>
                    </a:prstGeom>
                  </pic:spPr>
                </pic:pic>
              </a:graphicData>
            </a:graphic>
          </wp:inline>
        </w:drawing>
      </w:r>
    </w:p>
    <w:p>
      <w:pPr>
        <w:spacing w:after="200" w:before="600"/>
        <w:jc w:val="center"/>
      </w:pPr>
      <w:r>
        <w:rPr>
          <w:rFonts w:ascii="Arial" w:cs="Arial" w:eastAsia="Arial" w:hAnsi="Arial"/>
          <w:b/>
          <w:bCs/>
          <w:color w:val="009FE3"/>
          <w:sz w:val="48"/>
          <w:szCs w:val="48"/>
        </w:rPr>
        <w:t xml:space="preserve">Cybersecurity Controls
Framework</w:t>
      </w:r>
    </w:p>
    <w:p>
      <w:pPr>
        <w:spacing w:after="200" w:before="100"/>
        <w:jc w:val="center"/>
      </w:pPr>
      <w:r>
        <w:rPr>
          <w:rFonts w:ascii="Arial" w:cs="Arial" w:eastAsia="Arial" w:hAnsi="Arial"/>
          <w:b/>
          <w:bCs/>
          <w:color w:val="83348F"/>
          <w:sz w:val="28"/>
          <w:szCs w:val="28"/>
        </w:rPr>
        <w:t xml:space="preserve">Nuclear Sector Specific | NSS-07</w:t>
      </w:r>
    </w:p>
    <w:p>
      <w:pPr>
        <w:spacing w:after="600" w:before="200"/>
        <w:jc w:val="center"/>
      </w:pPr>
      <w:r>
        <w:rPr>
          <w:rFonts w:ascii="Arial" w:cs="Arial" w:eastAsia="Arial" w:hAnsi="Arial"/>
          <w:i/>
          <w:iCs/>
          <w:color w:val="5B595A"/>
          <w:sz w:val="22"/>
          <w:szCs w:val="22"/>
        </w:rPr>
        <w:t xml:space="preserve">A practical controls framework for protecting digital assets in the nuclear supply chain</w:t>
      </w:r>
    </w:p>
    <w:p>
      <w:pPr>
        <w:spacing w:after="100" w:before="400"/>
        <w:jc w:val="center"/>
      </w:pPr>
      <w:r>
        <w:rPr>
          <w:rFonts w:ascii="Arial" w:cs="Arial" w:eastAsia="Arial" w:hAnsi="Arial"/>
          <w:color w:val="5B595A"/>
          <w:sz w:val="18"/>
          <w:szCs w:val="18"/>
        </w:rPr>
        <w:t xml:space="preserve">NSS-07-02 | Version 1.0</w:t>
      </w:r>
    </w:p>
    <w:p>
      <w:pPr>
        <w:jc w:val="center"/>
      </w:pPr>
      <w:r>
        <w:rPr>
          <w:rFonts w:ascii="Arial" w:cs="Arial" w:eastAsia="Arial" w:hAnsi="Arial"/>
          <w:color w:val="5B595A"/>
          <w:sz w:val="18"/>
          <w:szCs w:val="18"/>
        </w:rPr>
        <w:t xml:space="preserve">Nuclear Collaboration Ltd | Fit For Nuclear Programme</w:t>
      </w:r>
    </w:p>
    <w:p>
      <w:r>
        <w:br w:type="page"/>
      </w:r>
    </w:p>
    <w:p>
      <w:pPr>
        <w:pStyle w:val="Heading1"/>
        <w:spacing w:after="120" w:before="300"/>
      </w:pPr>
      <w:r>
        <w:rPr>
          <w:rFonts w:ascii="Arial" w:cs="Arial" w:eastAsia="Arial" w:hAnsi="Arial"/>
          <w:b/>
          <w:bCs/>
          <w:color w:val="29ABE2"/>
          <w:sz w:val="28"/>
          <w:szCs w:val="28"/>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3526"/>
      </w:tblGrid>
      <w:tr>
        <w:tc>
          <w:tcPr>
            <w:tcW w:type="dxa" w:w="1500"/>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Version</w:t>
            </w:r>
          </w:p>
        </w:tc>
        <w:tc>
          <w:tcPr>
            <w:tcW w:type="dxa" w:w="1800"/>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2200"/>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Author</w:t>
            </w:r>
          </w:p>
        </w:tc>
        <w:tc>
          <w:tcPr>
            <w:tcW w:type="dxa" w:w="3526"/>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500"/>
            <w:shd w:fill="FFFFFF" w:val="clear"/>
            <w:tcMar>
              <w:top w:type="dxa" w:w="80"/>
              <w:left w:type="dxa" w:w="120"/>
              <w:bottom w:type="dxa" w:w="80"/>
              <w:right w:type="dxa" w:w="120"/>
            </w:tcMar>
          </w:tcPr>
          <w:p>
            <w:pPr>
              <w:spacing w:after="60" w:before="60"/>
            </w:pPr>
            <w:r>
              <w:rPr>
                <w:rFonts w:ascii="Arial" w:cs="Arial" w:eastAsia="Arial" w:hAnsi="Arial"/>
                <w:b/>
                <w:bCs/>
                <w:color w:val="001E3C"/>
                <w:sz w:val="18"/>
                <w:szCs w:val="18"/>
              </w:rPr>
              <w:t xml:space="preserve">1.0</w:t>
            </w:r>
          </w:p>
        </w:tc>
        <w:tc>
          <w:tcPr>
            <w:tcW w:type="dxa" w:w="1800"/>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29/06/2026</w:t>
            </w:r>
          </w:p>
        </w:tc>
        <w:tc>
          <w:tcPr>
            <w:tcW w:type="dxa" w:w="2200"/>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[Author]</w:t>
            </w:r>
          </w:p>
        </w:tc>
        <w:tc>
          <w:tcPr>
            <w:tcW w:type="dxa" w:w="3526"/>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Initial release</w:t>
            </w:r>
          </w:p>
        </w:tc>
      </w:tr>
    </w:tbl>
    <w:p>
      <w:r>
        <w:br w:type="page"/>
      </w:r>
    </w:p>
    <w:p>
      <w:pPr>
        <w:pStyle w:val="Heading1"/>
        <w:spacing w:after="120" w:before="300"/>
      </w:pPr>
      <w:r>
        <w:rPr>
          <w:rFonts w:ascii="Arial" w:cs="Arial" w:eastAsia="Arial" w:hAnsi="Arial"/>
          <w:b/>
          <w:bCs/>
          <w:color w:val="29ABE2"/>
          <w:sz w:val="28"/>
          <w:szCs w:val="28"/>
        </w:rPr>
        <w:t xml:space="preserve">1. Introduction</w:t>
      </w:r>
    </w:p>
    <w:p>
      <w:pPr>
        <w:spacing w:after="80" w:before="80"/>
      </w:pPr>
      <w:r>
        <w:rPr>
          <w:rFonts w:ascii="Arial" w:cs="Arial" w:eastAsia="Arial" w:hAnsi="Arial"/>
          <w:color w:val="5B595A"/>
          <w:sz w:val="20"/>
          <w:szCs w:val="20"/>
        </w:rPr>
        <w:t xml:space="preserve">This framework defines the cybersecurity controls that [Company Name] shall implement and maintain to protect its digital assets when operating in the nuclear supply chain. It is aligned with the principles of ISO/IEC 27001:2022 and reflects the specific threat environment and client expectations encountered in UK nuclear programmes.</w:t>
      </w:r>
    </w:p>
    <w:p>
      <w:pPr>
        <w:spacing w:after="80" w:before="80"/>
      </w:pPr>
      <w:r>
        <w:rPr>
          <w:rFonts w:ascii="Arial" w:cs="Arial" w:eastAsia="Arial" w:hAnsi="Arial"/>
          <w:color w:val="5B595A"/>
          <w:sz w:val="20"/>
          <w:szCs w:val="20"/>
        </w:rPr>
        <w:t xml:space="preserve">Nuclear supply chain organisations are a target for adversaries seeking to access sensitive programme data, disrupt operations or gain intelligence about safety-critical systems. Cybersecurity is not solely an IT function; it is a business responsibility carried by every person who handles digital information or uses company systems.</w:t>
      </w:r>
    </w:p>
    <w:p>
      <w:pPr>
        <w:spacing w:after="120" w:before="120"/>
      </w:pPr>
      <w:r>
        <w:rPr>
          <w:rFonts w:ascii="Arial" w:cs="Arial" w:eastAsia="Arial" w:hAnsi="Arial"/>
          <w:i/>
          <w:iCs/>
          <w:color w:val="83348F"/>
          <w:sz w:val="20"/>
          <w:szCs w:val="20"/>
        </w:rPr>
        <w:t xml:space="preserve">A cyber incident affecting nuclear programme data does not just damage our business. It can affect programme delivery, client trust and, in extreme cases, contribute to safety risks. We treat cybersecurity accordingly.</w:t>
      </w:r>
    </w:p>
    <w:p>
      <w:pPr>
        <w:pStyle w:val="Heading1"/>
        <w:spacing w:after="120" w:before="300"/>
      </w:pPr>
      <w:r>
        <w:rPr>
          <w:rFonts w:ascii="Arial" w:cs="Arial" w:eastAsia="Arial" w:hAnsi="Arial"/>
          <w:b/>
          <w:bCs/>
          <w:color w:val="29ABE2"/>
          <w:sz w:val="28"/>
          <w:szCs w:val="28"/>
        </w:rPr>
        <w:t xml:space="preserve">2. Scope</w:t>
      </w:r>
    </w:p>
    <w:p>
      <w:pPr>
        <w:spacing w:after="80" w:before="80"/>
      </w:pPr>
      <w:r>
        <w:rPr>
          <w:rFonts w:ascii="Arial" w:cs="Arial" w:eastAsia="Arial" w:hAnsi="Arial"/>
          <w:color w:val="5B595A"/>
          <w:sz w:val="20"/>
          <w:szCs w:val="20"/>
        </w:rPr>
        <w:t xml:space="preserve">This framework applies to all information systems, devices, networks and software used by [Company Name] employees, contractors and partners that handle or connect to nuclear programme data. It covers:</w:t>
      </w:r>
    </w:p>
    <w:p>
      <w:pPr>
        <w:pStyle w:val="ListParagraph"/>
        <w:numPr>
          <w:ilvl w:val="0"/>
          <w:numId w:val="2"/>
        </w:numPr>
        <w:spacing w:after="60" w:before="60"/>
      </w:pPr>
      <w:r>
        <w:rPr>
          <w:rFonts w:ascii="Arial" w:cs="Arial" w:eastAsia="Arial" w:hAnsi="Arial"/>
          <w:color w:val="5B595A"/>
          <w:sz w:val="20"/>
          <w:szCs w:val="20"/>
        </w:rPr>
        <w:t xml:space="preserve">All endpoints including workstations, laptops and mobile devices used for work purposes.</w:t>
      </w:r>
    </w:p>
    <w:p>
      <w:pPr>
        <w:pStyle w:val="ListParagraph"/>
        <w:numPr>
          <w:ilvl w:val="0"/>
          <w:numId w:val="2"/>
        </w:numPr>
        <w:spacing w:after="60" w:before="60"/>
      </w:pPr>
      <w:r>
        <w:rPr>
          <w:rFonts w:ascii="Arial" w:cs="Arial" w:eastAsia="Arial" w:hAnsi="Arial"/>
          <w:color w:val="5B595A"/>
          <w:sz w:val="20"/>
          <w:szCs w:val="20"/>
        </w:rPr>
        <w:t xml:space="preserve">Company networks, including on-site, remote access and any cloud-hosted infrastructure.</w:t>
      </w:r>
    </w:p>
    <w:p>
      <w:pPr>
        <w:pStyle w:val="ListParagraph"/>
        <w:numPr>
          <w:ilvl w:val="0"/>
          <w:numId w:val="2"/>
        </w:numPr>
        <w:spacing w:after="60" w:before="60"/>
      </w:pPr>
      <w:r>
        <w:rPr>
          <w:rFonts w:ascii="Arial" w:cs="Arial" w:eastAsia="Arial" w:hAnsi="Arial"/>
          <w:color w:val="5B595A"/>
          <w:sz w:val="20"/>
          <w:szCs w:val="20"/>
        </w:rPr>
        <w:t xml:space="preserve">Third-party systems used to process, store or transmit nuclear programme information.</w:t>
      </w:r>
    </w:p>
    <w:p>
      <w:pPr>
        <w:pStyle w:val="ListParagraph"/>
        <w:numPr>
          <w:ilvl w:val="0"/>
          <w:numId w:val="2"/>
        </w:numPr>
        <w:spacing w:after="60" w:before="60"/>
      </w:pPr>
      <w:r>
        <w:rPr>
          <w:rFonts w:ascii="Arial" w:cs="Arial" w:eastAsia="Arial" w:hAnsi="Arial"/>
          <w:color w:val="5B595A"/>
          <w:sz w:val="20"/>
          <w:szCs w:val="20"/>
        </w:rPr>
        <w:t xml:space="preserve">Software applications used in engineering, quality and project management functions.</w:t>
      </w:r>
    </w:p>
    <w:p>
      <w:pPr>
        <w:pStyle w:val="Heading1"/>
        <w:spacing w:after="120" w:before="300"/>
      </w:pPr>
      <w:r>
        <w:rPr>
          <w:rFonts w:ascii="Arial" w:cs="Arial" w:eastAsia="Arial" w:hAnsi="Arial"/>
          <w:b/>
          <w:bCs/>
          <w:color w:val="29ABE2"/>
          <w:sz w:val="28"/>
          <w:szCs w:val="28"/>
        </w:rPr>
        <w:t xml:space="preserve">3. Control Areas</w:t>
      </w:r>
    </w:p>
    <w:p>
      <w:pPr>
        <w:pStyle w:val="Heading2"/>
        <w:spacing w:after="100" w:before="200"/>
      </w:pPr>
      <w:r>
        <w:rPr>
          <w:rFonts w:ascii="Arial" w:cs="Arial" w:eastAsia="Arial" w:hAnsi="Arial"/>
          <w:b/>
          <w:bCs/>
          <w:color w:val="7B2D8B"/>
          <w:sz w:val="24"/>
          <w:szCs w:val="24"/>
        </w:rPr>
        <w:t xml:space="preserve">3.1 Identity and Access Management</w:t>
      </w:r>
    </w:p>
    <w:p>
      <w:pPr>
        <w:spacing w:after="80" w:before="80"/>
      </w:pPr>
      <w:r>
        <w:rPr>
          <w:rFonts w:ascii="Arial" w:cs="Arial" w:eastAsia="Arial" w:hAnsi="Arial"/>
          <w:color w:val="5B595A"/>
          <w:sz w:val="20"/>
          <w:szCs w:val="20"/>
        </w:rPr>
        <w:t xml:space="preserve">Controlling who can access systems and data is the first line of cybersecurity defence.</w:t>
      </w:r>
    </w:p>
    <w:p>
      <w:pPr>
        <w:pStyle w:val="ListParagraph"/>
        <w:numPr>
          <w:ilvl w:val="0"/>
          <w:numId w:val="2"/>
        </w:numPr>
        <w:spacing w:after="60" w:before="60"/>
      </w:pPr>
      <w:r>
        <w:rPr>
          <w:rFonts w:ascii="Arial" w:cs="Arial" w:eastAsia="Arial" w:hAnsi="Arial"/>
          <w:color w:val="5B595A"/>
          <w:sz w:val="20"/>
          <w:szCs w:val="20"/>
        </w:rPr>
        <w:t xml:space="preserve">All user accounts shall be individually assigned; shared accounts are not permitted for nuclear programme systems.</w:t>
      </w:r>
    </w:p>
    <w:p>
      <w:pPr>
        <w:pStyle w:val="ListParagraph"/>
        <w:numPr>
          <w:ilvl w:val="0"/>
          <w:numId w:val="2"/>
        </w:numPr>
        <w:spacing w:after="60" w:before="60"/>
      </w:pPr>
      <w:r>
        <w:rPr>
          <w:rFonts w:ascii="Arial" w:cs="Arial" w:eastAsia="Arial" w:hAnsi="Arial"/>
          <w:color w:val="5B595A"/>
          <w:sz w:val="20"/>
          <w:szCs w:val="20"/>
        </w:rPr>
        <w:t xml:space="preserve">Passwords shall meet the company minimum standard: a minimum of 12 characters, including upper and lower case letters, numbers and special characters.</w:t>
      </w:r>
    </w:p>
    <w:p>
      <w:pPr>
        <w:pStyle w:val="ListParagraph"/>
        <w:numPr>
          <w:ilvl w:val="0"/>
          <w:numId w:val="2"/>
        </w:numPr>
        <w:spacing w:after="60" w:before="60"/>
      </w:pPr>
      <w:r>
        <w:rPr>
          <w:rFonts w:ascii="Arial" w:cs="Arial" w:eastAsia="Arial" w:hAnsi="Arial"/>
          <w:color w:val="5B595A"/>
          <w:sz w:val="20"/>
          <w:szCs w:val="20"/>
        </w:rPr>
        <w:t xml:space="preserve">Multi-factor authentication (MFA) is mandatory for all remote access, cloud services and systems holding RESTRICTED or above information.</w:t>
      </w:r>
    </w:p>
    <w:p>
      <w:pPr>
        <w:pStyle w:val="ListParagraph"/>
        <w:numPr>
          <w:ilvl w:val="0"/>
          <w:numId w:val="2"/>
        </w:numPr>
        <w:spacing w:after="60" w:before="60"/>
      </w:pPr>
      <w:r>
        <w:rPr>
          <w:rFonts w:ascii="Arial" w:cs="Arial" w:eastAsia="Arial" w:hAnsi="Arial"/>
          <w:color w:val="5B595A"/>
          <w:sz w:val="20"/>
          <w:szCs w:val="20"/>
        </w:rPr>
        <w:t xml:space="preserve">Privileged administrator accounts shall be separate from standard user accounts and used only for administrative tasks.</w:t>
      </w:r>
    </w:p>
    <w:p>
      <w:pPr>
        <w:pStyle w:val="ListParagraph"/>
        <w:numPr>
          <w:ilvl w:val="0"/>
          <w:numId w:val="2"/>
        </w:numPr>
        <w:spacing w:after="60" w:before="60"/>
      </w:pPr>
      <w:r>
        <w:rPr>
          <w:rFonts w:ascii="Arial" w:cs="Arial" w:eastAsia="Arial" w:hAnsi="Arial"/>
          <w:color w:val="5B595A"/>
          <w:sz w:val="20"/>
          <w:szCs w:val="20"/>
        </w:rPr>
        <w:t xml:space="preserve">Access rights shall be reviewed by line managers on a quarterly basis and whenever an individual changes role.</w:t>
      </w:r>
    </w:p>
    <w:p>
      <w:pPr>
        <w:pStyle w:val="ListParagraph"/>
        <w:numPr>
          <w:ilvl w:val="0"/>
          <w:numId w:val="2"/>
        </w:numPr>
        <w:spacing w:after="60" w:before="60"/>
      </w:pPr>
      <w:r>
        <w:rPr>
          <w:rFonts w:ascii="Arial" w:cs="Arial" w:eastAsia="Arial" w:hAnsi="Arial"/>
          <w:color w:val="5B595A"/>
          <w:sz w:val="20"/>
          <w:szCs w:val="20"/>
        </w:rPr>
        <w:t xml:space="preserve">Leavers' accounts shall be disabled on or before their last working day. Access removal is confirmed in writing by IT and HR.</w:t>
      </w:r>
    </w:p>
    <w:p>
      <w:pPr>
        <w:pStyle w:val="Heading2"/>
        <w:spacing w:after="100" w:before="200"/>
      </w:pPr>
      <w:r>
        <w:rPr>
          <w:rFonts w:ascii="Arial" w:cs="Arial" w:eastAsia="Arial" w:hAnsi="Arial"/>
          <w:b/>
          <w:bCs/>
          <w:color w:val="7B2D8B"/>
          <w:sz w:val="24"/>
          <w:szCs w:val="24"/>
        </w:rPr>
        <w:t xml:space="preserve">3.2 Network Security</w:t>
      </w:r>
    </w:p>
    <w:p>
      <w:pPr>
        <w:pStyle w:val="ListParagraph"/>
        <w:numPr>
          <w:ilvl w:val="0"/>
          <w:numId w:val="2"/>
        </w:numPr>
        <w:spacing w:after="60" w:before="60"/>
      </w:pPr>
      <w:r>
        <w:rPr>
          <w:rFonts w:ascii="Arial" w:cs="Arial" w:eastAsia="Arial" w:hAnsi="Arial"/>
          <w:color w:val="5B595A"/>
          <w:sz w:val="20"/>
          <w:szCs w:val="20"/>
        </w:rPr>
        <w:t xml:space="preserve">The company network shall be segmented to separate engineering and production systems from general office IT.</w:t>
      </w:r>
    </w:p>
    <w:p>
      <w:pPr>
        <w:pStyle w:val="ListParagraph"/>
        <w:numPr>
          <w:ilvl w:val="0"/>
          <w:numId w:val="2"/>
        </w:numPr>
        <w:spacing w:after="60" w:before="60"/>
      </w:pPr>
      <w:r>
        <w:rPr>
          <w:rFonts w:ascii="Arial" w:cs="Arial" w:eastAsia="Arial" w:hAnsi="Arial"/>
          <w:color w:val="5B595A"/>
          <w:sz w:val="20"/>
          <w:szCs w:val="20"/>
        </w:rPr>
        <w:t xml:space="preserve">A business-grade firewall shall be maintained, configured and reviewed by a competent IT resource at least annually.</w:t>
      </w:r>
    </w:p>
    <w:p>
      <w:pPr>
        <w:pStyle w:val="ListParagraph"/>
        <w:numPr>
          <w:ilvl w:val="0"/>
          <w:numId w:val="2"/>
        </w:numPr>
        <w:spacing w:after="60" w:before="60"/>
      </w:pPr>
      <w:r>
        <w:rPr>
          <w:rFonts w:ascii="Arial" w:cs="Arial" w:eastAsia="Arial" w:hAnsi="Arial"/>
          <w:color w:val="5B595A"/>
          <w:sz w:val="20"/>
          <w:szCs w:val="20"/>
        </w:rPr>
        <w:t xml:space="preserve">All remote access shall use an encrypted VPN connection. Split tunnelling shall be disabled for sessions involving nuclear programme data.</w:t>
      </w:r>
    </w:p>
    <w:p>
      <w:pPr>
        <w:pStyle w:val="ListParagraph"/>
        <w:numPr>
          <w:ilvl w:val="0"/>
          <w:numId w:val="2"/>
        </w:numPr>
        <w:spacing w:after="60" w:before="60"/>
      </w:pPr>
      <w:r>
        <w:rPr>
          <w:rFonts w:ascii="Arial" w:cs="Arial" w:eastAsia="Arial" w:hAnsi="Arial"/>
          <w:color w:val="5B595A"/>
          <w:sz w:val="20"/>
          <w:szCs w:val="20"/>
        </w:rPr>
        <w:t xml:space="preserve">Wireless networks used for nuclear programme work shall use WPA3 encryption and shall not be shared with visitors or personal devices.</w:t>
      </w:r>
    </w:p>
    <w:p>
      <w:pPr>
        <w:pStyle w:val="ListParagraph"/>
        <w:numPr>
          <w:ilvl w:val="0"/>
          <w:numId w:val="2"/>
        </w:numPr>
        <w:spacing w:after="60" w:before="60"/>
      </w:pPr>
      <w:r>
        <w:rPr>
          <w:rFonts w:ascii="Arial" w:cs="Arial" w:eastAsia="Arial" w:hAnsi="Arial"/>
          <w:color w:val="5B595A"/>
          <w:sz w:val="20"/>
          <w:szCs w:val="20"/>
        </w:rPr>
        <w:t xml:space="preserve">Network access logs shall be retained for a minimum of 12 months and reviewed in the event of a suspected incident.</w:t>
      </w:r>
    </w:p>
    <w:p>
      <w:pPr>
        <w:pStyle w:val="Heading2"/>
        <w:spacing w:after="100" w:before="200"/>
      </w:pPr>
      <w:r>
        <w:rPr>
          <w:rFonts w:ascii="Arial" w:cs="Arial" w:eastAsia="Arial" w:hAnsi="Arial"/>
          <w:b/>
          <w:bCs/>
          <w:color w:val="7B2D8B"/>
          <w:sz w:val="24"/>
          <w:szCs w:val="24"/>
        </w:rPr>
        <w:t xml:space="preserve">3.3 Endpoint Protection</w:t>
      </w:r>
    </w:p>
    <w:p>
      <w:pPr>
        <w:pStyle w:val="ListParagraph"/>
        <w:numPr>
          <w:ilvl w:val="0"/>
          <w:numId w:val="2"/>
        </w:numPr>
        <w:spacing w:after="60" w:before="60"/>
      </w:pPr>
      <w:r>
        <w:rPr>
          <w:rFonts w:ascii="Arial" w:cs="Arial" w:eastAsia="Arial" w:hAnsi="Arial"/>
          <w:color w:val="5B595A"/>
          <w:sz w:val="20"/>
          <w:szCs w:val="20"/>
        </w:rPr>
        <w:t xml:space="preserve">All company devices shall have endpoint protection software installed, configured and kept up to date.</w:t>
      </w:r>
    </w:p>
    <w:p>
      <w:pPr>
        <w:pStyle w:val="ListParagraph"/>
        <w:numPr>
          <w:ilvl w:val="0"/>
          <w:numId w:val="2"/>
        </w:numPr>
        <w:spacing w:after="60" w:before="60"/>
      </w:pPr>
      <w:r>
        <w:rPr>
          <w:rFonts w:ascii="Arial" w:cs="Arial" w:eastAsia="Arial" w:hAnsi="Arial"/>
          <w:color w:val="5B595A"/>
          <w:sz w:val="20"/>
          <w:szCs w:val="20"/>
        </w:rPr>
        <w:t xml:space="preserve">Operating systems and software shall be kept patched. Critical patches shall be applied within 14 days of release. Security patches affecting nuclear programme systems shall be applied within 7 days.</w:t>
      </w:r>
    </w:p>
    <w:p>
      <w:pPr>
        <w:pStyle w:val="ListParagraph"/>
        <w:numPr>
          <w:ilvl w:val="0"/>
          <w:numId w:val="2"/>
        </w:numPr>
        <w:spacing w:after="60" w:before="60"/>
      </w:pPr>
      <w:r>
        <w:rPr>
          <w:rFonts w:ascii="Arial" w:cs="Arial" w:eastAsia="Arial" w:hAnsi="Arial"/>
          <w:color w:val="5B595A"/>
          <w:sz w:val="20"/>
          <w:szCs w:val="20"/>
        </w:rPr>
        <w:t xml:space="preserve">Full disk encryption shall be enabled on all laptops and mobile devices.</w:t>
      </w:r>
    </w:p>
    <w:p>
      <w:pPr>
        <w:pStyle w:val="ListParagraph"/>
        <w:numPr>
          <w:ilvl w:val="0"/>
          <w:numId w:val="2"/>
        </w:numPr>
        <w:spacing w:after="60" w:before="60"/>
      </w:pPr>
      <w:r>
        <w:rPr>
          <w:rFonts w:ascii="Arial" w:cs="Arial" w:eastAsia="Arial" w:hAnsi="Arial"/>
          <w:color w:val="5B595A"/>
          <w:sz w:val="20"/>
          <w:szCs w:val="20"/>
        </w:rPr>
        <w:t xml:space="preserve">Automatic screen lock shall be configured to activate after a maximum of 5 minutes of inactivity.</w:t>
      </w:r>
    </w:p>
    <w:p>
      <w:pPr>
        <w:pStyle w:val="ListParagraph"/>
        <w:numPr>
          <w:ilvl w:val="0"/>
          <w:numId w:val="2"/>
        </w:numPr>
        <w:spacing w:after="60" w:before="60"/>
      </w:pPr>
      <w:r>
        <w:rPr>
          <w:rFonts w:ascii="Arial" w:cs="Arial" w:eastAsia="Arial" w:hAnsi="Arial"/>
          <w:color w:val="5B595A"/>
          <w:sz w:val="20"/>
          <w:szCs w:val="20"/>
        </w:rPr>
        <w:t xml:space="preserve">The use of personal devices for nuclear programme work (BYOD) is not permitted without written approval and enrolment in the mobile device management system.</w:t>
      </w:r>
    </w:p>
    <w:p>
      <w:pPr>
        <w:pStyle w:val="Heading2"/>
        <w:spacing w:after="100" w:before="200"/>
      </w:pPr>
      <w:r>
        <w:rPr>
          <w:rFonts w:ascii="Arial" w:cs="Arial" w:eastAsia="Arial" w:hAnsi="Arial"/>
          <w:b/>
          <w:bCs/>
          <w:color w:val="7B2D8B"/>
          <w:sz w:val="24"/>
          <w:szCs w:val="24"/>
        </w:rPr>
        <w:t xml:space="preserve">3.4 Email and Communications Security</w:t>
      </w:r>
    </w:p>
    <w:p>
      <w:pPr>
        <w:pStyle w:val="ListParagraph"/>
        <w:numPr>
          <w:ilvl w:val="0"/>
          <w:numId w:val="2"/>
        </w:numPr>
        <w:spacing w:after="60" w:before="60"/>
      </w:pPr>
      <w:r>
        <w:rPr>
          <w:rFonts w:ascii="Arial" w:cs="Arial" w:eastAsia="Arial" w:hAnsi="Arial"/>
          <w:color w:val="5B595A"/>
          <w:sz w:val="20"/>
          <w:szCs w:val="20"/>
        </w:rPr>
        <w:t xml:space="preserve">Email remains one of the most common vectors for cyber attack. All staff shall be alert to phishing and social engineering attempts.</w:t>
      </w:r>
    </w:p>
    <w:p>
      <w:pPr>
        <w:pStyle w:val="ListParagraph"/>
        <w:numPr>
          <w:ilvl w:val="0"/>
          <w:numId w:val="2"/>
        </w:numPr>
        <w:spacing w:after="60" w:before="60"/>
      </w:pPr>
      <w:r>
        <w:rPr>
          <w:rFonts w:ascii="Arial" w:cs="Arial" w:eastAsia="Arial" w:hAnsi="Arial"/>
          <w:color w:val="5B595A"/>
          <w:sz w:val="20"/>
          <w:szCs w:val="20"/>
        </w:rPr>
        <w:t xml:space="preserve">Suspected phishing emails shall be reported to the IT function using the designated reporting mechanism, not forwarded or replied to.</w:t>
      </w:r>
    </w:p>
    <w:p>
      <w:pPr>
        <w:pStyle w:val="ListParagraph"/>
        <w:numPr>
          <w:ilvl w:val="0"/>
          <w:numId w:val="2"/>
        </w:numPr>
        <w:spacing w:after="60" w:before="60"/>
      </w:pPr>
      <w:r>
        <w:rPr>
          <w:rFonts w:ascii="Arial" w:cs="Arial" w:eastAsia="Arial" w:hAnsi="Arial"/>
          <w:color w:val="5B595A"/>
          <w:sz w:val="20"/>
          <w:szCs w:val="20"/>
        </w:rPr>
        <w:t xml:space="preserve">RESTRICTED and above information shall only be transmitted by email using encrypted attachments or secure file transfer services.</w:t>
      </w:r>
    </w:p>
    <w:p>
      <w:pPr>
        <w:pStyle w:val="ListParagraph"/>
        <w:numPr>
          <w:ilvl w:val="0"/>
          <w:numId w:val="2"/>
        </w:numPr>
        <w:spacing w:after="60" w:before="60"/>
      </w:pPr>
      <w:r>
        <w:rPr>
          <w:rFonts w:ascii="Arial" w:cs="Arial" w:eastAsia="Arial" w:hAnsi="Arial"/>
          <w:color w:val="5B595A"/>
          <w:sz w:val="20"/>
          <w:szCs w:val="20"/>
        </w:rPr>
        <w:t xml:space="preserve">External email addresses shall never be used to send or store nuclear programme information.</w:t>
      </w:r>
    </w:p>
    <w:p>
      <w:pPr>
        <w:pStyle w:val="ListParagraph"/>
        <w:numPr>
          <w:ilvl w:val="0"/>
          <w:numId w:val="2"/>
        </w:numPr>
        <w:spacing w:after="60" w:before="60"/>
      </w:pPr>
      <w:r>
        <w:rPr>
          <w:rFonts w:ascii="Arial" w:cs="Arial" w:eastAsia="Arial" w:hAnsi="Arial"/>
          <w:color w:val="5B595A"/>
          <w:sz w:val="20"/>
          <w:szCs w:val="20"/>
        </w:rPr>
        <w:t xml:space="preserve">Automatic email forwarding to personal accounts is prohibited for all accounts used in nuclear programme work.</w:t>
      </w:r>
    </w:p>
    <w:p>
      <w:pPr>
        <w:pStyle w:val="Heading2"/>
        <w:spacing w:after="100" w:before="200"/>
      </w:pPr>
      <w:r>
        <w:rPr>
          <w:rFonts w:ascii="Arial" w:cs="Arial" w:eastAsia="Arial" w:hAnsi="Arial"/>
          <w:b/>
          <w:bCs/>
          <w:color w:val="7B2D8B"/>
          <w:sz w:val="24"/>
          <w:szCs w:val="24"/>
        </w:rPr>
        <w:t xml:space="preserve">3.5 Data Protection and Backup</w:t>
      </w:r>
    </w:p>
    <w:p>
      <w:pPr>
        <w:pStyle w:val="ListParagraph"/>
        <w:numPr>
          <w:ilvl w:val="0"/>
          <w:numId w:val="2"/>
        </w:numPr>
        <w:spacing w:after="60" w:before="60"/>
      </w:pPr>
      <w:r>
        <w:rPr>
          <w:rFonts w:ascii="Arial" w:cs="Arial" w:eastAsia="Arial" w:hAnsi="Arial"/>
          <w:color w:val="5B595A"/>
          <w:sz w:val="20"/>
          <w:szCs w:val="20"/>
        </w:rPr>
        <w:t xml:space="preserve">Nuclear programme data shall be backed up daily to an encrypted, offsite or cloud location.</w:t>
      </w:r>
    </w:p>
    <w:p>
      <w:pPr>
        <w:pStyle w:val="ListParagraph"/>
        <w:numPr>
          <w:ilvl w:val="0"/>
          <w:numId w:val="2"/>
        </w:numPr>
        <w:spacing w:after="60" w:before="60"/>
      </w:pPr>
      <w:r>
        <w:rPr>
          <w:rFonts w:ascii="Arial" w:cs="Arial" w:eastAsia="Arial" w:hAnsi="Arial"/>
          <w:color w:val="5B595A"/>
          <w:sz w:val="20"/>
          <w:szCs w:val="20"/>
        </w:rPr>
        <w:t xml:space="preserve">Backup integrity shall be tested quarterly through a restore exercise. Results are recorded.</w:t>
      </w:r>
    </w:p>
    <w:p>
      <w:pPr>
        <w:pStyle w:val="ListParagraph"/>
        <w:numPr>
          <w:ilvl w:val="0"/>
          <w:numId w:val="2"/>
        </w:numPr>
        <w:spacing w:after="60" w:before="60"/>
      </w:pPr>
      <w:r>
        <w:rPr>
          <w:rFonts w:ascii="Arial" w:cs="Arial" w:eastAsia="Arial" w:hAnsi="Arial"/>
          <w:color w:val="5B595A"/>
          <w:sz w:val="20"/>
          <w:szCs w:val="20"/>
        </w:rPr>
        <w:t xml:space="preserve">Data at rest on servers and shared storage holding RESTRICTED and above information shall be encrypted.</w:t>
      </w:r>
    </w:p>
    <w:p>
      <w:pPr>
        <w:pStyle w:val="ListParagraph"/>
        <w:numPr>
          <w:ilvl w:val="0"/>
          <w:numId w:val="2"/>
        </w:numPr>
        <w:spacing w:after="60" w:before="60"/>
      </w:pPr>
      <w:r>
        <w:rPr>
          <w:rFonts w:ascii="Arial" w:cs="Arial" w:eastAsia="Arial" w:hAnsi="Arial"/>
          <w:color w:val="5B595A"/>
          <w:sz w:val="20"/>
          <w:szCs w:val="20"/>
        </w:rPr>
        <w:t xml:space="preserve">Retention periods for nuclear programme data are defined in the Information Asset Register and are aligned with contract and regulatory requirements.</w:t>
      </w:r>
    </w:p>
    <w:p>
      <w:pPr>
        <w:pStyle w:val="ListParagraph"/>
        <w:numPr>
          <w:ilvl w:val="0"/>
          <w:numId w:val="2"/>
        </w:numPr>
        <w:spacing w:after="60" w:before="60"/>
      </w:pPr>
      <w:r>
        <w:rPr>
          <w:rFonts w:ascii="Arial" w:cs="Arial" w:eastAsia="Arial" w:hAnsi="Arial"/>
          <w:color w:val="5B595A"/>
          <w:sz w:val="20"/>
          <w:szCs w:val="20"/>
        </w:rPr>
        <w:t xml:space="preserve">Data disposal shall be in accordance with the classification level, as set out in the Information Classification Procedure (NSS-07-01).</w:t>
      </w:r>
    </w:p>
    <w:p>
      <w:pPr>
        <w:pStyle w:val="Heading2"/>
        <w:spacing w:after="100" w:before="200"/>
      </w:pPr>
      <w:r>
        <w:rPr>
          <w:rFonts w:ascii="Arial" w:cs="Arial" w:eastAsia="Arial" w:hAnsi="Arial"/>
          <w:b/>
          <w:bCs/>
          <w:color w:val="7B2D8B"/>
          <w:sz w:val="24"/>
          <w:szCs w:val="24"/>
        </w:rPr>
        <w:t xml:space="preserve">3.6 Software and Application Security</w:t>
      </w:r>
    </w:p>
    <w:p>
      <w:pPr>
        <w:pStyle w:val="ListParagraph"/>
        <w:numPr>
          <w:ilvl w:val="0"/>
          <w:numId w:val="2"/>
        </w:numPr>
        <w:spacing w:after="60" w:before="60"/>
      </w:pPr>
      <w:r>
        <w:rPr>
          <w:rFonts w:ascii="Arial" w:cs="Arial" w:eastAsia="Arial" w:hAnsi="Arial"/>
          <w:color w:val="5B595A"/>
          <w:sz w:val="20"/>
          <w:szCs w:val="20"/>
        </w:rPr>
        <w:t xml:space="preserve">Software used in connection with nuclear programme activities shall be sourced from authorised vendors only.</w:t>
      </w:r>
    </w:p>
    <w:p>
      <w:pPr>
        <w:pStyle w:val="ListParagraph"/>
        <w:numPr>
          <w:ilvl w:val="0"/>
          <w:numId w:val="2"/>
        </w:numPr>
        <w:spacing w:after="60" w:before="60"/>
      </w:pPr>
      <w:r>
        <w:rPr>
          <w:rFonts w:ascii="Arial" w:cs="Arial" w:eastAsia="Arial" w:hAnsi="Arial"/>
          <w:color w:val="5B595A"/>
          <w:sz w:val="20"/>
          <w:szCs w:val="20"/>
        </w:rPr>
        <w:t xml:space="preserve">Free or open-source software requires IT approval before installation on devices used for nuclear programme work.</w:t>
      </w:r>
    </w:p>
    <w:p>
      <w:pPr>
        <w:pStyle w:val="ListParagraph"/>
        <w:numPr>
          <w:ilvl w:val="0"/>
          <w:numId w:val="2"/>
        </w:numPr>
        <w:spacing w:after="60" w:before="60"/>
      </w:pPr>
      <w:r>
        <w:rPr>
          <w:rFonts w:ascii="Arial" w:cs="Arial" w:eastAsia="Arial" w:hAnsi="Arial"/>
          <w:color w:val="5B595A"/>
          <w:sz w:val="20"/>
          <w:szCs w:val="20"/>
        </w:rPr>
        <w:t xml:space="preserve">Engineering software used to produce nuclear-related outputs shall be subject to version control and validation, as set out in the Design and Project Management procedures.</w:t>
      </w:r>
    </w:p>
    <w:p>
      <w:pPr>
        <w:pStyle w:val="ListParagraph"/>
        <w:numPr>
          <w:ilvl w:val="0"/>
          <w:numId w:val="2"/>
        </w:numPr>
        <w:spacing w:after="60" w:before="60"/>
      </w:pPr>
      <w:r>
        <w:rPr>
          <w:rFonts w:ascii="Arial" w:cs="Arial" w:eastAsia="Arial" w:hAnsi="Arial"/>
          <w:color w:val="5B595A"/>
          <w:sz w:val="20"/>
          <w:szCs w:val="20"/>
        </w:rPr>
        <w:t xml:space="preserve">Third-party software used to process client data shall be subject to a security assessment before deployment.</w:t>
      </w:r>
    </w:p>
    <w:p>
      <w:pPr>
        <w:pStyle w:val="Heading2"/>
        <w:spacing w:after="100" w:before="200"/>
      </w:pPr>
      <w:r>
        <w:rPr>
          <w:rFonts w:ascii="Arial" w:cs="Arial" w:eastAsia="Arial" w:hAnsi="Arial"/>
          <w:b/>
          <w:bCs/>
          <w:color w:val="7B2D8B"/>
          <w:sz w:val="24"/>
          <w:szCs w:val="24"/>
        </w:rPr>
        <w:t xml:space="preserve">3.7 Supplier and Third-Party Security</w:t>
      </w:r>
    </w:p>
    <w:p>
      <w:pPr>
        <w:pStyle w:val="ListParagraph"/>
        <w:numPr>
          <w:ilvl w:val="0"/>
          <w:numId w:val="2"/>
        </w:numPr>
        <w:spacing w:after="60" w:before="60"/>
      </w:pPr>
      <w:r>
        <w:rPr>
          <w:rFonts w:ascii="Arial" w:cs="Arial" w:eastAsia="Arial" w:hAnsi="Arial"/>
          <w:color w:val="5B595A"/>
          <w:sz w:val="20"/>
          <w:szCs w:val="20"/>
        </w:rPr>
        <w:t xml:space="preserve">Suppliers and subcontractors who handle nuclear programme data shall demonstrate adequate cybersecurity controls as a condition of engagement.</w:t>
      </w:r>
    </w:p>
    <w:p>
      <w:pPr>
        <w:pStyle w:val="ListParagraph"/>
        <w:numPr>
          <w:ilvl w:val="0"/>
          <w:numId w:val="2"/>
        </w:numPr>
        <w:spacing w:after="60" w:before="60"/>
      </w:pPr>
      <w:r>
        <w:rPr>
          <w:rFonts w:ascii="Arial" w:cs="Arial" w:eastAsia="Arial" w:hAnsi="Arial"/>
          <w:color w:val="5B595A"/>
          <w:sz w:val="20"/>
          <w:szCs w:val="20"/>
        </w:rPr>
        <w:t xml:space="preserve">Supplier cybersecurity capability is assessed during the qualification process and reviewed annually.</w:t>
      </w:r>
    </w:p>
    <w:p>
      <w:pPr>
        <w:pStyle w:val="ListParagraph"/>
        <w:numPr>
          <w:ilvl w:val="0"/>
          <w:numId w:val="2"/>
        </w:numPr>
        <w:spacing w:after="60" w:before="60"/>
      </w:pPr>
      <w:r>
        <w:rPr>
          <w:rFonts w:ascii="Arial" w:cs="Arial" w:eastAsia="Arial" w:hAnsi="Arial"/>
          <w:color w:val="5B595A"/>
          <w:sz w:val="20"/>
          <w:szCs w:val="20"/>
        </w:rPr>
        <w:t xml:space="preserve">Contractual flow-down clauses shall require suppliers to notify [Company Name] of any cybersecurity incident affecting nuclear programme data within 24 hours.</w:t>
      </w:r>
    </w:p>
    <w:p>
      <w:pPr>
        <w:pStyle w:val="ListParagraph"/>
        <w:numPr>
          <w:ilvl w:val="0"/>
          <w:numId w:val="2"/>
        </w:numPr>
        <w:spacing w:after="60" w:before="60"/>
      </w:pPr>
      <w:r>
        <w:rPr>
          <w:rFonts w:ascii="Arial" w:cs="Arial" w:eastAsia="Arial" w:hAnsi="Arial"/>
          <w:color w:val="5B595A"/>
          <w:sz w:val="20"/>
          <w:szCs w:val="20"/>
        </w:rPr>
        <w:t xml:space="preserve">Remote access granted to suppliers for support or maintenance purposes shall be time-limited, monitored and revoked upon completion.</w:t>
      </w:r>
    </w:p>
    <w:p>
      <w:pPr>
        <w:pStyle w:val="Heading1"/>
        <w:spacing w:after="120" w:before="300"/>
      </w:pPr>
      <w:r>
        <w:rPr>
          <w:rFonts w:ascii="Arial" w:cs="Arial" w:eastAsia="Arial" w:hAnsi="Arial"/>
          <w:b/>
          <w:bCs/>
          <w:color w:val="29ABE2"/>
          <w:sz w:val="28"/>
          <w:szCs w:val="28"/>
        </w:rPr>
        <w:t xml:space="preserve">4. Cyber Incident Response</w:t>
      </w:r>
    </w:p>
    <w:p>
      <w:pPr>
        <w:spacing w:after="80" w:before="80"/>
      </w:pPr>
      <w:r>
        <w:rPr>
          <w:rFonts w:ascii="Arial" w:cs="Arial" w:eastAsia="Arial" w:hAnsi="Arial"/>
          <w:color w:val="5B595A"/>
          <w:sz w:val="20"/>
          <w:szCs w:val="20"/>
        </w:rPr>
        <w:t xml:space="preserve">A cyber incident is any event that compromises or has the potential to compromise the confidentiality, integrity or availability of information assets or systems.</w:t>
      </w:r>
    </w:p>
    <w:p>
      <w:pPr>
        <w:pStyle w:val="Heading2"/>
        <w:spacing w:after="100" w:before="200"/>
      </w:pPr>
      <w:r>
        <w:rPr>
          <w:rFonts w:ascii="Arial" w:cs="Arial" w:eastAsia="Arial" w:hAnsi="Arial"/>
          <w:b/>
          <w:bCs/>
          <w:color w:val="7B2D8B"/>
          <w:sz w:val="24"/>
          <w:szCs w:val="24"/>
        </w:rPr>
        <w:t xml:space="preserve">4.1 Incident Classification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200"/>
        <w:gridCol w:w="3326"/>
      </w:tblGrid>
      <w:tr>
        <w:tc>
          <w:tcPr>
            <w:tcW w:type="dxa" w:w="1500"/>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Category</w:t>
            </w:r>
          </w:p>
        </w:tc>
        <w:tc>
          <w:tcPr>
            <w:tcW w:type="dxa" w:w="2000"/>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2200"/>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Examples</w:t>
            </w:r>
          </w:p>
        </w:tc>
        <w:tc>
          <w:tcPr>
            <w:tcW w:type="dxa" w:w="3326"/>
            <w:shd w:fill="83348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Initial Response</w:t>
            </w:r>
          </w:p>
        </w:tc>
      </w:tr>
      <w:tr>
        <w:tc>
          <w:tcPr>
            <w:tcW w:type="dxa" w:w="1500"/>
            <w:shd w:fill="FFFFFF" w:val="clear"/>
            <w:tcMar>
              <w:top w:type="dxa" w:w="80"/>
              <w:left w:type="dxa" w:w="120"/>
              <w:bottom w:type="dxa" w:w="80"/>
              <w:right w:type="dxa" w:w="120"/>
            </w:tcMar>
          </w:tcPr>
          <w:p>
            <w:pPr>
              <w:spacing w:after="60" w:before="60"/>
            </w:pPr>
            <w:r>
              <w:rPr>
                <w:rFonts w:ascii="Arial" w:cs="Arial" w:eastAsia="Arial" w:hAnsi="Arial"/>
                <w:b/>
                <w:bCs/>
                <w:color w:val="001E3C"/>
                <w:sz w:val="18"/>
                <w:szCs w:val="18"/>
              </w:rPr>
              <w:t xml:space="preserve">Critical</w:t>
            </w:r>
          </w:p>
        </w:tc>
        <w:tc>
          <w:tcPr>
            <w:tcW w:type="dxa" w:w="2000"/>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Active attack or confirmed breach with impact on nuclear programme data or systems.</w:t>
            </w:r>
          </w:p>
        </w:tc>
        <w:tc>
          <w:tcPr>
            <w:tcW w:type="dxa" w:w="2200"/>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Ransomware, data exfiltration, system takeover.</w:t>
            </w:r>
          </w:p>
        </w:tc>
        <w:tc>
          <w:tcPr>
            <w:tcW w:type="dxa" w:w="3326"/>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Immediate escalation to senior management and client. Consider taking affected systems offline.</w:t>
            </w:r>
          </w:p>
        </w:tc>
      </w:tr>
      <w:tr>
        <w:tc>
          <w:tcPr>
            <w:tcW w:type="dxa" w:w="1500"/>
            <w:shd w:fill="E5F5FD" w:val="clear"/>
            <w:tcMar>
              <w:top w:type="dxa" w:w="80"/>
              <w:left w:type="dxa" w:w="120"/>
              <w:bottom w:type="dxa" w:w="80"/>
              <w:right w:type="dxa" w:w="120"/>
            </w:tcMar>
          </w:tcPr>
          <w:p>
            <w:pPr>
              <w:spacing w:after="60" w:before="60"/>
            </w:pPr>
            <w:r>
              <w:rPr>
                <w:rFonts w:ascii="Arial" w:cs="Arial" w:eastAsia="Arial" w:hAnsi="Arial"/>
                <w:b/>
                <w:bCs/>
                <w:color w:val="001E3C"/>
                <w:sz w:val="18"/>
                <w:szCs w:val="18"/>
              </w:rPr>
              <w:t xml:space="preserve">Significant</w:t>
            </w:r>
          </w:p>
        </w:tc>
        <w:tc>
          <w:tcPr>
            <w:tcW w:type="dxa" w:w="2000"/>
            <w:shd w:fill="E5F5FD"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Confirmed breach of a non-nuclear system, or suspected breach of a nuclear programme system.</w:t>
            </w:r>
          </w:p>
        </w:tc>
        <w:tc>
          <w:tcPr>
            <w:tcW w:type="dxa" w:w="2200"/>
            <w:shd w:fill="E5F5FD"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Account compromise, malware infection, phishing success.</w:t>
            </w:r>
          </w:p>
        </w:tc>
        <w:tc>
          <w:tcPr>
            <w:tcW w:type="dxa" w:w="3326"/>
            <w:shd w:fill="E5F5FD"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IT investigation within 2 hours. Escalate if nuclear data involved.</w:t>
            </w:r>
          </w:p>
        </w:tc>
      </w:tr>
      <w:tr>
        <w:tc>
          <w:tcPr>
            <w:tcW w:type="dxa" w:w="1500"/>
            <w:shd w:fill="FFFFFF" w:val="clear"/>
            <w:tcMar>
              <w:top w:type="dxa" w:w="80"/>
              <w:left w:type="dxa" w:w="120"/>
              <w:bottom w:type="dxa" w:w="80"/>
              <w:right w:type="dxa" w:w="120"/>
            </w:tcMar>
          </w:tcPr>
          <w:p>
            <w:pPr>
              <w:spacing w:after="60" w:before="60"/>
            </w:pPr>
            <w:r>
              <w:rPr>
                <w:rFonts w:ascii="Arial" w:cs="Arial" w:eastAsia="Arial" w:hAnsi="Arial"/>
                <w:b/>
                <w:bCs/>
                <w:color w:val="001E3C"/>
                <w:sz w:val="18"/>
                <w:szCs w:val="18"/>
              </w:rPr>
              <w:t xml:space="preserve">Minor</w:t>
            </w:r>
          </w:p>
        </w:tc>
        <w:tc>
          <w:tcPr>
            <w:tcW w:type="dxa" w:w="2000"/>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Security policy violation or near miss without confirmed data impact.</w:t>
            </w:r>
          </w:p>
        </w:tc>
        <w:tc>
          <w:tcPr>
            <w:tcW w:type="dxa" w:w="2200"/>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Lost device subsequently recovered, phishing email reported.</w:t>
            </w:r>
          </w:p>
        </w:tc>
        <w:tc>
          <w:tcPr>
            <w:tcW w:type="dxa" w:w="3326"/>
            <w:shd w:fill="FFFFFF" w:val="clear"/>
            <w:tcMar>
              <w:top w:type="dxa" w:w="80"/>
              <w:left w:type="dxa" w:w="120"/>
              <w:bottom w:type="dxa" w:w="80"/>
              <w:right w:type="dxa" w:w="120"/>
            </w:tcMar>
          </w:tcPr>
          <w:p>
            <w:pPr>
              <w:spacing w:after="60" w:before="60"/>
            </w:pPr>
            <w:r>
              <w:rPr>
                <w:rFonts w:ascii="Arial" w:cs="Arial" w:eastAsia="Arial" w:hAnsi="Arial"/>
                <w:b w:val="false"/>
                <w:bCs w:val="false"/>
                <w:color w:val="5B595A"/>
                <w:sz w:val="18"/>
                <w:szCs w:val="18"/>
              </w:rPr>
              <w:t xml:space="preserve">IT review within 24 hours. No escalation required unless data confirmed lost.</w:t>
            </w:r>
          </w:p>
        </w:tc>
      </w:tr>
    </w:tbl>
    <w:p>
      <w:pPr>
        <w:spacing w:before="200"/>
      </w:pPr>
    </w:p>
    <w:p>
      <w:pPr>
        <w:pStyle w:val="Heading2"/>
        <w:spacing w:after="100" w:before="200"/>
      </w:pPr>
      <w:r>
        <w:rPr>
          <w:rFonts w:ascii="Arial" w:cs="Arial" w:eastAsia="Arial" w:hAnsi="Arial"/>
          <w:b/>
          <w:bCs/>
          <w:color w:val="7B2D8B"/>
          <w:sz w:val="24"/>
          <w:szCs w:val="24"/>
        </w:rPr>
        <w:t xml:space="preserve">4.2 Response Steps</w:t>
      </w:r>
    </w:p>
    <w:p>
      <w:pPr>
        <w:pStyle w:val="ListParagraph"/>
        <w:numPr>
          <w:ilvl w:val="0"/>
          <w:numId w:val="3"/>
        </w:numPr>
        <w:spacing w:after="60" w:before="60"/>
      </w:pPr>
      <w:r>
        <w:rPr>
          <w:rFonts w:ascii="Arial" w:cs="Arial" w:eastAsia="Arial" w:hAnsi="Arial"/>
          <w:color w:val="5B595A"/>
          <w:sz w:val="20"/>
          <w:szCs w:val="20"/>
        </w:rPr>
        <w:t xml:space="preserve">Identify and report the incident to the IT function and Information Security Manager immediately.</w:t>
      </w:r>
    </w:p>
    <w:p>
      <w:pPr>
        <w:pStyle w:val="ListParagraph"/>
        <w:numPr>
          <w:ilvl w:val="0"/>
          <w:numId w:val="3"/>
        </w:numPr>
        <w:spacing w:after="60" w:before="60"/>
      </w:pPr>
      <w:r>
        <w:rPr>
          <w:rFonts w:ascii="Arial" w:cs="Arial" w:eastAsia="Arial" w:hAnsi="Arial"/>
          <w:color w:val="5B595A"/>
          <w:sz w:val="20"/>
          <w:szCs w:val="20"/>
        </w:rPr>
        <w:t xml:space="preserve">Contain the incident by isolating affected systems or accounts as instructed by IT.</w:t>
      </w:r>
    </w:p>
    <w:p>
      <w:pPr>
        <w:pStyle w:val="ListParagraph"/>
        <w:numPr>
          <w:ilvl w:val="0"/>
          <w:numId w:val="3"/>
        </w:numPr>
        <w:spacing w:after="60" w:before="60"/>
      </w:pPr>
      <w:r>
        <w:rPr>
          <w:rFonts w:ascii="Arial" w:cs="Arial" w:eastAsia="Arial" w:hAnsi="Arial"/>
          <w:color w:val="5B595A"/>
          <w:sz w:val="20"/>
          <w:szCs w:val="20"/>
        </w:rPr>
        <w:t xml:space="preserve">Assess the scope of the impact, including whether nuclear programme data has been affected.</w:t>
      </w:r>
    </w:p>
    <w:p>
      <w:pPr>
        <w:pStyle w:val="ListParagraph"/>
        <w:numPr>
          <w:ilvl w:val="0"/>
          <w:numId w:val="3"/>
        </w:numPr>
        <w:spacing w:after="60" w:before="60"/>
      </w:pPr>
      <w:r>
        <w:rPr>
          <w:rFonts w:ascii="Arial" w:cs="Arial" w:eastAsia="Arial" w:hAnsi="Arial"/>
          <w:color w:val="5B595A"/>
          <w:sz w:val="20"/>
          <w:szCs w:val="20"/>
        </w:rPr>
        <w:t xml:space="preserve">Notify the client if nuclear programme data has been or may have been compromised. Most nuclear programme contracts specify notification within 24 hours.</w:t>
      </w:r>
    </w:p>
    <w:p>
      <w:pPr>
        <w:pStyle w:val="ListParagraph"/>
        <w:numPr>
          <w:ilvl w:val="0"/>
          <w:numId w:val="3"/>
        </w:numPr>
        <w:spacing w:after="60" w:before="60"/>
      </w:pPr>
      <w:r>
        <w:rPr>
          <w:rFonts w:ascii="Arial" w:cs="Arial" w:eastAsia="Arial" w:hAnsi="Arial"/>
          <w:color w:val="5B595A"/>
          <w:sz w:val="20"/>
          <w:szCs w:val="20"/>
        </w:rPr>
        <w:t xml:space="preserve">Preserve logs and evidence. Do not wipe or reset affected systems without IT instruction.</w:t>
      </w:r>
    </w:p>
    <w:p>
      <w:pPr>
        <w:pStyle w:val="ListParagraph"/>
        <w:numPr>
          <w:ilvl w:val="0"/>
          <w:numId w:val="3"/>
        </w:numPr>
        <w:spacing w:after="60" w:before="60"/>
      </w:pPr>
      <w:r>
        <w:rPr>
          <w:rFonts w:ascii="Arial" w:cs="Arial" w:eastAsia="Arial" w:hAnsi="Arial"/>
          <w:color w:val="5B595A"/>
          <w:sz w:val="20"/>
          <w:szCs w:val="20"/>
        </w:rPr>
        <w:t xml:space="preserve">Eradicate the cause and restore systems from clean backups where necessary.</w:t>
      </w:r>
    </w:p>
    <w:p>
      <w:pPr>
        <w:pStyle w:val="ListParagraph"/>
        <w:numPr>
          <w:ilvl w:val="0"/>
          <w:numId w:val="3"/>
        </w:numPr>
        <w:spacing w:after="60" w:before="60"/>
      </w:pPr>
      <w:r>
        <w:rPr>
          <w:rFonts w:ascii="Arial" w:cs="Arial" w:eastAsia="Arial" w:hAnsi="Arial"/>
          <w:color w:val="5B595A"/>
          <w:sz w:val="20"/>
          <w:szCs w:val="20"/>
        </w:rPr>
        <w:t xml:space="preserve">Conduct a post-incident review and implement corrective actions to prevent recurrence.</w:t>
      </w:r>
    </w:p>
    <w:p>
      <w:pPr>
        <w:pStyle w:val="ListParagraph"/>
        <w:numPr>
          <w:ilvl w:val="0"/>
          <w:numId w:val="3"/>
        </w:numPr>
        <w:spacing w:after="60" w:before="60"/>
      </w:pPr>
      <w:r>
        <w:rPr>
          <w:rFonts w:ascii="Arial" w:cs="Arial" w:eastAsia="Arial" w:hAnsi="Arial"/>
          <w:color w:val="5B595A"/>
          <w:sz w:val="20"/>
          <w:szCs w:val="20"/>
        </w:rPr>
        <w:t xml:space="preserve">Record the incident in the Security Incident Log (NSS-07-07).</w:t>
      </w:r>
    </w:p>
    <w:p>
      <w:pPr>
        <w:pStyle w:val="Heading1"/>
        <w:spacing w:after="120" w:before="300"/>
      </w:pPr>
      <w:r>
        <w:rPr>
          <w:rFonts w:ascii="Arial" w:cs="Arial" w:eastAsia="Arial" w:hAnsi="Arial"/>
          <w:b/>
          <w:bCs/>
          <w:color w:val="29ABE2"/>
          <w:sz w:val="28"/>
          <w:szCs w:val="28"/>
        </w:rPr>
        <w:t xml:space="preserve">5. Staff Training and Awareness</w:t>
      </w:r>
    </w:p>
    <w:p>
      <w:pPr>
        <w:spacing w:after="80" w:before="80"/>
      </w:pPr>
      <w:r>
        <w:rPr>
          <w:rFonts w:ascii="Arial" w:cs="Arial" w:eastAsia="Arial" w:hAnsi="Arial"/>
          <w:color w:val="5B595A"/>
          <w:sz w:val="20"/>
          <w:szCs w:val="20"/>
        </w:rPr>
        <w:t xml:space="preserve">Cybersecurity awareness training is mandatory for all staff and shall be completed on joining the organisation and annually thereafter. Training covers phishing recognition, password hygiene, safe handling of nuclear programme data, and incident reporting.</w:t>
      </w:r>
    </w:p>
    <w:p>
      <w:pPr>
        <w:spacing w:after="80" w:before="80"/>
      </w:pPr>
      <w:r>
        <w:rPr>
          <w:rFonts w:ascii="Arial" w:cs="Arial" w:eastAsia="Arial" w:hAnsi="Arial"/>
          <w:color w:val="5B595A"/>
          <w:sz w:val="20"/>
          <w:szCs w:val="20"/>
        </w:rPr>
        <w:t xml:space="preserve">Phishing simulation exercises shall be conducted at least twice per year. Results inform the annual training plan and are reviewed by the Information Security Manager.</w:t>
      </w:r>
    </w:p>
    <w:p>
      <w:pPr>
        <w:spacing w:after="120" w:before="120"/>
      </w:pPr>
      <w:r>
        <w:rPr>
          <w:rFonts w:ascii="Arial" w:cs="Arial" w:eastAsia="Arial" w:hAnsi="Arial"/>
          <w:i/>
          <w:iCs/>
          <w:color w:val="83348F"/>
          <w:sz w:val="20"/>
          <w:szCs w:val="20"/>
        </w:rPr>
        <w:t xml:space="preserve">The most sophisticated technical controls can be undermined by a single human error. Security-aware people are our most important control.</w:t>
      </w:r>
    </w:p>
    <w:p>
      <w:pPr>
        <w:pStyle w:val="Heading1"/>
        <w:spacing w:after="120" w:before="300"/>
      </w:pPr>
      <w:r>
        <w:rPr>
          <w:rFonts w:ascii="Arial" w:cs="Arial" w:eastAsia="Arial" w:hAnsi="Arial"/>
          <w:b/>
          <w:bCs/>
          <w:color w:val="29ABE2"/>
          <w:sz w:val="28"/>
          <w:szCs w:val="28"/>
        </w:rPr>
        <w:t xml:space="preserve">6. Alignment with ISO 27001</w:t>
      </w:r>
    </w:p>
    <w:p>
      <w:pPr>
        <w:spacing w:after="80" w:before="80"/>
      </w:pPr>
      <w:r>
        <w:rPr>
          <w:rFonts w:ascii="Arial" w:cs="Arial" w:eastAsia="Arial" w:hAnsi="Arial"/>
          <w:color w:val="5B595A"/>
          <w:sz w:val="20"/>
          <w:szCs w:val="20"/>
        </w:rPr>
        <w:t xml:space="preserve">This framework is designed to be consistent with ISO/IEC 27001:2022 and supports organisations working toward or maintaining certification. The control areas in Section 3 map broadly to Annex A control domains. Where [Company Name] holds ISO 27001 certification, this document is subordinate to the certified ISMS; where certification is not held, this framework constitutes the operational cybersecurity standard.</w:t>
      </w:r>
    </w:p>
    <w:p>
      <w:pPr>
        <w:spacing w:after="80" w:before="80"/>
      </w:pPr>
      <w:r>
        <w:rPr>
          <w:rFonts w:ascii="Arial" w:cs="Arial" w:eastAsia="Arial" w:hAnsi="Arial"/>
          <w:color w:val="5B595A"/>
          <w:sz w:val="20"/>
          <w:szCs w:val="20"/>
        </w:rPr>
        <w:t xml:space="preserve">Supply chain companies may also be asked by nuclear clients to demonstrate alignment with the UK Government's Cyber Essentials scheme as a baseline assurance measure. This framework satisfies the Cyber Essentials technical controls and can support certification.</w:t>
      </w:r>
    </w:p>
    <w:p>
      <w:pPr>
        <w:pStyle w:val="Heading1"/>
        <w:spacing w:after="120" w:before="300"/>
      </w:pPr>
      <w:r>
        <w:rPr>
          <w:rFonts w:ascii="Arial" w:cs="Arial" w:eastAsia="Arial" w:hAnsi="Arial"/>
          <w:b/>
          <w:bCs/>
          <w:color w:val="29ABE2"/>
          <w:sz w:val="28"/>
          <w:szCs w:val="28"/>
        </w:rPr>
        <w:t xml:space="preserve">7. Review and Governance</w:t>
      </w:r>
    </w:p>
    <w:p>
      <w:pPr>
        <w:spacing w:after="80" w:before="80"/>
      </w:pPr>
      <w:r>
        <w:rPr>
          <w:rFonts w:ascii="Arial" w:cs="Arial" w:eastAsia="Arial" w:hAnsi="Arial"/>
          <w:color w:val="5B595A"/>
          <w:sz w:val="20"/>
          <w:szCs w:val="20"/>
        </w:rPr>
        <w:t xml:space="preserve">This framework is reviewed annually by the Information Security Manager, or sooner following a significant cyber incident, a material change in the threat landscape, or a new client requirement. Review outcomes are reported to senior leadership. Control effectiveness is assessed through the annual internal audit programme.</w:t>
      </w:r>
    </w:p>
    <w:sectPr>
      <w:headerReference w:type="default" r:id="rId7"/>
      <w:footerReference w:type="default" r:id="rId8"/>
      <w:pgSz w:w="11906" w:h="16838" w:orient="portrait"/>
      <w:pgMar w:top="1080" w:right="1080" w:bottom="1080" w:left="1080" w:header="283"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B595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83348F"/>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009FE3"/>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e40d43c0ba4ffb45ea9359ad3458fa65afc3548f.jpg"/></Relationships>
</file>

<file path=word/_rels/header1.xml.rels><?xml version='1.0' encoding='UTF-8' standalone='yes'?>
<Relationships xmlns="http://schemas.openxmlformats.org/package/2006/relationships"><Relationship Id="rId0" Type="http://schemas.openxmlformats.org/officeDocument/2006/relationships/image" Target="media/7400ee0919b941006232ee1142da60edd96fe65b.jpg"/><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792E5F2-446C-45CD-81FC-66FF2AD757D6}"/>
</file>

<file path=customXml/itemProps2.xml><?xml version="1.0" encoding="utf-8"?>
<ds:datastoreItem xmlns:ds="http://schemas.openxmlformats.org/officeDocument/2006/customXml" ds:itemID="{7DCE18C4-3495-45F5-BC20-93AA3CDBE0C5}"/>
</file>

<file path=customXml/itemProps3.xml><?xml version="1.0" encoding="utf-8"?>
<ds:datastoreItem xmlns:ds="http://schemas.openxmlformats.org/officeDocument/2006/customXml" ds:itemID="{2AA4D1A7-5769-4C27-A268-EF9C5D2F8D4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NSS-07-02 Cybersecurity Controls Framework</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