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drawing>
          <wp:inline distT="0" distB="0" distL="0" distR="0">
            <wp:extent cx="1714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514350"/>
                    </a:xfrm>
                    <a:prstGeom prst="rect">
                      <a:avLst/>
                    </a:prstGeom>
                  </pic:spPr>
                </pic:pic>
              </a:graphicData>
            </a:graphic>
          </wp:inline>
        </w:drawing>
      </w:r>
    </w:p>
    <w:p>
      <w:pPr>
        <w:spacing w:after="200" w:before="600"/>
        <w:jc w:val="center"/>
      </w:pPr>
      <w:r>
        <w:rPr>
          <w:rFonts w:ascii="Arial" w:cs="Arial" w:eastAsia="Arial" w:hAnsi="Arial"/>
          <w:b/>
          <w:bCs/>
          <w:color w:val="009FE3"/>
          <w:sz w:val="48"/>
          <w:szCs w:val="48"/>
        </w:rPr>
        <w:t xml:space="preserve">Sensitive Document and
Intellectual Property
Protection Guide</w:t>
      </w:r>
    </w:p>
    <w:p>
      <w:pPr>
        <w:spacing w:after="200" w:before="100"/>
        <w:jc w:val="center"/>
      </w:pPr>
      <w:r>
        <w:rPr>
          <w:rFonts w:ascii="Arial" w:cs="Arial" w:eastAsia="Arial" w:hAnsi="Arial"/>
          <w:b/>
          <w:bCs/>
          <w:color w:val="83348F"/>
          <w:sz w:val="28"/>
          <w:szCs w:val="28"/>
        </w:rPr>
        <w:t xml:space="preserve">Nuclear Sector Specific | NSS-07</w:t>
      </w:r>
    </w:p>
    <w:p>
      <w:pPr>
        <w:spacing w:after="600" w:before="200"/>
        <w:jc w:val="center"/>
      </w:pPr>
      <w:r>
        <w:rPr>
          <w:rFonts w:ascii="Arial" w:cs="Arial" w:eastAsia="Arial" w:hAnsi="Arial"/>
          <w:i/>
          <w:iCs/>
          <w:color w:val="5B595A"/>
          <w:sz w:val="22"/>
          <w:szCs w:val="22"/>
        </w:rPr>
        <w:t xml:space="preserve">Practical guidance for protecting nuclear technical documents and proprietary knowledge</w:t>
      </w:r>
    </w:p>
    <w:p>
      <w:pPr>
        <w:spacing w:after="100" w:before="400"/>
        <w:jc w:val="center"/>
      </w:pPr>
      <w:r>
        <w:rPr>
          <w:rFonts w:ascii="Arial" w:cs="Arial" w:eastAsia="Arial" w:hAnsi="Arial"/>
          <w:color w:val="5B595A"/>
          <w:sz w:val="18"/>
          <w:szCs w:val="18"/>
        </w:rPr>
        <w:t xml:space="preserve">NSS-07-03 | Version 1.0</w:t>
      </w:r>
    </w:p>
    <w:p>
      <w:pPr>
        <w:jc w:val="center"/>
      </w:pPr>
      <w:r>
        <w:rPr>
          <w:rFonts w:ascii="Arial" w:cs="Arial" w:eastAsia="Arial" w:hAnsi="Arial"/>
          <w:color w:val="5B595A"/>
          <w:sz w:val="18"/>
          <w:szCs w:val="18"/>
        </w:rPr>
        <w:t xml:space="preserve">Nuclear Collaboration Ltd | Fit For Nuclear Programme</w:t>
      </w:r>
    </w:p>
    <w:p>
      <w:r>
        <w:br w:type="page"/>
      </w:r>
    </w:p>
    <w:p>
      <w:pPr>
        <w:pStyle w:val="Heading1"/>
        <w:spacing w:after="120" w:before="300"/>
      </w:pPr>
      <w:r>
        <w:rPr>
          <w:rFonts w:ascii="Arial" w:cs="Arial" w:eastAsia="Arial" w:hAnsi="Arial"/>
          <w:b/>
          <w:bCs/>
          <w:color w:val="29ABE2"/>
          <w:sz w:val="28"/>
          <w:szCs w:val="2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526"/>
      </w:tblGrid>
      <w:tr>
        <w:tc>
          <w:tcPr>
            <w:tcW w:type="dxa" w:w="1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8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35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1.0</w:t>
            </w:r>
          </w:p>
        </w:tc>
        <w:tc>
          <w:tcPr>
            <w:tcW w:type="dxa" w:w="18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29/06/2026</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[Author]</w:t>
            </w:r>
          </w:p>
        </w:tc>
        <w:tc>
          <w:tcPr>
            <w:tcW w:type="dxa" w:w="35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Initial release</w:t>
            </w:r>
          </w:p>
        </w:tc>
      </w:tr>
    </w:tbl>
    <w:p>
      <w:r>
        <w:br w:type="page"/>
      </w:r>
    </w:p>
    <w:p>
      <w:pPr>
        <w:pStyle w:val="Heading1"/>
        <w:spacing w:after="120" w:before="300"/>
      </w:pPr>
      <w:r>
        <w:rPr>
          <w:rFonts w:ascii="Arial" w:cs="Arial" w:eastAsia="Arial" w:hAnsi="Arial"/>
          <w:b/>
          <w:bCs/>
          <w:color w:val="29ABE2"/>
          <w:sz w:val="28"/>
          <w:szCs w:val="28"/>
        </w:rPr>
        <w:t xml:space="preserve">1. Introduction</w:t>
      </w:r>
    </w:p>
    <w:p>
      <w:pPr>
        <w:spacing w:after="80" w:before="80"/>
      </w:pPr>
      <w:r>
        <w:rPr>
          <w:rFonts w:ascii="Arial" w:cs="Arial" w:eastAsia="Arial" w:hAnsi="Arial"/>
          <w:color w:val="5B595A"/>
          <w:sz w:val="20"/>
          <w:szCs w:val="20"/>
        </w:rPr>
        <w:t xml:space="preserve">Nuclear supply chain organisations generate and handle significant volumes of sensitive information: technical drawings, inspection reports, quality records, manufacturing procedures, material certifications, safety case contributions and commercial data. This guide provides practical guidance on protecting this information and any intellectual property developed in connection with nuclear programme work.</w:t>
      </w:r>
    </w:p>
    <w:p>
      <w:pPr>
        <w:spacing w:after="80" w:before="80"/>
      </w:pPr>
      <w:r>
        <w:rPr>
          <w:rFonts w:ascii="Arial" w:cs="Arial" w:eastAsia="Arial" w:hAnsi="Arial"/>
          <w:color w:val="5B595A"/>
          <w:sz w:val="20"/>
          <w:szCs w:val="20"/>
        </w:rPr>
        <w:t xml:space="preserve">Intellectual property (IP) developed during nuclear contracts may include novel manufacturing techniques, tooling designs, process innovations, software tools or other proprietary knowledge. Protecting this IP requires deliberate action from the point of creation.</w:t>
      </w:r>
    </w:p>
    <w:p>
      <w:pPr>
        <w:spacing w:after="120" w:before="120"/>
      </w:pPr>
      <w:r>
        <w:rPr>
          <w:rFonts w:ascii="Arial" w:cs="Arial" w:eastAsia="Arial" w:hAnsi="Arial"/>
          <w:i/>
          <w:iCs/>
          <w:color w:val="83348F"/>
          <w:sz w:val="20"/>
          <w:szCs w:val="20"/>
        </w:rPr>
        <w:t xml:space="preserve">Information that leaves our control without authorisation cannot be recalled. Prevention is the only effective strategy.</w:t>
      </w:r>
    </w:p>
    <w:p>
      <w:pPr>
        <w:pStyle w:val="Heading1"/>
        <w:spacing w:after="120" w:before="300"/>
      </w:pPr>
      <w:r>
        <w:rPr>
          <w:rFonts w:ascii="Arial" w:cs="Arial" w:eastAsia="Arial" w:hAnsi="Arial"/>
          <w:b/>
          <w:bCs/>
          <w:color w:val="29ABE2"/>
          <w:sz w:val="28"/>
          <w:szCs w:val="28"/>
        </w:rPr>
        <w:t xml:space="preserve">2. Identifying What Needs Protection</w:t>
      </w:r>
    </w:p>
    <w:p>
      <w:pPr>
        <w:pStyle w:val="Heading2"/>
        <w:spacing w:after="100" w:before="200"/>
      </w:pPr>
      <w:r>
        <w:rPr>
          <w:rFonts w:ascii="Arial" w:cs="Arial" w:eastAsia="Arial" w:hAnsi="Arial"/>
          <w:b/>
          <w:bCs/>
          <w:color w:val="7B2D8B"/>
          <w:sz w:val="24"/>
          <w:szCs w:val="24"/>
        </w:rPr>
        <w:t xml:space="preserve">2.1 Client-Owned Sensitive Documents</w:t>
      </w:r>
    </w:p>
    <w:p>
      <w:pPr>
        <w:spacing w:after="80" w:before="80"/>
      </w:pPr>
      <w:r>
        <w:rPr>
          <w:rFonts w:ascii="Arial" w:cs="Arial" w:eastAsia="Arial" w:hAnsi="Arial"/>
          <w:color w:val="5B595A"/>
          <w:sz w:val="20"/>
          <w:szCs w:val="20"/>
        </w:rPr>
        <w:t xml:space="preserve">Documents received from or created for nuclear clients typically carry confidentiality obligations as a condition of contract. These include:</w:t>
      </w:r>
    </w:p>
    <w:p>
      <w:pPr>
        <w:pStyle w:val="ListParagraph"/>
        <w:numPr>
          <w:ilvl w:val="0"/>
          <w:numId w:val="2"/>
        </w:numPr>
        <w:spacing w:after="60" w:before="60"/>
      </w:pPr>
      <w:r>
        <w:rPr>
          <w:rFonts w:ascii="Arial" w:cs="Arial" w:eastAsia="Arial" w:hAnsi="Arial"/>
          <w:color w:val="5B595A"/>
          <w:sz w:val="20"/>
          <w:szCs w:val="20"/>
        </w:rPr>
        <w:t xml:space="preserve">Technical specifications, drawings and design documentation.</w:t>
      </w:r>
    </w:p>
    <w:p>
      <w:pPr>
        <w:pStyle w:val="ListParagraph"/>
        <w:numPr>
          <w:ilvl w:val="0"/>
          <w:numId w:val="2"/>
        </w:numPr>
        <w:spacing w:after="60" w:before="60"/>
      </w:pPr>
      <w:r>
        <w:rPr>
          <w:rFonts w:ascii="Arial" w:cs="Arial" w:eastAsia="Arial" w:hAnsi="Arial"/>
          <w:color w:val="5B595A"/>
          <w:sz w:val="20"/>
          <w:szCs w:val="20"/>
        </w:rPr>
        <w:t xml:space="preserve">Safety case materials and supporting analysis.</w:t>
      </w:r>
    </w:p>
    <w:p>
      <w:pPr>
        <w:pStyle w:val="ListParagraph"/>
        <w:numPr>
          <w:ilvl w:val="0"/>
          <w:numId w:val="2"/>
        </w:numPr>
        <w:spacing w:after="60" w:before="60"/>
      </w:pPr>
      <w:r>
        <w:rPr>
          <w:rFonts w:ascii="Arial" w:cs="Arial" w:eastAsia="Arial" w:hAnsi="Arial"/>
          <w:color w:val="5B595A"/>
          <w:sz w:val="20"/>
          <w:szCs w:val="20"/>
        </w:rPr>
        <w:t xml:space="preserve">Quality plans, inspection and test plans, and quality records.</w:t>
      </w:r>
    </w:p>
    <w:p>
      <w:pPr>
        <w:pStyle w:val="ListParagraph"/>
        <w:numPr>
          <w:ilvl w:val="0"/>
          <w:numId w:val="2"/>
        </w:numPr>
        <w:spacing w:after="60" w:before="60"/>
      </w:pPr>
      <w:r>
        <w:rPr>
          <w:rFonts w:ascii="Arial" w:cs="Arial" w:eastAsia="Arial" w:hAnsi="Arial"/>
          <w:color w:val="5B595A"/>
          <w:sz w:val="20"/>
          <w:szCs w:val="20"/>
        </w:rPr>
        <w:t xml:space="preserve">Contract terms, pricing and programme schedule information.</w:t>
      </w:r>
    </w:p>
    <w:p>
      <w:pPr>
        <w:pStyle w:val="ListParagraph"/>
        <w:numPr>
          <w:ilvl w:val="0"/>
          <w:numId w:val="2"/>
        </w:numPr>
        <w:spacing w:after="60" w:before="60"/>
      </w:pPr>
      <w:r>
        <w:rPr>
          <w:rFonts w:ascii="Arial" w:cs="Arial" w:eastAsia="Arial" w:hAnsi="Arial"/>
          <w:color w:val="5B595A"/>
          <w:sz w:val="20"/>
          <w:szCs w:val="20"/>
        </w:rPr>
        <w:t xml:space="preserve">Site security plans and access arrangements.</w:t>
      </w:r>
    </w:p>
    <w:p>
      <w:pPr>
        <w:pStyle w:val="ListParagraph"/>
        <w:numPr>
          <w:ilvl w:val="0"/>
          <w:numId w:val="2"/>
        </w:numPr>
        <w:spacing w:after="60" w:before="60"/>
      </w:pPr>
      <w:r>
        <w:rPr>
          <w:rFonts w:ascii="Arial" w:cs="Arial" w:eastAsia="Arial" w:hAnsi="Arial"/>
          <w:color w:val="5B595A"/>
          <w:sz w:val="20"/>
          <w:szCs w:val="20"/>
        </w:rPr>
        <w:t xml:space="preserve">Non-conformance reports and corrective action records.</w:t>
      </w:r>
    </w:p>
    <w:p>
      <w:pPr>
        <w:spacing w:after="80" w:before="80"/>
      </w:pPr>
      <w:r>
        <w:rPr>
          <w:rFonts w:ascii="Arial" w:cs="Arial" w:eastAsia="Arial" w:hAnsi="Arial"/>
          <w:color w:val="5B595A"/>
          <w:sz w:val="20"/>
          <w:szCs w:val="20"/>
        </w:rPr>
        <w:t xml:space="preserve">The contract or purchase order will typically specify confidentiality obligations. Where it does not, COMMERCIAL IN CONFIDENCE as a minimum applies.</w:t>
      </w:r>
    </w:p>
    <w:p>
      <w:pPr>
        <w:pStyle w:val="Heading2"/>
        <w:spacing w:after="100" w:before="200"/>
      </w:pPr>
      <w:r>
        <w:rPr>
          <w:rFonts w:ascii="Arial" w:cs="Arial" w:eastAsia="Arial" w:hAnsi="Arial"/>
          <w:b/>
          <w:bCs/>
          <w:color w:val="7B2D8B"/>
          <w:sz w:val="24"/>
          <w:szCs w:val="24"/>
        </w:rPr>
        <w:t xml:space="preserve">2.2 Company-Owned Intellectual Property</w:t>
      </w:r>
    </w:p>
    <w:p>
      <w:pPr>
        <w:spacing w:after="80" w:before="80"/>
      </w:pPr>
      <w:r>
        <w:rPr>
          <w:rFonts w:ascii="Arial" w:cs="Arial" w:eastAsia="Arial" w:hAnsi="Arial"/>
          <w:color w:val="5B595A"/>
          <w:sz w:val="20"/>
          <w:szCs w:val="20"/>
        </w:rPr>
        <w:t xml:space="preserve">IP generated by [Company Name] in the course of nuclear programme work may include:</w:t>
      </w:r>
    </w:p>
    <w:p>
      <w:pPr>
        <w:pStyle w:val="ListParagraph"/>
        <w:numPr>
          <w:ilvl w:val="0"/>
          <w:numId w:val="2"/>
        </w:numPr>
        <w:spacing w:after="60" w:before="60"/>
      </w:pPr>
      <w:r>
        <w:rPr>
          <w:rFonts w:ascii="Arial" w:cs="Arial" w:eastAsia="Arial" w:hAnsi="Arial"/>
          <w:color w:val="5B595A"/>
          <w:sz w:val="20"/>
          <w:szCs w:val="20"/>
        </w:rPr>
        <w:t xml:space="preserve">Novel manufacturing or fabrication techniques developed for nuclear requirements.</w:t>
      </w:r>
    </w:p>
    <w:p>
      <w:pPr>
        <w:pStyle w:val="ListParagraph"/>
        <w:numPr>
          <w:ilvl w:val="0"/>
          <w:numId w:val="2"/>
        </w:numPr>
        <w:spacing w:after="60" w:before="60"/>
      </w:pPr>
      <w:r>
        <w:rPr>
          <w:rFonts w:ascii="Arial" w:cs="Arial" w:eastAsia="Arial" w:hAnsi="Arial"/>
          <w:color w:val="5B595A"/>
          <w:sz w:val="20"/>
          <w:szCs w:val="20"/>
        </w:rPr>
        <w:t xml:space="preserve">Purpose-built tooling, fixtures or equipment designs.</w:t>
      </w:r>
    </w:p>
    <w:p>
      <w:pPr>
        <w:pStyle w:val="ListParagraph"/>
        <w:numPr>
          <w:ilvl w:val="0"/>
          <w:numId w:val="2"/>
        </w:numPr>
        <w:spacing w:after="60" w:before="60"/>
      </w:pPr>
      <w:r>
        <w:rPr>
          <w:rFonts w:ascii="Arial" w:cs="Arial" w:eastAsia="Arial" w:hAnsi="Arial"/>
          <w:color w:val="5B595A"/>
          <w:sz w:val="20"/>
          <w:szCs w:val="20"/>
        </w:rPr>
        <w:t xml:space="preserve">Software tools, calculation sheets or analytical methods.</w:t>
      </w:r>
    </w:p>
    <w:p>
      <w:pPr>
        <w:pStyle w:val="ListParagraph"/>
        <w:numPr>
          <w:ilvl w:val="0"/>
          <w:numId w:val="2"/>
        </w:numPr>
        <w:spacing w:after="60" w:before="60"/>
      </w:pPr>
      <w:r>
        <w:rPr>
          <w:rFonts w:ascii="Arial" w:cs="Arial" w:eastAsia="Arial" w:hAnsi="Arial"/>
          <w:color w:val="5B595A"/>
          <w:sz w:val="20"/>
          <w:szCs w:val="20"/>
        </w:rPr>
        <w:t xml:space="preserve">Proprietary process knowledge, including traceability systems or quality control methods.</w:t>
      </w:r>
    </w:p>
    <w:p>
      <w:pPr>
        <w:pStyle w:val="ListParagraph"/>
        <w:numPr>
          <w:ilvl w:val="0"/>
          <w:numId w:val="2"/>
        </w:numPr>
        <w:spacing w:after="60" w:before="60"/>
      </w:pPr>
      <w:r>
        <w:rPr>
          <w:rFonts w:ascii="Arial" w:cs="Arial" w:eastAsia="Arial" w:hAnsi="Arial"/>
          <w:color w:val="5B595A"/>
          <w:sz w:val="20"/>
          <w:szCs w:val="20"/>
        </w:rPr>
        <w:t xml:space="preserve">Training materials, competency frameworks and procedures developed internally.</w:t>
      </w:r>
    </w:p>
    <w:p>
      <w:pPr>
        <w:spacing w:after="80" w:before="80"/>
      </w:pPr>
      <w:r>
        <w:rPr>
          <w:rFonts w:ascii="Arial" w:cs="Arial" w:eastAsia="Arial" w:hAnsi="Arial"/>
          <w:color w:val="5B595A"/>
          <w:sz w:val="20"/>
          <w:szCs w:val="20"/>
        </w:rPr>
        <w:t xml:space="preserve">Ownership of IP developed during a nuclear contract can be complex. The contract terms will specify whether IP developed specifically for the client vests in the client or is retained by [Company Name] under licence. Legal advice shall be sought where ownership is unclear.</w:t>
      </w:r>
    </w:p>
    <w:p>
      <w:pPr>
        <w:pStyle w:val="Heading1"/>
        <w:spacing w:after="120" w:before="300"/>
      </w:pPr>
      <w:r>
        <w:rPr>
          <w:rFonts w:ascii="Arial" w:cs="Arial" w:eastAsia="Arial" w:hAnsi="Arial"/>
          <w:b/>
          <w:bCs/>
          <w:color w:val="29ABE2"/>
          <w:sz w:val="28"/>
          <w:szCs w:val="28"/>
        </w:rPr>
        <w:t xml:space="preserve">3. Physical Document Controls</w:t>
      </w:r>
    </w:p>
    <w:p>
      <w:pPr>
        <w:pStyle w:val="Heading2"/>
        <w:spacing w:after="100" w:before="200"/>
      </w:pPr>
      <w:r>
        <w:rPr>
          <w:rFonts w:ascii="Arial" w:cs="Arial" w:eastAsia="Arial" w:hAnsi="Arial"/>
          <w:b/>
          <w:bCs/>
          <w:color w:val="7B2D8B"/>
          <w:sz w:val="24"/>
          <w:szCs w:val="24"/>
        </w:rPr>
        <w:t xml:space="preserve">3.1 Storage and Access</w:t>
      </w:r>
    </w:p>
    <w:p>
      <w:pPr>
        <w:pStyle w:val="ListParagraph"/>
        <w:numPr>
          <w:ilvl w:val="0"/>
          <w:numId w:val="2"/>
        </w:numPr>
        <w:spacing w:after="60" w:before="60"/>
      </w:pPr>
      <w:r>
        <w:rPr>
          <w:rFonts w:ascii="Arial" w:cs="Arial" w:eastAsia="Arial" w:hAnsi="Arial"/>
          <w:color w:val="5B595A"/>
          <w:sz w:val="20"/>
          <w:szCs w:val="20"/>
        </w:rPr>
        <w:t xml:space="preserve">Physical copies of RESTRICTED and above documents shall be stored in a locked cabinet or dedicated secure area when not in use.</w:t>
      </w:r>
    </w:p>
    <w:p>
      <w:pPr>
        <w:pStyle w:val="ListParagraph"/>
        <w:numPr>
          <w:ilvl w:val="0"/>
          <w:numId w:val="2"/>
        </w:numPr>
        <w:spacing w:after="60" w:before="60"/>
      </w:pPr>
      <w:r>
        <w:rPr>
          <w:rFonts w:ascii="Arial" w:cs="Arial" w:eastAsia="Arial" w:hAnsi="Arial"/>
          <w:color w:val="5B595A"/>
          <w:sz w:val="20"/>
          <w:szCs w:val="20"/>
        </w:rPr>
        <w:t xml:space="preserve">Access to the secure storage area is restricted to named individuals and recorded in an access log.</w:t>
      </w:r>
    </w:p>
    <w:p>
      <w:pPr>
        <w:pStyle w:val="ListParagraph"/>
        <w:numPr>
          <w:ilvl w:val="0"/>
          <w:numId w:val="2"/>
        </w:numPr>
        <w:spacing w:after="60" w:before="60"/>
      </w:pPr>
      <w:r>
        <w:rPr>
          <w:rFonts w:ascii="Arial" w:cs="Arial" w:eastAsia="Arial" w:hAnsi="Arial"/>
          <w:color w:val="5B595A"/>
          <w:sz w:val="20"/>
          <w:szCs w:val="20"/>
        </w:rPr>
        <w:t xml:space="preserve">Nuclear technical documents shall not be left unattended in open areas, meeting rooms or common spaces.</w:t>
      </w:r>
    </w:p>
    <w:p>
      <w:pPr>
        <w:pStyle w:val="ListParagraph"/>
        <w:numPr>
          <w:ilvl w:val="0"/>
          <w:numId w:val="2"/>
        </w:numPr>
        <w:spacing w:after="60" w:before="60"/>
      </w:pPr>
      <w:r>
        <w:rPr>
          <w:rFonts w:ascii="Arial" w:cs="Arial" w:eastAsia="Arial" w:hAnsi="Arial"/>
          <w:color w:val="5B595A"/>
          <w:sz w:val="20"/>
          <w:szCs w:val="20"/>
        </w:rPr>
        <w:t xml:space="preserve">Whiteboards and flip charts used in technical discussions involving sensitive content shall be photographed and erased at the end of the session.</w:t>
      </w:r>
    </w:p>
    <w:p>
      <w:pPr>
        <w:pStyle w:val="Heading2"/>
        <w:spacing w:after="100" w:before="200"/>
      </w:pPr>
      <w:r>
        <w:rPr>
          <w:rFonts w:ascii="Arial" w:cs="Arial" w:eastAsia="Arial" w:hAnsi="Arial"/>
          <w:b/>
          <w:bCs/>
          <w:color w:val="7B2D8B"/>
          <w:sz w:val="24"/>
          <w:szCs w:val="24"/>
        </w:rPr>
        <w:t xml:space="preserve">3.2 Printing and Copying</w:t>
      </w:r>
    </w:p>
    <w:p>
      <w:pPr>
        <w:pStyle w:val="ListParagraph"/>
        <w:numPr>
          <w:ilvl w:val="0"/>
          <w:numId w:val="2"/>
        </w:numPr>
        <w:spacing w:after="60" w:before="60"/>
      </w:pPr>
      <w:r>
        <w:rPr>
          <w:rFonts w:ascii="Arial" w:cs="Arial" w:eastAsia="Arial" w:hAnsi="Arial"/>
          <w:color w:val="5B595A"/>
          <w:sz w:val="20"/>
          <w:szCs w:val="20"/>
        </w:rPr>
        <w:t xml:space="preserve">Printing of RESTRICTED and above documents requires authorisation from the document owner.</w:t>
      </w:r>
    </w:p>
    <w:p>
      <w:pPr>
        <w:pStyle w:val="ListParagraph"/>
        <w:numPr>
          <w:ilvl w:val="0"/>
          <w:numId w:val="2"/>
        </w:numPr>
        <w:spacing w:after="60" w:before="60"/>
      </w:pPr>
      <w:r>
        <w:rPr>
          <w:rFonts w:ascii="Arial" w:cs="Arial" w:eastAsia="Arial" w:hAnsi="Arial"/>
          <w:color w:val="5B595A"/>
          <w:sz w:val="20"/>
          <w:szCs w:val="20"/>
        </w:rPr>
        <w:t xml:space="preserve">Print jobs containing sensitive content shall be collected from the printer immediately. Unattended print jobs are a significant risk.</w:t>
      </w:r>
    </w:p>
    <w:p>
      <w:pPr>
        <w:pStyle w:val="ListParagraph"/>
        <w:numPr>
          <w:ilvl w:val="0"/>
          <w:numId w:val="2"/>
        </w:numPr>
        <w:spacing w:after="60" w:before="60"/>
      </w:pPr>
      <w:r>
        <w:rPr>
          <w:rFonts w:ascii="Arial" w:cs="Arial" w:eastAsia="Arial" w:hAnsi="Arial"/>
          <w:color w:val="5B595A"/>
          <w:sz w:val="20"/>
          <w:szCs w:val="20"/>
        </w:rPr>
        <w:t xml:space="preserve">Copying of client-owned documents is subject to the terms of the relevant contract. Where copying is not addressed, authorisation from the client shall be sought.</w:t>
      </w:r>
    </w:p>
    <w:p>
      <w:pPr>
        <w:pStyle w:val="ListParagraph"/>
        <w:numPr>
          <w:ilvl w:val="0"/>
          <w:numId w:val="2"/>
        </w:numPr>
        <w:spacing w:after="60" w:before="60"/>
      </w:pPr>
      <w:r>
        <w:rPr>
          <w:rFonts w:ascii="Arial" w:cs="Arial" w:eastAsia="Arial" w:hAnsi="Arial"/>
          <w:color w:val="5B595A"/>
          <w:sz w:val="20"/>
          <w:szCs w:val="20"/>
        </w:rPr>
        <w:t xml:space="preserve">All printed copies shall be tracked. The Information Owner maintains a log of authorised copies in circulation.</w:t>
      </w:r>
    </w:p>
    <w:p>
      <w:pPr>
        <w:pStyle w:val="Heading2"/>
        <w:spacing w:after="100" w:before="200"/>
      </w:pPr>
      <w:r>
        <w:rPr>
          <w:rFonts w:ascii="Arial" w:cs="Arial" w:eastAsia="Arial" w:hAnsi="Arial"/>
          <w:b/>
          <w:bCs/>
          <w:color w:val="7B2D8B"/>
          <w:sz w:val="24"/>
          <w:szCs w:val="24"/>
        </w:rPr>
        <w:t xml:space="preserve">3.3 Disposal</w:t>
      </w:r>
    </w:p>
    <w:p>
      <w:pPr>
        <w:pStyle w:val="ListParagraph"/>
        <w:numPr>
          <w:ilvl w:val="0"/>
          <w:numId w:val="2"/>
        </w:numPr>
        <w:spacing w:after="60" w:before="60"/>
      </w:pPr>
      <w:r>
        <w:rPr>
          <w:rFonts w:ascii="Arial" w:cs="Arial" w:eastAsia="Arial" w:hAnsi="Arial"/>
          <w:color w:val="5B595A"/>
          <w:sz w:val="20"/>
          <w:szCs w:val="20"/>
        </w:rPr>
        <w:t xml:space="preserve">Physical documents classified COMMERCIAL IN CONFIDENCE and above shall be disposed of by cross-cut shredding or through the company's confidential waste contractor.</w:t>
      </w:r>
    </w:p>
    <w:p>
      <w:pPr>
        <w:pStyle w:val="ListParagraph"/>
        <w:numPr>
          <w:ilvl w:val="0"/>
          <w:numId w:val="2"/>
        </w:numPr>
        <w:spacing w:after="60" w:before="60"/>
      </w:pPr>
      <w:r>
        <w:rPr>
          <w:rFonts w:ascii="Arial" w:cs="Arial" w:eastAsia="Arial" w:hAnsi="Arial"/>
          <w:color w:val="5B595A"/>
          <w:sz w:val="20"/>
          <w:szCs w:val="20"/>
        </w:rPr>
        <w:t xml:space="preserve">RESTRICTED and above documents shall be witnessed-shredded on site. A destruction record is completed and retained.</w:t>
      </w:r>
    </w:p>
    <w:p>
      <w:pPr>
        <w:pStyle w:val="ListParagraph"/>
        <w:numPr>
          <w:ilvl w:val="0"/>
          <w:numId w:val="2"/>
        </w:numPr>
        <w:spacing w:after="60" w:before="60"/>
      </w:pPr>
      <w:r>
        <w:rPr>
          <w:rFonts w:ascii="Arial" w:cs="Arial" w:eastAsia="Arial" w:hAnsi="Arial"/>
          <w:color w:val="5B595A"/>
          <w:sz w:val="20"/>
          <w:szCs w:val="20"/>
        </w:rPr>
        <w:t xml:space="preserve">The destruction record includes: document reference, classification, number of pages, date of destruction and witness signature.</w:t>
      </w:r>
    </w:p>
    <w:p>
      <w:pPr>
        <w:pStyle w:val="Heading1"/>
        <w:spacing w:after="120" w:before="300"/>
      </w:pPr>
      <w:r>
        <w:rPr>
          <w:rFonts w:ascii="Arial" w:cs="Arial" w:eastAsia="Arial" w:hAnsi="Arial"/>
          <w:b/>
          <w:bCs/>
          <w:color w:val="29ABE2"/>
          <w:sz w:val="28"/>
          <w:szCs w:val="28"/>
        </w:rPr>
        <w:t xml:space="preserve">4. Electronic Document Controls</w:t>
      </w:r>
    </w:p>
    <w:p>
      <w:pPr>
        <w:pStyle w:val="Heading2"/>
        <w:spacing w:after="100" w:before="200"/>
      </w:pPr>
      <w:r>
        <w:rPr>
          <w:rFonts w:ascii="Arial" w:cs="Arial" w:eastAsia="Arial" w:hAnsi="Arial"/>
          <w:b/>
          <w:bCs/>
          <w:color w:val="7B2D8B"/>
          <w:sz w:val="24"/>
          <w:szCs w:val="24"/>
        </w:rPr>
        <w:t xml:space="preserve">4.1 Document Management</w:t>
      </w:r>
    </w:p>
    <w:p>
      <w:pPr>
        <w:pStyle w:val="ListParagraph"/>
        <w:numPr>
          <w:ilvl w:val="0"/>
          <w:numId w:val="2"/>
        </w:numPr>
        <w:spacing w:after="60" w:before="60"/>
      </w:pPr>
      <w:r>
        <w:rPr>
          <w:rFonts w:ascii="Arial" w:cs="Arial" w:eastAsia="Arial" w:hAnsi="Arial"/>
          <w:color w:val="5B595A"/>
          <w:sz w:val="20"/>
          <w:szCs w:val="20"/>
        </w:rPr>
        <w:t xml:space="preserve">Nuclear programme documents shall be stored in the company document management system (DMS) with appropriate access controls applied.</w:t>
      </w:r>
    </w:p>
    <w:p>
      <w:pPr>
        <w:pStyle w:val="ListParagraph"/>
        <w:numPr>
          <w:ilvl w:val="0"/>
          <w:numId w:val="2"/>
        </w:numPr>
        <w:spacing w:after="60" w:before="60"/>
      </w:pPr>
      <w:r>
        <w:rPr>
          <w:rFonts w:ascii="Arial" w:cs="Arial" w:eastAsia="Arial" w:hAnsi="Arial"/>
          <w:color w:val="5B595A"/>
          <w:sz w:val="20"/>
          <w:szCs w:val="20"/>
        </w:rPr>
        <w:t xml:space="preserve">The DMS shall record version history, access log and distribution record for all RESTRICTED and above documents.</w:t>
      </w:r>
    </w:p>
    <w:p>
      <w:pPr>
        <w:pStyle w:val="ListParagraph"/>
        <w:numPr>
          <w:ilvl w:val="0"/>
          <w:numId w:val="2"/>
        </w:numPr>
        <w:spacing w:after="60" w:before="60"/>
      </w:pPr>
      <w:r>
        <w:rPr>
          <w:rFonts w:ascii="Arial" w:cs="Arial" w:eastAsia="Arial" w:hAnsi="Arial"/>
          <w:color w:val="5B595A"/>
          <w:sz w:val="20"/>
          <w:szCs w:val="20"/>
        </w:rPr>
        <w:t xml:space="preserve">Personal desktop storage (local drives) shall not be used for nuclear programme documents of RESTRICTED classification or above.</w:t>
      </w:r>
    </w:p>
    <w:p>
      <w:pPr>
        <w:pStyle w:val="ListParagraph"/>
        <w:numPr>
          <w:ilvl w:val="0"/>
          <w:numId w:val="2"/>
        </w:numPr>
        <w:spacing w:after="60" w:before="60"/>
      </w:pPr>
      <w:r>
        <w:rPr>
          <w:rFonts w:ascii="Arial" w:cs="Arial" w:eastAsia="Arial" w:hAnsi="Arial"/>
          <w:color w:val="5B595A"/>
          <w:sz w:val="20"/>
          <w:szCs w:val="20"/>
        </w:rPr>
        <w:t xml:space="preserve">Documents shall not be stored on personal cloud accounts such as personal Google Drive, iCloud or Dropbox.</w:t>
      </w:r>
    </w:p>
    <w:p>
      <w:pPr>
        <w:pStyle w:val="Heading2"/>
        <w:spacing w:after="100" w:before="200"/>
      </w:pPr>
      <w:r>
        <w:rPr>
          <w:rFonts w:ascii="Arial" w:cs="Arial" w:eastAsia="Arial" w:hAnsi="Arial"/>
          <w:b/>
          <w:bCs/>
          <w:color w:val="7B2D8B"/>
          <w:sz w:val="24"/>
          <w:szCs w:val="24"/>
        </w:rPr>
        <w:t xml:space="preserve">4.2 File Naming and Metadata</w:t>
      </w:r>
    </w:p>
    <w:p>
      <w:pPr>
        <w:pStyle w:val="ListParagraph"/>
        <w:numPr>
          <w:ilvl w:val="0"/>
          <w:numId w:val="2"/>
        </w:numPr>
        <w:spacing w:after="60" w:before="60"/>
      </w:pPr>
      <w:r>
        <w:rPr>
          <w:rFonts w:ascii="Arial" w:cs="Arial" w:eastAsia="Arial" w:hAnsi="Arial"/>
          <w:color w:val="5B595A"/>
          <w:sz w:val="20"/>
          <w:szCs w:val="20"/>
        </w:rPr>
        <w:t xml:space="preserve">Nuclear programme documents shall follow the document numbering convention specified in the contract or in the company quality plan.</w:t>
      </w:r>
    </w:p>
    <w:p>
      <w:pPr>
        <w:pStyle w:val="ListParagraph"/>
        <w:numPr>
          <w:ilvl w:val="0"/>
          <w:numId w:val="2"/>
        </w:numPr>
        <w:spacing w:after="60" w:before="60"/>
      </w:pPr>
      <w:r>
        <w:rPr>
          <w:rFonts w:ascii="Arial" w:cs="Arial" w:eastAsia="Arial" w:hAnsi="Arial"/>
          <w:color w:val="5B595A"/>
          <w:sz w:val="20"/>
          <w:szCs w:val="20"/>
        </w:rPr>
        <w:t xml:space="preserve">File names shall not include client names, site names or project-specific identifiers in locations where unauthorised users could see directory listings.</w:t>
      </w:r>
    </w:p>
    <w:p>
      <w:pPr>
        <w:pStyle w:val="ListParagraph"/>
        <w:numPr>
          <w:ilvl w:val="0"/>
          <w:numId w:val="2"/>
        </w:numPr>
        <w:spacing w:after="60" w:before="60"/>
      </w:pPr>
      <w:r>
        <w:rPr>
          <w:rFonts w:ascii="Arial" w:cs="Arial" w:eastAsia="Arial" w:hAnsi="Arial"/>
          <w:color w:val="5B595A"/>
          <w:sz w:val="20"/>
          <w:szCs w:val="20"/>
        </w:rPr>
        <w:t xml:space="preserve">Document metadata shall be reviewed before external distribution. Metadata can contain author names, company names, revision history and comments that may be sensitive.</w:t>
      </w:r>
    </w:p>
    <w:p>
      <w:pPr>
        <w:spacing w:after="80" w:before="80"/>
      </w:pPr>
      <w:r>
        <w:rPr>
          <w:rFonts w:ascii="Arial" w:cs="Arial" w:eastAsia="Arial" w:hAnsi="Arial"/>
          <w:color w:val="5B595A"/>
          <w:sz w:val="20"/>
          <w:szCs w:val="20"/>
        </w:rPr>
        <w:t xml:space="preserve">To check and remove metadata from a Microsoft Word document: File, Info, Check for Issues, Inspect Document. Run the Document Inspector and remove personal information before sending externally.</w:t>
      </w:r>
    </w:p>
    <w:p>
      <w:pPr>
        <w:pStyle w:val="Heading2"/>
        <w:spacing w:after="100" w:before="200"/>
      </w:pPr>
      <w:r>
        <w:rPr>
          <w:rFonts w:ascii="Arial" w:cs="Arial" w:eastAsia="Arial" w:hAnsi="Arial"/>
          <w:b/>
          <w:bCs/>
          <w:color w:val="7B2D8B"/>
          <w:sz w:val="24"/>
          <w:szCs w:val="24"/>
        </w:rPr>
        <w:t xml:space="preserve">4.3 Electronic Transmission</w:t>
      </w:r>
    </w:p>
    <w:p>
      <w:pPr>
        <w:pStyle w:val="ListParagraph"/>
        <w:numPr>
          <w:ilvl w:val="0"/>
          <w:numId w:val="2"/>
        </w:numPr>
        <w:spacing w:after="60" w:before="60"/>
      </w:pPr>
      <w:r>
        <w:rPr>
          <w:rFonts w:ascii="Arial" w:cs="Arial" w:eastAsia="Arial" w:hAnsi="Arial"/>
          <w:color w:val="5B595A"/>
          <w:sz w:val="20"/>
          <w:szCs w:val="20"/>
        </w:rPr>
        <w:t xml:space="preserve">RESTRICTED and above documents shall only be transmitted to external recipients via an encrypted channel. Acceptable methods include: password-protected zip files with the password shared by a separate channel, secure file transfer platforms, and client-specified secure portals.</w:t>
      </w:r>
    </w:p>
    <w:p>
      <w:pPr>
        <w:pStyle w:val="ListParagraph"/>
        <w:numPr>
          <w:ilvl w:val="0"/>
          <w:numId w:val="2"/>
        </w:numPr>
        <w:spacing w:after="60" w:before="60"/>
      </w:pPr>
      <w:r>
        <w:rPr>
          <w:rFonts w:ascii="Arial" w:cs="Arial" w:eastAsia="Arial" w:hAnsi="Arial"/>
          <w:color w:val="5B595A"/>
          <w:sz w:val="20"/>
          <w:szCs w:val="20"/>
        </w:rPr>
        <w:t xml:space="preserve">Unencrypted email attachments are not acceptable for RESTRICTED and above content.</w:t>
      </w:r>
    </w:p>
    <w:p>
      <w:pPr>
        <w:pStyle w:val="ListParagraph"/>
        <w:numPr>
          <w:ilvl w:val="0"/>
          <w:numId w:val="2"/>
        </w:numPr>
        <w:spacing w:after="60" w:before="60"/>
      </w:pPr>
      <w:r>
        <w:rPr>
          <w:rFonts w:ascii="Arial" w:cs="Arial" w:eastAsia="Arial" w:hAnsi="Arial"/>
          <w:color w:val="5B595A"/>
          <w:sz w:val="20"/>
          <w:szCs w:val="20"/>
        </w:rPr>
        <w:t xml:space="preserve">All external distributions of nuclear programme documents are logged in the document management system, including recipient, date and file reference.</w:t>
      </w:r>
    </w:p>
    <w:p>
      <w:pPr>
        <w:pStyle w:val="Heading1"/>
        <w:spacing w:after="120" w:before="300"/>
      </w:pPr>
      <w:r>
        <w:rPr>
          <w:rFonts w:ascii="Arial" w:cs="Arial" w:eastAsia="Arial" w:hAnsi="Arial"/>
          <w:b/>
          <w:bCs/>
          <w:color w:val="29ABE2"/>
          <w:sz w:val="28"/>
          <w:szCs w:val="28"/>
        </w:rPr>
        <w:t xml:space="preserve">5. Intellectual Property Protection</w:t>
      </w:r>
    </w:p>
    <w:p>
      <w:pPr>
        <w:pStyle w:val="Heading2"/>
        <w:spacing w:after="100" w:before="200"/>
      </w:pPr>
      <w:r>
        <w:rPr>
          <w:rFonts w:ascii="Arial" w:cs="Arial" w:eastAsia="Arial" w:hAnsi="Arial"/>
          <w:b/>
          <w:bCs/>
          <w:color w:val="7B2D8B"/>
          <w:sz w:val="24"/>
          <w:szCs w:val="24"/>
        </w:rPr>
        <w:t xml:space="preserve">5.1 Establishing Ownership</w:t>
      </w:r>
    </w:p>
    <w:p>
      <w:pPr>
        <w:spacing w:after="80" w:before="80"/>
      </w:pPr>
      <w:r>
        <w:rPr>
          <w:rFonts w:ascii="Arial" w:cs="Arial" w:eastAsia="Arial" w:hAnsi="Arial"/>
          <w:color w:val="5B595A"/>
          <w:sz w:val="20"/>
          <w:szCs w:val="20"/>
        </w:rPr>
        <w:t xml:space="preserve">IP ownership shall be confirmed at contract inception. The following questions should be reviewed with the contract manager and, where necessary, legal counsel:</w:t>
      </w:r>
    </w:p>
    <w:p>
      <w:pPr>
        <w:pStyle w:val="ListParagraph"/>
        <w:numPr>
          <w:ilvl w:val="0"/>
          <w:numId w:val="3"/>
        </w:numPr>
        <w:spacing w:after="60" w:before="60"/>
      </w:pPr>
      <w:r>
        <w:rPr>
          <w:rFonts w:ascii="Arial" w:cs="Arial" w:eastAsia="Arial" w:hAnsi="Arial"/>
          <w:color w:val="5B595A"/>
          <w:sz w:val="20"/>
          <w:szCs w:val="20"/>
        </w:rPr>
        <w:t xml:space="preserve">Does the contract include provisions that transfer IP ownership to the client for work performed under the contract?</w:t>
      </w:r>
    </w:p>
    <w:p>
      <w:pPr>
        <w:pStyle w:val="ListParagraph"/>
        <w:numPr>
          <w:ilvl w:val="0"/>
          <w:numId w:val="3"/>
        </w:numPr>
        <w:spacing w:after="60" w:before="60"/>
      </w:pPr>
      <w:r>
        <w:rPr>
          <w:rFonts w:ascii="Arial" w:cs="Arial" w:eastAsia="Arial" w:hAnsi="Arial"/>
          <w:color w:val="5B595A"/>
          <w:sz w:val="20"/>
          <w:szCs w:val="20"/>
        </w:rPr>
        <w:t xml:space="preserve">Does the contract include a licence-back provision allowing [Company Name] to use the IP for other clients?</w:t>
      </w:r>
    </w:p>
    <w:p>
      <w:pPr>
        <w:pStyle w:val="ListParagraph"/>
        <w:numPr>
          <w:ilvl w:val="0"/>
          <w:numId w:val="3"/>
        </w:numPr>
        <w:spacing w:after="60" w:before="60"/>
      </w:pPr>
      <w:r>
        <w:rPr>
          <w:rFonts w:ascii="Arial" w:cs="Arial" w:eastAsia="Arial" w:hAnsi="Arial"/>
          <w:color w:val="5B595A"/>
          <w:sz w:val="20"/>
          <w:szCs w:val="20"/>
        </w:rPr>
        <w:t xml:space="preserve">Are there provisions relating to background IP, that is, IP we bring to the contract that predates the engagement?</w:t>
      </w:r>
    </w:p>
    <w:p>
      <w:pPr>
        <w:pStyle w:val="ListParagraph"/>
        <w:numPr>
          <w:ilvl w:val="0"/>
          <w:numId w:val="3"/>
        </w:numPr>
        <w:spacing w:after="60" w:before="60"/>
      </w:pPr>
      <w:r>
        <w:rPr>
          <w:rFonts w:ascii="Arial" w:cs="Arial" w:eastAsia="Arial" w:hAnsi="Arial"/>
          <w:color w:val="5B595A"/>
          <w:sz w:val="20"/>
          <w:szCs w:val="20"/>
        </w:rPr>
        <w:t xml:space="preserve">Are there restrictions on publishing, presenting or otherwise disclosing techniques or methods developed during the contract?</w:t>
      </w:r>
    </w:p>
    <w:p>
      <w:pPr>
        <w:spacing w:after="80" w:before="80"/>
      </w:pPr>
      <w:r>
        <w:rPr>
          <w:rFonts w:ascii="Arial" w:cs="Arial" w:eastAsia="Arial" w:hAnsi="Arial"/>
          <w:color w:val="5B595A"/>
          <w:sz w:val="20"/>
          <w:szCs w:val="20"/>
        </w:rPr>
        <w:t xml:space="preserve">Answers to these questions shall be documented in the contract review record and communicated to the relevant project team.</w:t>
      </w:r>
    </w:p>
    <w:p>
      <w:pPr>
        <w:pStyle w:val="Heading2"/>
        <w:spacing w:after="100" w:before="200"/>
      </w:pPr>
      <w:r>
        <w:rPr>
          <w:rFonts w:ascii="Arial" w:cs="Arial" w:eastAsia="Arial" w:hAnsi="Arial"/>
          <w:b/>
          <w:bCs/>
          <w:color w:val="7B2D8B"/>
          <w:sz w:val="24"/>
          <w:szCs w:val="24"/>
        </w:rPr>
        <w:t xml:space="preserve">5.2 Recording and Evidencing IP</w:t>
      </w:r>
    </w:p>
    <w:p>
      <w:pPr>
        <w:spacing w:after="80" w:before="80"/>
      </w:pPr>
      <w:r>
        <w:rPr>
          <w:rFonts w:ascii="Arial" w:cs="Arial" w:eastAsia="Arial" w:hAnsi="Arial"/>
          <w:color w:val="5B595A"/>
          <w:sz w:val="20"/>
          <w:szCs w:val="20"/>
        </w:rPr>
        <w:t xml:space="preserve">Where [Company Name] develops novel processes, methods or tools, the following steps are taken to establish and protect the IP:</w:t>
      </w:r>
    </w:p>
    <w:p>
      <w:pPr>
        <w:pStyle w:val="ListParagraph"/>
        <w:numPr>
          <w:ilvl w:val="0"/>
          <w:numId w:val="3"/>
        </w:numPr>
        <w:spacing w:after="60" w:before="60"/>
      </w:pPr>
      <w:r>
        <w:rPr>
          <w:rFonts w:ascii="Arial" w:cs="Arial" w:eastAsia="Arial" w:hAnsi="Arial"/>
          <w:color w:val="5B595A"/>
          <w:sz w:val="20"/>
          <w:szCs w:val="20"/>
        </w:rPr>
        <w:t xml:space="preserve">Record the development in an IP register, including the date of creation, the creator(s), the project context and a description of the innovation.</w:t>
      </w:r>
    </w:p>
    <w:p>
      <w:pPr>
        <w:pStyle w:val="ListParagraph"/>
        <w:numPr>
          <w:ilvl w:val="0"/>
          <w:numId w:val="3"/>
        </w:numPr>
        <w:spacing w:after="60" w:before="60"/>
      </w:pPr>
      <w:r>
        <w:rPr>
          <w:rFonts w:ascii="Arial" w:cs="Arial" w:eastAsia="Arial" w:hAnsi="Arial"/>
          <w:color w:val="5B595A"/>
          <w:sz w:val="20"/>
          <w:szCs w:val="20"/>
        </w:rPr>
        <w:t xml:space="preserve">Retain dated records of development activity, such as laboratory notebooks, design calculations and prototype records. These establish priority in the event of a dispute.</w:t>
      </w:r>
    </w:p>
    <w:p>
      <w:pPr>
        <w:pStyle w:val="ListParagraph"/>
        <w:numPr>
          <w:ilvl w:val="0"/>
          <w:numId w:val="3"/>
        </w:numPr>
        <w:spacing w:after="60" w:before="60"/>
      </w:pPr>
      <w:r>
        <w:rPr>
          <w:rFonts w:ascii="Arial" w:cs="Arial" w:eastAsia="Arial" w:hAnsi="Arial"/>
          <w:color w:val="5B595A"/>
          <w:sz w:val="20"/>
          <w:szCs w:val="20"/>
        </w:rPr>
        <w:t xml:space="preserve">Where formal IP protection such as patents is considered, engage a patent attorney before any public disclosure or publication.</w:t>
      </w:r>
    </w:p>
    <w:p>
      <w:pPr>
        <w:pStyle w:val="ListParagraph"/>
        <w:numPr>
          <w:ilvl w:val="0"/>
          <w:numId w:val="3"/>
        </w:numPr>
        <w:spacing w:after="60" w:before="60"/>
      </w:pPr>
      <w:r>
        <w:rPr>
          <w:rFonts w:ascii="Arial" w:cs="Arial" w:eastAsia="Arial" w:hAnsi="Arial"/>
          <w:color w:val="5B595A"/>
          <w:sz w:val="20"/>
          <w:szCs w:val="20"/>
        </w:rPr>
        <w:t xml:space="preserve">Mark documents containing proprietary methods with appropriate notices.</w:t>
      </w:r>
    </w:p>
    <w:p>
      <w:pPr>
        <w:pStyle w:val="Heading2"/>
        <w:spacing w:after="100" w:before="200"/>
      </w:pPr>
      <w:r>
        <w:rPr>
          <w:rFonts w:ascii="Arial" w:cs="Arial" w:eastAsia="Arial" w:hAnsi="Arial"/>
          <w:b/>
          <w:bCs/>
          <w:color w:val="7B2D8B"/>
          <w:sz w:val="24"/>
          <w:szCs w:val="24"/>
        </w:rPr>
        <w:t xml:space="preserve">5.3 Staff and Contractor Obligations</w:t>
      </w:r>
    </w:p>
    <w:p>
      <w:pPr>
        <w:pStyle w:val="ListParagraph"/>
        <w:numPr>
          <w:ilvl w:val="0"/>
          <w:numId w:val="2"/>
        </w:numPr>
        <w:spacing w:after="60" w:before="60"/>
      </w:pPr>
      <w:r>
        <w:rPr>
          <w:rFonts w:ascii="Arial" w:cs="Arial" w:eastAsia="Arial" w:hAnsi="Arial"/>
          <w:color w:val="5B595A"/>
          <w:sz w:val="20"/>
          <w:szCs w:val="20"/>
        </w:rPr>
        <w:t xml:space="preserve">All employees are subject to confidentiality obligations as a condition of employment. These obligations continue after employment ends.</w:t>
      </w:r>
    </w:p>
    <w:p>
      <w:pPr>
        <w:pStyle w:val="ListParagraph"/>
        <w:numPr>
          <w:ilvl w:val="0"/>
          <w:numId w:val="2"/>
        </w:numPr>
        <w:spacing w:after="60" w:before="60"/>
      </w:pPr>
      <w:r>
        <w:rPr>
          <w:rFonts w:ascii="Arial" w:cs="Arial" w:eastAsia="Arial" w:hAnsi="Arial"/>
          <w:color w:val="5B595A"/>
          <w:sz w:val="20"/>
          <w:szCs w:val="20"/>
        </w:rPr>
        <w:t xml:space="preserve">Contractors and consultants engaged on nuclear programme work shall sign a Non-Disclosure Agreement before being given access to sensitive information.</w:t>
      </w:r>
    </w:p>
    <w:p>
      <w:pPr>
        <w:pStyle w:val="ListParagraph"/>
        <w:numPr>
          <w:ilvl w:val="0"/>
          <w:numId w:val="2"/>
        </w:numPr>
        <w:spacing w:after="60" w:before="60"/>
      </w:pPr>
      <w:r>
        <w:rPr>
          <w:rFonts w:ascii="Arial" w:cs="Arial" w:eastAsia="Arial" w:hAnsi="Arial"/>
          <w:color w:val="5B595A"/>
          <w:sz w:val="20"/>
          <w:szCs w:val="20"/>
        </w:rPr>
        <w:t xml:space="preserve">Staff leaving the organisation shall be reminded of their ongoing confidentiality obligations as part of the leaving process. Line managers confirm this at exit interview.</w:t>
      </w:r>
    </w:p>
    <w:p>
      <w:pPr>
        <w:pStyle w:val="ListParagraph"/>
        <w:numPr>
          <w:ilvl w:val="0"/>
          <w:numId w:val="2"/>
        </w:numPr>
        <w:spacing w:after="60" w:before="60"/>
      </w:pPr>
      <w:r>
        <w:rPr>
          <w:rFonts w:ascii="Arial" w:cs="Arial" w:eastAsia="Arial" w:hAnsi="Arial"/>
          <w:color w:val="5B595A"/>
          <w:sz w:val="20"/>
          <w:szCs w:val="20"/>
        </w:rPr>
        <w:t xml:space="preserve">Departing staff are required to return all company and client information before their last working day. IT confirms the deletion of remote access and personal device data.</w:t>
      </w:r>
    </w:p>
    <w:p>
      <w:pPr>
        <w:pStyle w:val="Heading1"/>
        <w:spacing w:after="120" w:before="300"/>
      </w:pPr>
      <w:r>
        <w:rPr>
          <w:rFonts w:ascii="Arial" w:cs="Arial" w:eastAsia="Arial" w:hAnsi="Arial"/>
          <w:b/>
          <w:bCs/>
          <w:color w:val="29ABE2"/>
          <w:sz w:val="28"/>
          <w:szCs w:val="28"/>
        </w:rPr>
        <w:t xml:space="preserve">6. Visitor and Site Security</w:t>
      </w:r>
    </w:p>
    <w:p>
      <w:pPr>
        <w:spacing w:after="80" w:before="80"/>
      </w:pPr>
      <w:r>
        <w:rPr>
          <w:rFonts w:ascii="Arial" w:cs="Arial" w:eastAsia="Arial" w:hAnsi="Arial"/>
          <w:color w:val="5B595A"/>
          <w:sz w:val="20"/>
          <w:szCs w:val="20"/>
        </w:rPr>
        <w:t xml:space="preserve">When visitors attend company premises in connection with nuclear programme work, the following controls apply:</w:t>
      </w:r>
    </w:p>
    <w:p>
      <w:pPr>
        <w:pStyle w:val="ListParagraph"/>
        <w:numPr>
          <w:ilvl w:val="0"/>
          <w:numId w:val="2"/>
        </w:numPr>
        <w:spacing w:after="60" w:before="60"/>
      </w:pPr>
      <w:r>
        <w:rPr>
          <w:rFonts w:ascii="Arial" w:cs="Arial" w:eastAsia="Arial" w:hAnsi="Arial"/>
          <w:color w:val="5B595A"/>
          <w:sz w:val="20"/>
          <w:szCs w:val="20"/>
        </w:rPr>
        <w:t xml:space="preserve">Visitors are met at reception and escorted at all times in areas where nuclear programme work is conducted or displayed.</w:t>
      </w:r>
    </w:p>
    <w:p>
      <w:pPr>
        <w:pStyle w:val="ListParagraph"/>
        <w:numPr>
          <w:ilvl w:val="0"/>
          <w:numId w:val="2"/>
        </w:numPr>
        <w:spacing w:after="60" w:before="60"/>
      </w:pPr>
      <w:r>
        <w:rPr>
          <w:rFonts w:ascii="Arial" w:cs="Arial" w:eastAsia="Arial" w:hAnsi="Arial"/>
          <w:color w:val="5B595A"/>
          <w:sz w:val="20"/>
          <w:szCs w:val="20"/>
        </w:rPr>
        <w:t xml:space="preserve">Sensitive documents and screens shall be covered or locked before visitors enter the area.</w:t>
      </w:r>
    </w:p>
    <w:p>
      <w:pPr>
        <w:pStyle w:val="ListParagraph"/>
        <w:numPr>
          <w:ilvl w:val="0"/>
          <w:numId w:val="2"/>
        </w:numPr>
        <w:spacing w:after="60" w:before="60"/>
      </w:pPr>
      <w:r>
        <w:rPr>
          <w:rFonts w:ascii="Arial" w:cs="Arial" w:eastAsia="Arial" w:hAnsi="Arial"/>
          <w:color w:val="5B595A"/>
          <w:sz w:val="20"/>
          <w:szCs w:val="20"/>
        </w:rPr>
        <w:t xml:space="preserve">Visitors are required to sign a visitor confidentiality acknowledgement before entering controlled areas.</w:t>
      </w:r>
    </w:p>
    <w:p>
      <w:pPr>
        <w:pStyle w:val="ListParagraph"/>
        <w:numPr>
          <w:ilvl w:val="0"/>
          <w:numId w:val="2"/>
        </w:numPr>
        <w:spacing w:after="60" w:before="60"/>
      </w:pPr>
      <w:r>
        <w:rPr>
          <w:rFonts w:ascii="Arial" w:cs="Arial" w:eastAsia="Arial" w:hAnsi="Arial"/>
          <w:color w:val="5B595A"/>
          <w:sz w:val="20"/>
          <w:szCs w:val="20"/>
        </w:rPr>
        <w:t xml:space="preserve">Photography and recording in production or engineering areas requires prior written approval.</w:t>
      </w:r>
    </w:p>
    <w:p>
      <w:pPr>
        <w:pStyle w:val="Heading1"/>
        <w:spacing w:after="120" w:before="300"/>
      </w:pPr>
      <w:r>
        <w:rPr>
          <w:rFonts w:ascii="Arial" w:cs="Arial" w:eastAsia="Arial" w:hAnsi="Arial"/>
          <w:b/>
          <w:bCs/>
          <w:color w:val="29ABE2"/>
          <w:sz w:val="28"/>
          <w:szCs w:val="28"/>
        </w:rPr>
        <w:t xml:space="preserve">7. Non-Disclosure Agreements</w:t>
      </w:r>
    </w:p>
    <w:p>
      <w:pPr>
        <w:spacing w:after="80" w:before="80"/>
      </w:pPr>
      <w:r>
        <w:rPr>
          <w:rFonts w:ascii="Arial" w:cs="Arial" w:eastAsia="Arial" w:hAnsi="Arial"/>
          <w:color w:val="5B595A"/>
          <w:sz w:val="20"/>
          <w:szCs w:val="20"/>
        </w:rPr>
        <w:t xml:space="preserve">A Non-Disclosure Agreement (NDA) is required before sharing RESTRICTED or above information with any organisation that does not already have a contractual confidentiality obligation. The NDA shall be reviewed against the standard template before use. Any deviations from the standard template require approval from senior management.</w:t>
      </w:r>
    </w:p>
    <w:p>
      <w:pPr>
        <w:spacing w:after="80" w:before="80"/>
      </w:pPr>
      <w:r>
        <w:rPr>
          <w:rFonts w:ascii="Arial" w:cs="Arial" w:eastAsia="Arial" w:hAnsi="Arial"/>
          <w:color w:val="5B595A"/>
          <w:sz w:val="20"/>
          <w:szCs w:val="20"/>
        </w:rPr>
        <w:t xml:space="preserve">NDAs shall be executed before any sensitive information is shared, not after. A copy of every signed NDA is held in the contracts register and referenced in the Information Asset Register.</w:t>
      </w:r>
    </w:p>
    <w:p>
      <w:pPr>
        <w:pStyle w:val="Heading1"/>
        <w:spacing w:after="120" w:before="300"/>
      </w:pPr>
      <w:r>
        <w:rPr>
          <w:rFonts w:ascii="Arial" w:cs="Arial" w:eastAsia="Arial" w:hAnsi="Arial"/>
          <w:b/>
          <w:bCs/>
          <w:color w:val="29ABE2"/>
          <w:sz w:val="28"/>
          <w:szCs w:val="28"/>
        </w:rPr>
        <w:t xml:space="preserve">8. Review</w:t>
      </w:r>
    </w:p>
    <w:p>
      <w:pPr>
        <w:spacing w:after="80" w:before="80"/>
      </w:pPr>
      <w:r>
        <w:rPr>
          <w:rFonts w:ascii="Arial" w:cs="Arial" w:eastAsia="Arial" w:hAnsi="Arial"/>
          <w:color w:val="5B595A"/>
          <w:sz w:val="20"/>
          <w:szCs w:val="20"/>
        </w:rPr>
        <w:t xml:space="preserve">This guide is reviewed annually or when there is a material change in client requirements, relevant legislation or the company's information security risk profile. Responsibility for the review lies with the Information Security Manager, in consultation with the Quality Manager and any relevant contract managers.</w:t>
      </w:r>
    </w:p>
    <w:sectPr>
      <w:headerReference w:type="default" r:id="rId7"/>
      <w:footerReference w:type="default" r:id="rId8"/>
      <w:pgSz w:w="11906" w:h="16838" w:orient="portrait"/>
      <w:pgMar w:top="1080" w:right="1080" w:bottom="108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83348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9FE3"/>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e40d43c0ba4ffb45ea9359ad3458fa65afc3548f.jpg"/></Relationships>
</file>

<file path=word/_rels/header1.xml.rels><?xml version='1.0' encoding='UTF-8' standalone='yes'?>
<Relationships xmlns="http://schemas.openxmlformats.org/package/2006/relationships"><Relationship Id="rId0" Type="http://schemas.openxmlformats.org/officeDocument/2006/relationships/image" Target="media/7400ee0919b941006232ee1142da60edd96fe65b.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F28C82-69DE-401C-875B-A028CA1783E3}"/>
</file>

<file path=customXml/itemProps2.xml><?xml version="1.0" encoding="utf-8"?>
<ds:datastoreItem xmlns:ds="http://schemas.openxmlformats.org/officeDocument/2006/customXml" ds:itemID="{2102A2A5-7FCA-47DE-974D-F7FCBF173BE1}"/>
</file>

<file path=customXml/itemProps3.xml><?xml version="1.0" encoding="utf-8"?>
<ds:datastoreItem xmlns:ds="http://schemas.openxmlformats.org/officeDocument/2006/customXml" ds:itemID="{303A03B4-80A0-4DD8-9854-A37CF4D2CD8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NSS-07-03 Sensitive Document Intellectual Property Protection</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