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drawing>
          <wp:inline distT="0" distB="0" distL="0" distR="0">
            <wp:extent cx="1714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514350"/>
                    </a:xfrm>
                    <a:prstGeom prst="rect">
                      <a:avLst/>
                    </a:prstGeom>
                  </pic:spPr>
                </pic:pic>
              </a:graphicData>
            </a:graphic>
          </wp:inline>
        </w:drawing>
      </w:r>
    </w:p>
    <w:p>
      <w:pPr>
        <w:spacing w:after="200" w:before="600"/>
        <w:jc w:val="center"/>
      </w:pPr>
      <w:r>
        <w:rPr>
          <w:rFonts w:ascii="Arial" w:cs="Arial" w:eastAsia="Arial" w:hAnsi="Arial"/>
          <w:b/>
          <w:bCs/>
          <w:color w:val="009FE3"/>
          <w:sz w:val="48"/>
          <w:szCs w:val="48"/>
        </w:rPr>
        <w:t xml:space="preserve">Information Security
Awareness Training Guide</w:t>
      </w:r>
    </w:p>
    <w:p>
      <w:pPr>
        <w:spacing w:after="200" w:before="100"/>
        <w:jc w:val="center"/>
      </w:pPr>
      <w:r>
        <w:rPr>
          <w:rFonts w:ascii="Arial" w:cs="Arial" w:eastAsia="Arial" w:hAnsi="Arial"/>
          <w:b/>
          <w:bCs/>
          <w:color w:val="83348F"/>
          <w:sz w:val="28"/>
          <w:szCs w:val="28"/>
        </w:rPr>
        <w:t xml:space="preserve">Nuclear Sector Specific | NSS-07</w:t>
      </w:r>
    </w:p>
    <w:p>
      <w:pPr>
        <w:spacing w:after="600" w:before="200"/>
        <w:jc w:val="center"/>
      </w:pPr>
      <w:r>
        <w:rPr>
          <w:rFonts w:ascii="Arial" w:cs="Arial" w:eastAsia="Arial" w:hAnsi="Arial"/>
          <w:i/>
          <w:iCs/>
          <w:color w:val="5B595A"/>
          <w:sz w:val="22"/>
          <w:szCs w:val="22"/>
        </w:rPr>
        <w:t xml:space="preserve">A comprehensive guide for delivering information security awareness training to nuclear supply chain personnel</w:t>
      </w:r>
    </w:p>
    <w:p>
      <w:pPr>
        <w:spacing w:after="100" w:before="400"/>
        <w:jc w:val="center"/>
      </w:pPr>
      <w:r>
        <w:rPr>
          <w:rFonts w:ascii="Arial" w:cs="Arial" w:eastAsia="Arial" w:hAnsi="Arial"/>
          <w:color w:val="5B595A"/>
          <w:sz w:val="18"/>
          <w:szCs w:val="18"/>
        </w:rPr>
        <w:t xml:space="preserve">NSS-07-09 | Version 1.0</w:t>
      </w:r>
    </w:p>
    <w:p>
      <w:pPr>
        <w:jc w:val="center"/>
      </w:pPr>
      <w:r>
        <w:rPr>
          <w:rFonts w:ascii="Arial" w:cs="Arial" w:eastAsia="Arial" w:hAnsi="Arial"/>
          <w:color w:val="5B595A"/>
          <w:sz w:val="18"/>
          <w:szCs w:val="18"/>
        </w:rPr>
        <w:t xml:space="preserve">Nuclear Collaboration Ltd | Fit For Nuclear Programme</w:t>
      </w:r>
    </w:p>
    <w:p>
      <w:r>
        <w:br w:type="page"/>
      </w:r>
    </w:p>
    <w:p>
      <w:pPr>
        <w:pStyle w:val="Heading1"/>
        <w:spacing w:after="120" w:before="300"/>
      </w:pPr>
      <w:r>
        <w:rPr>
          <w:rFonts w:ascii="Arial" w:cs="Arial" w:eastAsia="Arial" w:hAnsi="Arial"/>
          <w:b/>
          <w:bCs/>
          <w:color w:val="29ABE2"/>
          <w:sz w:val="28"/>
          <w:szCs w:val="28"/>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526"/>
      </w:tblGrid>
      <w:tr>
        <w:tc>
          <w:tcPr>
            <w:tcW w:type="dxa" w:w="15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8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c>
          <w:tcPr>
            <w:tcW w:type="dxa" w:w="3526"/>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5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1.0</w:t>
            </w:r>
          </w:p>
        </w:tc>
        <w:tc>
          <w:tcPr>
            <w:tcW w:type="dxa" w:w="18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29/06/2026</w:t>
            </w:r>
          </w:p>
        </w:tc>
        <w:tc>
          <w:tcPr>
            <w:tcW w:type="dxa" w:w="22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[Author]</w:t>
            </w:r>
          </w:p>
        </w:tc>
        <w:tc>
          <w:tcPr>
            <w:tcW w:type="dxa" w:w="35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Initial release</w:t>
            </w:r>
          </w:p>
        </w:tc>
      </w:tr>
    </w:tbl>
    <w:p>
      <w:r>
        <w:br w:type="page"/>
      </w:r>
    </w:p>
    <w:p>
      <w:pPr>
        <w:pStyle w:val="Heading1"/>
        <w:spacing w:after="120" w:before="300"/>
      </w:pPr>
      <w:r>
        <w:rPr>
          <w:rFonts w:ascii="Arial" w:cs="Arial" w:eastAsia="Arial" w:hAnsi="Arial"/>
          <w:b/>
          <w:bCs/>
          <w:color w:val="29ABE2"/>
          <w:sz w:val="28"/>
          <w:szCs w:val="28"/>
        </w:rPr>
        <w:t xml:space="preserve">1. Introduction</w:t>
      </w:r>
    </w:p>
    <w:p>
      <w:pPr>
        <w:spacing w:after="80" w:before="80"/>
      </w:pPr>
      <w:r>
        <w:rPr>
          <w:rFonts w:ascii="Arial" w:cs="Arial" w:eastAsia="Arial" w:hAnsi="Arial"/>
          <w:color w:val="5B595A"/>
          <w:sz w:val="20"/>
          <w:szCs w:val="20"/>
        </w:rPr>
        <w:t xml:space="preserve">This guide supports those responsible for delivering information security awareness training to employees and contractors working on nuclear programme activities. It is written for use by line managers, HR teams, quality managers or anyone delivering the training in a workshop, one-to-one or self-study format.</w:t>
      </w:r>
    </w:p>
    <w:p>
      <w:pPr>
        <w:spacing w:after="80" w:before="80"/>
      </w:pPr>
      <w:r>
        <w:rPr>
          <w:rFonts w:ascii="Arial" w:cs="Arial" w:eastAsia="Arial" w:hAnsi="Arial"/>
          <w:color w:val="5B595A"/>
          <w:sz w:val="20"/>
          <w:szCs w:val="20"/>
        </w:rPr>
        <w:t xml:space="preserve">Information security in the nuclear sector goes beyond protecting company data. It protects programme integrity, national security interests and the safety case for the UK's civil nuclear infrastructure. Personnel who understand this context engage more seriously with security requirements than those who receive generic corporate training.</w:t>
      </w:r>
    </w:p>
    <w:p>
      <w:pPr>
        <w:spacing w:after="120" w:before="120"/>
      </w:pPr>
      <w:r>
        <w:rPr>
          <w:rFonts w:ascii="Arial" w:cs="Arial" w:eastAsia="Arial" w:hAnsi="Arial"/>
          <w:i/>
          <w:iCs/>
          <w:color w:val="83348F"/>
          <w:sz w:val="20"/>
          <w:szCs w:val="20"/>
        </w:rPr>
        <w:t xml:space="preserve">Security training is most effective when people understand why the rules exist, not just what they are. Use real examples. Connect the content to your specific contracts and clients.</w:t>
      </w:r>
    </w:p>
    <w:p>
      <w:pPr>
        <w:pStyle w:val="Heading1"/>
        <w:spacing w:after="120" w:before="300"/>
      </w:pPr>
      <w:r>
        <w:rPr>
          <w:rFonts w:ascii="Arial" w:cs="Arial" w:eastAsia="Arial" w:hAnsi="Arial"/>
          <w:b/>
          <w:bCs/>
          <w:color w:val="29ABE2"/>
          <w:sz w:val="28"/>
          <w:szCs w:val="28"/>
        </w:rPr>
        <w:t xml:space="preserve">2. Training Requirements</w:t>
      </w:r>
    </w:p>
    <w:p>
      <w:pPr>
        <w:spacing w:after="80" w:before="80"/>
      </w:pPr>
      <w:r>
        <w:rPr>
          <w:rFonts w:ascii="Arial" w:cs="Arial" w:eastAsia="Arial" w:hAnsi="Arial"/>
          <w:color w:val="5B595A"/>
          <w:sz w:val="20"/>
          <w:szCs w:val="20"/>
        </w:rPr>
        <w:t xml:space="preserve">The following personnel must complete information security awareness training:</w:t>
      </w:r>
    </w:p>
    <w:p>
      <w:pPr>
        <w:pStyle w:val="ListParagraph"/>
        <w:numPr>
          <w:ilvl w:val="0"/>
          <w:numId w:val="2"/>
        </w:numPr>
        <w:spacing w:after="60" w:before="60"/>
      </w:pPr>
      <w:r>
        <w:rPr>
          <w:rFonts w:ascii="Arial" w:cs="Arial" w:eastAsia="Arial" w:hAnsi="Arial"/>
          <w:color w:val="5B595A"/>
          <w:sz w:val="20"/>
          <w:szCs w:val="20"/>
        </w:rPr>
        <w:t xml:space="preserve">All new employees and contractors before they are given access to nuclear programme information or nuclear client systems.</w:t>
      </w:r>
    </w:p>
    <w:p>
      <w:pPr>
        <w:pStyle w:val="ListParagraph"/>
        <w:numPr>
          <w:ilvl w:val="0"/>
          <w:numId w:val="2"/>
        </w:numPr>
        <w:spacing w:after="60" w:before="60"/>
      </w:pPr>
      <w:r>
        <w:rPr>
          <w:rFonts w:ascii="Arial" w:cs="Arial" w:eastAsia="Arial" w:hAnsi="Arial"/>
          <w:color w:val="5B595A"/>
          <w:sz w:val="20"/>
          <w:szCs w:val="20"/>
        </w:rPr>
        <w:t xml:space="preserve">All existing employees annually, as part of the company training calendar.</w:t>
      </w:r>
    </w:p>
    <w:p>
      <w:pPr>
        <w:pStyle w:val="ListParagraph"/>
        <w:numPr>
          <w:ilvl w:val="0"/>
          <w:numId w:val="2"/>
        </w:numPr>
        <w:spacing w:after="60" w:before="60"/>
      </w:pPr>
      <w:r>
        <w:rPr>
          <w:rFonts w:ascii="Arial" w:cs="Arial" w:eastAsia="Arial" w:hAnsi="Arial"/>
          <w:color w:val="5B595A"/>
          <w:sz w:val="20"/>
          <w:szCs w:val="20"/>
        </w:rPr>
        <w:t xml:space="preserve">Any individual who has been involved in a security incident, as a specific remedial requirement.</w:t>
      </w:r>
    </w:p>
    <w:p>
      <w:pPr>
        <w:pStyle w:val="ListParagraph"/>
        <w:numPr>
          <w:ilvl w:val="0"/>
          <w:numId w:val="2"/>
        </w:numPr>
        <w:spacing w:after="60" w:before="60"/>
      </w:pPr>
      <w:r>
        <w:rPr>
          <w:rFonts w:ascii="Arial" w:cs="Arial" w:eastAsia="Arial" w:hAnsi="Arial"/>
          <w:color w:val="5B595A"/>
          <w:sz w:val="20"/>
          <w:szCs w:val="20"/>
        </w:rPr>
        <w:t xml:space="preserve">Personnel whose role changes to include responsibility for RESTRICTED or above information.</w:t>
      </w:r>
    </w:p>
    <w:p>
      <w:pPr>
        <w:spacing w:after="80" w:before="80"/>
      </w:pPr>
      <w:r>
        <w:rPr>
          <w:rFonts w:ascii="Arial" w:cs="Arial" w:eastAsia="Arial" w:hAnsi="Arial"/>
          <w:color w:val="5B595A"/>
          <w:sz w:val="20"/>
          <w:szCs w:val="20"/>
        </w:rPr>
        <w:t xml:space="preserve">Training completion is recorded in the SQEP training matrix with the date, method and trainer or platform used. HR monitors compliance and flags overdue training to line managers monthly.</w:t>
      </w:r>
    </w:p>
    <w:p>
      <w:pPr>
        <w:pStyle w:val="Heading1"/>
        <w:spacing w:after="120" w:before="300"/>
      </w:pPr>
      <w:r>
        <w:rPr>
          <w:rFonts w:ascii="Arial" w:cs="Arial" w:eastAsia="Arial" w:hAnsi="Arial"/>
          <w:b/>
          <w:bCs/>
          <w:color w:val="29ABE2"/>
          <w:sz w:val="28"/>
          <w:szCs w:val="28"/>
        </w:rPr>
        <w:t xml:space="preserve">3. Module Structure</w:t>
      </w:r>
    </w:p>
    <w:p>
      <w:pPr>
        <w:spacing w:after="80" w:before="80"/>
      </w:pPr>
      <w:r>
        <w:rPr>
          <w:rFonts w:ascii="Arial" w:cs="Arial" w:eastAsia="Arial" w:hAnsi="Arial"/>
          <w:color w:val="5B595A"/>
          <w:sz w:val="20"/>
          <w:szCs w:val="20"/>
        </w:rPr>
        <w:t xml:space="preserve">The training is structured across five modules. Each can be delivered as a standalone session or as part of a half-day programme. The total core content requires approximately 90 minutes to deliver at a comfortable pace with discussion.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1426"/>
      </w:tblGrid>
      <w:tr>
        <w:tc>
          <w:tcPr>
            <w:tcW w:type="dxa" w:w="9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Module</w:t>
            </w:r>
          </w:p>
        </w:tc>
        <w:tc>
          <w:tcPr>
            <w:tcW w:type="dxa" w:w="22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35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Content</w:t>
            </w:r>
          </w:p>
        </w:tc>
        <w:tc>
          <w:tcPr>
            <w:tcW w:type="dxa" w:w="1426"/>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Approx. Time</w:t>
            </w:r>
          </w:p>
        </w:tc>
      </w:tr>
      <w:tr>
        <w:tc>
          <w:tcPr>
            <w:tcW w:type="dxa" w:w="9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1</w:t>
            </w:r>
          </w:p>
        </w:tc>
        <w:tc>
          <w:tcPr>
            <w:tcW w:type="dxa" w:w="22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Why Security Matters in Nuclear</w:t>
            </w:r>
          </w:p>
        </w:tc>
        <w:tc>
          <w:tcPr>
            <w:tcW w:type="dxa" w:w="35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The nuclear threat landscape, consequences of breaches, regulatory context, client expectations.</w:t>
            </w:r>
          </w:p>
        </w:tc>
        <w:tc>
          <w:tcPr>
            <w:tcW w:type="dxa" w:w="14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15 minutes</w:t>
            </w:r>
          </w:p>
        </w:tc>
      </w:tr>
      <w:tr>
        <w:tc>
          <w:tcPr>
            <w:tcW w:type="dxa" w:w="900"/>
            <w:shd w:fill="E5F5FD"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2</w:t>
            </w:r>
          </w:p>
        </w:tc>
        <w:tc>
          <w:tcPr>
            <w:tcW w:type="dxa" w:w="22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Information Classification</w:t>
            </w:r>
          </w:p>
        </w:tc>
        <w:tc>
          <w:tcPr>
            <w:tcW w:type="dxa" w:w="35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The five classification levels, how to mark documents, handling rules by level, disposal.</w:t>
            </w:r>
          </w:p>
        </w:tc>
        <w:tc>
          <w:tcPr>
            <w:tcW w:type="dxa" w:w="1426"/>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20 minutes</w:t>
            </w:r>
          </w:p>
        </w:tc>
      </w:tr>
      <w:tr>
        <w:tc>
          <w:tcPr>
            <w:tcW w:type="dxa" w:w="9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3</w:t>
            </w:r>
          </w:p>
        </w:tc>
        <w:tc>
          <w:tcPr>
            <w:tcW w:type="dxa" w:w="22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Cybersecurity in Practice</w:t>
            </w:r>
          </w:p>
        </w:tc>
        <w:tc>
          <w:tcPr>
            <w:tcW w:type="dxa" w:w="35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Passwords and MFA, phishing recognition, safe use of email and cloud services, device security.</w:t>
            </w:r>
          </w:p>
        </w:tc>
        <w:tc>
          <w:tcPr>
            <w:tcW w:type="dxa" w:w="14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25 minutes</w:t>
            </w:r>
          </w:p>
        </w:tc>
      </w:tr>
      <w:tr>
        <w:tc>
          <w:tcPr>
            <w:tcW w:type="dxa" w:w="900"/>
            <w:shd w:fill="E5F5FD"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4</w:t>
            </w:r>
          </w:p>
        </w:tc>
        <w:tc>
          <w:tcPr>
            <w:tcW w:type="dxa" w:w="22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Physical Security and Visitor Handling</w:t>
            </w:r>
          </w:p>
        </w:tc>
        <w:tc>
          <w:tcPr>
            <w:tcW w:type="dxa" w:w="35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Document storage, clear desk policy, visitor escort, meeting room discipline.</w:t>
            </w:r>
          </w:p>
        </w:tc>
        <w:tc>
          <w:tcPr>
            <w:tcW w:type="dxa" w:w="1426"/>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15 minutes</w:t>
            </w:r>
          </w:p>
        </w:tc>
      </w:tr>
      <w:tr>
        <w:tc>
          <w:tcPr>
            <w:tcW w:type="dxa" w:w="9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5</w:t>
            </w:r>
          </w:p>
        </w:tc>
        <w:tc>
          <w:tcPr>
            <w:tcW w:type="dxa" w:w="22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Reporting and Responding</w:t>
            </w:r>
          </w:p>
        </w:tc>
        <w:tc>
          <w:tcPr>
            <w:tcW w:type="dxa" w:w="35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What to report, how to report, what happens next, the no-blame reporting culture.</w:t>
            </w:r>
          </w:p>
        </w:tc>
        <w:tc>
          <w:tcPr>
            <w:tcW w:type="dxa" w:w="14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15 minutes</w:t>
            </w:r>
          </w:p>
        </w:tc>
      </w:tr>
    </w:tbl>
    <w:p>
      <w:pPr>
        <w:spacing w:before="200"/>
      </w:pPr>
    </w:p>
    <w:p>
      <w:pPr>
        <w:pStyle w:val="Heading1"/>
        <w:spacing w:after="120" w:before="300"/>
      </w:pPr>
      <w:r>
        <w:rPr>
          <w:rFonts w:ascii="Arial" w:cs="Arial" w:eastAsia="Arial" w:hAnsi="Arial"/>
          <w:b/>
          <w:bCs/>
          <w:color w:val="29ABE2"/>
          <w:sz w:val="28"/>
          <w:szCs w:val="28"/>
        </w:rPr>
        <w:t xml:space="preserve">4. Module 1: Why Security Matters in Nuclear</w:t>
      </w:r>
    </w:p>
    <w:p>
      <w:pPr>
        <w:pStyle w:val="Heading2"/>
        <w:spacing w:after="100" w:before="200"/>
      </w:pPr>
      <w:r>
        <w:rPr>
          <w:rFonts w:ascii="Arial" w:cs="Arial" w:eastAsia="Arial" w:hAnsi="Arial"/>
          <w:b/>
          <w:bCs/>
          <w:color w:val="7B2D8B"/>
          <w:sz w:val="24"/>
          <w:szCs w:val="24"/>
        </w:rPr>
        <w:t xml:space="preserve">Trainer Notes</w:t>
      </w:r>
    </w:p>
    <w:p>
      <w:pPr>
        <w:spacing w:after="80" w:before="80"/>
      </w:pPr>
      <w:r>
        <w:rPr>
          <w:rFonts w:ascii="Arial" w:cs="Arial" w:eastAsia="Arial" w:hAnsi="Arial"/>
          <w:color w:val="5B595A"/>
          <w:sz w:val="20"/>
          <w:szCs w:val="20"/>
        </w:rPr>
        <w:t xml:space="preserve">Open with context. People engage better when they understand the stakes. Avoid being alarmist, but be honest about the threat environment. Use publicly available examples such as published ONR incident reports or acknowledged supply chain breaches from other industries to illustrate the point.</w:t>
      </w:r>
    </w:p>
    <w:p>
      <w:pPr>
        <w:pStyle w:val="Heading2"/>
        <w:spacing w:after="100" w:before="200"/>
      </w:pPr>
      <w:r>
        <w:rPr>
          <w:rFonts w:ascii="Arial" w:cs="Arial" w:eastAsia="Arial" w:hAnsi="Arial"/>
          <w:b/>
          <w:bCs/>
          <w:color w:val="7B2D8B"/>
          <w:sz w:val="24"/>
          <w:szCs w:val="24"/>
        </w:rPr>
        <w:t xml:space="preserve">Key Discussion Points</w:t>
      </w:r>
    </w:p>
    <w:p>
      <w:pPr>
        <w:pStyle w:val="ListParagraph"/>
        <w:numPr>
          <w:ilvl w:val="0"/>
          <w:numId w:val="2"/>
        </w:numPr>
        <w:spacing w:after="60" w:before="60"/>
      </w:pPr>
      <w:r>
        <w:rPr>
          <w:rFonts w:ascii="Arial" w:cs="Arial" w:eastAsia="Arial" w:hAnsi="Arial"/>
          <w:color w:val="5B595A"/>
          <w:sz w:val="20"/>
          <w:szCs w:val="20"/>
        </w:rPr>
        <w:t xml:space="preserve">Nuclear programmes in the UK involve billions of pounds of investment and decades of operation. They are targets for industrial espionage, organised crime and state-sponsored activity.</w:t>
      </w:r>
    </w:p>
    <w:p>
      <w:pPr>
        <w:pStyle w:val="ListParagraph"/>
        <w:numPr>
          <w:ilvl w:val="0"/>
          <w:numId w:val="2"/>
        </w:numPr>
        <w:spacing w:after="60" w:before="60"/>
      </w:pPr>
      <w:r>
        <w:rPr>
          <w:rFonts w:ascii="Arial" w:cs="Arial" w:eastAsia="Arial" w:hAnsi="Arial"/>
          <w:color w:val="5B595A"/>
          <w:sz w:val="20"/>
          <w:szCs w:val="20"/>
        </w:rPr>
        <w:t xml:space="preserve">The supply chain is often the weakest link. A sophisticated nuclear licensee with mature information security may share sensitive data with a supply chain company whose controls are inadequate. That creates risk for both parties.</w:t>
      </w:r>
    </w:p>
    <w:p>
      <w:pPr>
        <w:pStyle w:val="ListParagraph"/>
        <w:numPr>
          <w:ilvl w:val="0"/>
          <w:numId w:val="2"/>
        </w:numPr>
        <w:spacing w:after="60" w:before="60"/>
      </w:pPr>
      <w:r>
        <w:rPr>
          <w:rFonts w:ascii="Arial" w:cs="Arial" w:eastAsia="Arial" w:hAnsi="Arial"/>
          <w:color w:val="5B595A"/>
          <w:sz w:val="20"/>
          <w:szCs w:val="20"/>
        </w:rPr>
        <w:t xml:space="preserve">Regulatory obligation: ONR expects supply chain organisations to handle sensitive information appropriately. Non-compliance can result in removal from the supply chain.</w:t>
      </w:r>
    </w:p>
    <w:p>
      <w:pPr>
        <w:pStyle w:val="ListParagraph"/>
        <w:numPr>
          <w:ilvl w:val="0"/>
          <w:numId w:val="2"/>
        </w:numPr>
        <w:spacing w:after="60" w:before="60"/>
      </w:pPr>
      <w:r>
        <w:rPr>
          <w:rFonts w:ascii="Arial" w:cs="Arial" w:eastAsia="Arial" w:hAnsi="Arial"/>
          <w:color w:val="5B595A"/>
          <w:sz w:val="20"/>
          <w:szCs w:val="20"/>
        </w:rPr>
        <w:t xml:space="preserve">Commercial consequence: a security breach on a nuclear contract can result in contract termination, exclusion from future tendering and reputational damage that affects the company's viability.</w:t>
      </w:r>
    </w:p>
    <w:p>
      <w:pPr>
        <w:pStyle w:val="ListParagraph"/>
        <w:numPr>
          <w:ilvl w:val="0"/>
          <w:numId w:val="2"/>
        </w:numPr>
        <w:spacing w:after="60" w:before="60"/>
      </w:pPr>
      <w:r>
        <w:rPr>
          <w:rFonts w:ascii="Arial" w:cs="Arial" w:eastAsia="Arial" w:hAnsi="Arial"/>
          <w:color w:val="5B595A"/>
          <w:sz w:val="20"/>
          <w:szCs w:val="20"/>
        </w:rPr>
        <w:t xml:space="preserve">Personal responsibility: every person who handles nuclear programme information has a personal obligation to protect it.</w:t>
      </w:r>
    </w:p>
    <w:p>
      <w:pPr>
        <w:pStyle w:val="Heading2"/>
        <w:spacing w:after="100" w:before="200"/>
      </w:pPr>
      <w:r>
        <w:rPr>
          <w:rFonts w:ascii="Arial" w:cs="Arial" w:eastAsia="Arial" w:hAnsi="Arial"/>
          <w:b/>
          <w:bCs/>
          <w:color w:val="7B2D8B"/>
          <w:sz w:val="24"/>
          <w:szCs w:val="24"/>
        </w:rPr>
        <w:t xml:space="preserve">Worked Example: The Cost of Getting It Wrong</w:t>
      </w:r>
    </w:p>
    <w:p>
      <w:pPr>
        <w:spacing w:after="80" w:before="80"/>
      </w:pPr>
      <w:r>
        <w:rPr>
          <w:rFonts w:ascii="Arial" w:cs="Arial" w:eastAsia="Arial" w:hAnsi="Arial"/>
          <w:color w:val="5B595A"/>
          <w:sz w:val="20"/>
          <w:szCs w:val="20"/>
        </w:rPr>
        <w:t xml:space="preserve">A mechanical engineering subcontractor working on a new build project emailed a technical specification to a supplier using a personal email account. The specification included structural dimensions for a safety-critical component. The email was intercepted. The client discovered the breach during a routine audit, terminated the subcontract and issued a formal notification to ONR. The subcontractor had no further involvement in UK nuclear projects.</w:t>
      </w:r>
    </w:p>
    <w:p>
      <w:pPr>
        <w:spacing w:after="80" w:before="80"/>
      </w:pPr>
      <w:r>
        <w:rPr>
          <w:rFonts w:ascii="Arial" w:cs="Arial" w:eastAsia="Arial" w:hAnsi="Arial"/>
          <w:color w:val="5B595A"/>
          <w:sz w:val="20"/>
          <w:szCs w:val="20"/>
        </w:rPr>
        <w:t xml:space="preserve">This example is illustrative of the types of consequence that can follow from a single lapse. Invite the group to discuss: what was the specific failure here, and what simple control would have prevented it?</w:t>
      </w:r>
    </w:p>
    <w:p>
      <w:pPr>
        <w:pStyle w:val="Heading1"/>
        <w:spacing w:after="120" w:before="300"/>
      </w:pPr>
      <w:r>
        <w:rPr>
          <w:rFonts w:ascii="Arial" w:cs="Arial" w:eastAsia="Arial" w:hAnsi="Arial"/>
          <w:b/>
          <w:bCs/>
          <w:color w:val="29ABE2"/>
          <w:sz w:val="28"/>
          <w:szCs w:val="28"/>
        </w:rPr>
        <w:t xml:space="preserve">5. Module 2: Information Classification</w:t>
      </w:r>
    </w:p>
    <w:p>
      <w:pPr>
        <w:pStyle w:val="Heading2"/>
        <w:spacing w:after="100" w:before="200"/>
      </w:pPr>
      <w:r>
        <w:rPr>
          <w:rFonts w:ascii="Arial" w:cs="Arial" w:eastAsia="Arial" w:hAnsi="Arial"/>
          <w:b/>
          <w:bCs/>
          <w:color w:val="7B2D8B"/>
          <w:sz w:val="24"/>
          <w:szCs w:val="24"/>
        </w:rPr>
        <w:t xml:space="preserve">Trainer Notes</w:t>
      </w:r>
    </w:p>
    <w:p>
      <w:pPr>
        <w:spacing w:after="80" w:before="80"/>
      </w:pPr>
      <w:r>
        <w:rPr>
          <w:rFonts w:ascii="Arial" w:cs="Arial" w:eastAsia="Arial" w:hAnsi="Arial"/>
          <w:color w:val="5B595A"/>
          <w:sz w:val="20"/>
          <w:szCs w:val="20"/>
        </w:rPr>
        <w:t xml:space="preserve">Most people encounter classification marking systems without really understanding them. The goal here is to move from 'it says RESTRICTED on the top' to genuine understanding of what that means for how the document should be handled.</w:t>
      </w:r>
    </w:p>
    <w:p>
      <w:pPr>
        <w:spacing w:after="80" w:before="80"/>
      </w:pPr>
      <w:r>
        <w:rPr>
          <w:rFonts w:ascii="Arial" w:cs="Arial" w:eastAsia="Arial" w:hAnsi="Arial"/>
          <w:color w:val="5B595A"/>
          <w:sz w:val="20"/>
          <w:szCs w:val="20"/>
        </w:rPr>
        <w:t xml:space="preserve">Walk through the classification table from the Information Classification Policy (NSS-07-01). Use real examples from your organisation's work where possible.</w:t>
      </w:r>
    </w:p>
    <w:p>
      <w:pPr>
        <w:pStyle w:val="Heading2"/>
        <w:spacing w:after="100" w:before="200"/>
      </w:pPr>
      <w:r>
        <w:rPr>
          <w:rFonts w:ascii="Arial" w:cs="Arial" w:eastAsia="Arial" w:hAnsi="Arial"/>
          <w:b/>
          <w:bCs/>
          <w:color w:val="7B2D8B"/>
          <w:sz w:val="24"/>
          <w:szCs w:val="24"/>
        </w:rPr>
        <w:t xml:space="preserve">Key Discussion Points</w:t>
      </w:r>
    </w:p>
    <w:p>
      <w:pPr>
        <w:pStyle w:val="ListParagraph"/>
        <w:numPr>
          <w:ilvl w:val="0"/>
          <w:numId w:val="2"/>
        </w:numPr>
        <w:spacing w:after="60" w:before="60"/>
      </w:pPr>
      <w:r>
        <w:rPr>
          <w:rFonts w:ascii="Arial" w:cs="Arial" w:eastAsia="Arial" w:hAnsi="Arial"/>
          <w:color w:val="5B595A"/>
          <w:sz w:val="20"/>
          <w:szCs w:val="20"/>
        </w:rPr>
        <w:t xml:space="preserve">Classification is assigned at the point of creation, not retrospectively.</w:t>
      </w:r>
    </w:p>
    <w:p>
      <w:pPr>
        <w:pStyle w:val="ListParagraph"/>
        <w:numPr>
          <w:ilvl w:val="0"/>
          <w:numId w:val="2"/>
        </w:numPr>
        <w:spacing w:after="60" w:before="60"/>
      </w:pPr>
      <w:r>
        <w:rPr>
          <w:rFonts w:ascii="Arial" w:cs="Arial" w:eastAsia="Arial" w:hAnsi="Arial"/>
          <w:color w:val="5B595A"/>
          <w:sz w:val="20"/>
          <w:szCs w:val="20"/>
        </w:rPr>
        <w:t xml:space="preserve">When in doubt, apply the higher classification. It is easier to downgrade than to recover from an under-classified breach.</w:t>
      </w:r>
    </w:p>
    <w:p>
      <w:pPr>
        <w:pStyle w:val="ListParagraph"/>
        <w:numPr>
          <w:ilvl w:val="0"/>
          <w:numId w:val="2"/>
        </w:numPr>
        <w:spacing w:after="60" w:before="60"/>
      </w:pPr>
      <w:r>
        <w:rPr>
          <w:rFonts w:ascii="Arial" w:cs="Arial" w:eastAsia="Arial" w:hAnsi="Arial"/>
          <w:color w:val="5B595A"/>
          <w:sz w:val="20"/>
          <w:szCs w:val="20"/>
        </w:rPr>
        <w:t xml:space="preserve">The classification reflects the content, not the recipient. A document classified RESTRICTED does not become less sensitive because you are sending it to a trusted colleague.</w:t>
      </w:r>
    </w:p>
    <w:p>
      <w:pPr>
        <w:pStyle w:val="ListParagraph"/>
        <w:numPr>
          <w:ilvl w:val="0"/>
          <w:numId w:val="2"/>
        </w:numPr>
        <w:spacing w:after="60" w:before="60"/>
      </w:pPr>
      <w:r>
        <w:rPr>
          <w:rFonts w:ascii="Arial" w:cs="Arial" w:eastAsia="Arial" w:hAnsi="Arial"/>
          <w:color w:val="5B595A"/>
          <w:sz w:val="20"/>
          <w:szCs w:val="20"/>
        </w:rPr>
        <w:t xml:space="preserve">Client markings take precedence. If a client document arrives marked RESTRICTED, treat it as RESTRICTED regardless of whether you think the content warrants it.</w:t>
      </w:r>
    </w:p>
    <w:p>
      <w:pPr>
        <w:pStyle w:val="Heading2"/>
        <w:spacing w:after="100" w:before="200"/>
      </w:pPr>
      <w:r>
        <w:rPr>
          <w:rFonts w:ascii="Arial" w:cs="Arial" w:eastAsia="Arial" w:hAnsi="Arial"/>
          <w:b/>
          <w:bCs/>
          <w:color w:val="7B2D8B"/>
          <w:sz w:val="24"/>
          <w:szCs w:val="24"/>
        </w:rPr>
        <w:t xml:space="preserve">Practical Exercise: Classification Judgement</w:t>
      </w:r>
    </w:p>
    <w:p>
      <w:pPr>
        <w:spacing w:after="80" w:before="80"/>
      </w:pPr>
      <w:r>
        <w:rPr>
          <w:rFonts w:ascii="Arial" w:cs="Arial" w:eastAsia="Arial" w:hAnsi="Arial"/>
          <w:color w:val="5B595A"/>
          <w:sz w:val="20"/>
          <w:szCs w:val="20"/>
        </w:rPr>
        <w:t xml:space="preserve">Present the following scenarios and ask participants to assign the appropriate classification level. Discuss the reasoning.</w:t>
      </w:r>
    </w:p>
    <w:p>
      <w:pPr>
        <w:pStyle w:val="ListParagraph"/>
        <w:numPr>
          <w:ilvl w:val="0"/>
          <w:numId w:val="2"/>
        </w:numPr>
        <w:spacing w:after="60" w:before="60"/>
      </w:pPr>
      <w:r>
        <w:rPr>
          <w:rFonts w:ascii="Arial" w:cs="Arial" w:eastAsia="Arial" w:hAnsi="Arial"/>
          <w:color w:val="5B595A"/>
          <w:sz w:val="20"/>
          <w:szCs w:val="20"/>
        </w:rPr>
        <w:t xml:space="preserve">A weld inspection report for a Class 2 component on a new build project, produced by your QC team.</w:t>
      </w:r>
    </w:p>
    <w:p>
      <w:pPr>
        <w:pStyle w:val="ListParagraph"/>
        <w:numPr>
          <w:ilvl w:val="0"/>
          <w:numId w:val="2"/>
        </w:numPr>
        <w:spacing w:after="60" w:before="60"/>
      </w:pPr>
      <w:r>
        <w:rPr>
          <w:rFonts w:ascii="Arial" w:cs="Arial" w:eastAsia="Arial" w:hAnsi="Arial"/>
          <w:color w:val="5B595A"/>
          <w:sz w:val="20"/>
          <w:szCs w:val="20"/>
        </w:rPr>
        <w:t xml:space="preserve">An email confirming that your team will attend a site visit next Tuesday.</w:t>
      </w:r>
    </w:p>
    <w:p>
      <w:pPr>
        <w:pStyle w:val="ListParagraph"/>
        <w:numPr>
          <w:ilvl w:val="0"/>
          <w:numId w:val="2"/>
        </w:numPr>
        <w:spacing w:after="60" w:before="60"/>
      </w:pPr>
      <w:r>
        <w:rPr>
          <w:rFonts w:ascii="Arial" w:cs="Arial" w:eastAsia="Arial" w:hAnsi="Arial"/>
          <w:color w:val="5B595A"/>
          <w:sz w:val="20"/>
          <w:szCs w:val="20"/>
        </w:rPr>
        <w:t xml:space="preserve">A technical specification received from a nuclear new build client for a pressure vessel component.</w:t>
      </w:r>
    </w:p>
    <w:p>
      <w:pPr>
        <w:pStyle w:val="ListParagraph"/>
        <w:numPr>
          <w:ilvl w:val="0"/>
          <w:numId w:val="2"/>
        </w:numPr>
        <w:spacing w:after="60" w:before="60"/>
      </w:pPr>
      <w:r>
        <w:rPr>
          <w:rFonts w:ascii="Arial" w:cs="Arial" w:eastAsia="Arial" w:hAnsi="Arial"/>
          <w:color w:val="5B595A"/>
          <w:sz w:val="20"/>
          <w:szCs w:val="20"/>
        </w:rPr>
        <w:t xml:space="preserve">The company's public marketing brochure for nuclear capabilities.</w:t>
      </w:r>
    </w:p>
    <w:p>
      <w:pPr>
        <w:pStyle w:val="ListParagraph"/>
        <w:numPr>
          <w:ilvl w:val="0"/>
          <w:numId w:val="2"/>
        </w:numPr>
        <w:spacing w:after="60" w:before="60"/>
      </w:pPr>
      <w:r>
        <w:rPr>
          <w:rFonts w:ascii="Arial" w:cs="Arial" w:eastAsia="Arial" w:hAnsi="Arial"/>
          <w:color w:val="5B595A"/>
          <w:sz w:val="20"/>
          <w:szCs w:val="20"/>
        </w:rPr>
        <w:t xml:space="preserve">A non-conformance report relating to a material test that failed to meet specification.</w:t>
      </w:r>
    </w:p>
    <w:p>
      <w:pPr>
        <w:spacing w:after="80" w:before="80"/>
      </w:pPr>
      <w:r>
        <w:rPr>
          <w:rFonts w:ascii="Arial" w:cs="Arial" w:eastAsia="Arial" w:hAnsi="Arial"/>
          <w:color w:val="5B595A"/>
          <w:sz w:val="20"/>
          <w:szCs w:val="20"/>
        </w:rPr>
        <w:t xml:space="preserve">Typical answers: RESTRICTED, INTERNAL USE ONLY, RESTRICTED (or CONFIDENTIAL if marked by client), PUBLIC, RESTRICTED or COMMERCIAL IN CONFIDENCE. The exercise is designed to generate discussion, not perfect answers.</w:t>
      </w:r>
    </w:p>
    <w:p>
      <w:pPr>
        <w:pStyle w:val="Heading1"/>
        <w:spacing w:after="120" w:before="300"/>
      </w:pPr>
      <w:r>
        <w:rPr>
          <w:rFonts w:ascii="Arial" w:cs="Arial" w:eastAsia="Arial" w:hAnsi="Arial"/>
          <w:b/>
          <w:bCs/>
          <w:color w:val="29ABE2"/>
          <w:sz w:val="28"/>
          <w:szCs w:val="28"/>
        </w:rPr>
        <w:t xml:space="preserve">6. Module 3: Cybersecurity in Practice</w:t>
      </w:r>
    </w:p>
    <w:p>
      <w:pPr>
        <w:pStyle w:val="Heading2"/>
        <w:spacing w:after="100" w:before="200"/>
      </w:pPr>
      <w:r>
        <w:rPr>
          <w:rFonts w:ascii="Arial" w:cs="Arial" w:eastAsia="Arial" w:hAnsi="Arial"/>
          <w:b/>
          <w:bCs/>
          <w:color w:val="7B2D8B"/>
          <w:sz w:val="24"/>
          <w:szCs w:val="24"/>
        </w:rPr>
        <w:t xml:space="preserve">Trainer Notes</w:t>
      </w:r>
    </w:p>
    <w:p>
      <w:pPr>
        <w:spacing w:after="80" w:before="80"/>
      </w:pPr>
      <w:r>
        <w:rPr>
          <w:rFonts w:ascii="Arial" w:cs="Arial" w:eastAsia="Arial" w:hAnsi="Arial"/>
          <w:color w:val="5B595A"/>
          <w:sz w:val="20"/>
          <w:szCs w:val="20"/>
        </w:rPr>
        <w:t xml:space="preserve">This is often the most engaging module. People have direct daily experience of the topics covered. Draw on that experience. Ask about their current habits, without judgment, and use the discussion to introduce good practice.</w:t>
      </w:r>
    </w:p>
    <w:p>
      <w:pPr>
        <w:pStyle w:val="Heading2"/>
        <w:spacing w:after="100" w:before="200"/>
      </w:pPr>
      <w:r>
        <w:rPr>
          <w:rFonts w:ascii="Arial" w:cs="Arial" w:eastAsia="Arial" w:hAnsi="Arial"/>
          <w:b/>
          <w:bCs/>
          <w:color w:val="7B2D8B"/>
          <w:sz w:val="24"/>
          <w:szCs w:val="24"/>
        </w:rPr>
        <w:t xml:space="preserve">6.1 Passwords and Multi-Factor Authentication</w:t>
      </w:r>
    </w:p>
    <w:p>
      <w:pPr>
        <w:pStyle w:val="ListParagraph"/>
        <w:numPr>
          <w:ilvl w:val="0"/>
          <w:numId w:val="2"/>
        </w:numPr>
        <w:spacing w:after="60" w:before="60"/>
      </w:pPr>
      <w:r>
        <w:rPr>
          <w:rFonts w:ascii="Arial" w:cs="Arial" w:eastAsia="Arial" w:hAnsi="Arial"/>
          <w:color w:val="5B595A"/>
          <w:sz w:val="20"/>
          <w:szCs w:val="20"/>
        </w:rPr>
        <w:t xml:space="preserve">A 12-character password using a mix of character types is the company minimum. Passphrases are a good approach: three or four unrelated words strung together are both memorable and strong.</w:t>
      </w:r>
    </w:p>
    <w:p>
      <w:pPr>
        <w:pStyle w:val="ListParagraph"/>
        <w:numPr>
          <w:ilvl w:val="0"/>
          <w:numId w:val="2"/>
        </w:numPr>
        <w:spacing w:after="60" w:before="60"/>
      </w:pPr>
      <w:r>
        <w:rPr>
          <w:rFonts w:ascii="Arial" w:cs="Arial" w:eastAsia="Arial" w:hAnsi="Arial"/>
          <w:color w:val="5B595A"/>
          <w:sz w:val="20"/>
          <w:szCs w:val="20"/>
        </w:rPr>
        <w:t xml:space="preserve">Password managers are encouraged. They allow strong, unique passwords for every system without the cognitive burden of memorising them.</w:t>
      </w:r>
    </w:p>
    <w:p>
      <w:pPr>
        <w:pStyle w:val="ListParagraph"/>
        <w:numPr>
          <w:ilvl w:val="0"/>
          <w:numId w:val="2"/>
        </w:numPr>
        <w:spacing w:after="60" w:before="60"/>
      </w:pPr>
      <w:r>
        <w:rPr>
          <w:rFonts w:ascii="Arial" w:cs="Arial" w:eastAsia="Arial" w:hAnsi="Arial"/>
          <w:color w:val="5B595A"/>
          <w:sz w:val="20"/>
          <w:szCs w:val="20"/>
        </w:rPr>
        <w:t xml:space="preserve">MFA adds a second layer of verification. Even if a password is compromised, MFA prevents account access. It is non-negotiable for remote access and cloud services used in nuclear programme work.</w:t>
      </w:r>
    </w:p>
    <w:p>
      <w:pPr>
        <w:pStyle w:val="ListParagraph"/>
        <w:numPr>
          <w:ilvl w:val="0"/>
          <w:numId w:val="2"/>
        </w:numPr>
        <w:spacing w:after="60" w:before="60"/>
      </w:pPr>
      <w:r>
        <w:rPr>
          <w:rFonts w:ascii="Arial" w:cs="Arial" w:eastAsia="Arial" w:hAnsi="Arial"/>
          <w:color w:val="5B595A"/>
          <w:sz w:val="20"/>
          <w:szCs w:val="20"/>
        </w:rPr>
        <w:t xml:space="preserve">Passwords shall never be shared with colleagues, written on paper near a workstation, or stored in unencrypted files.</w:t>
      </w:r>
    </w:p>
    <w:p>
      <w:pPr>
        <w:pStyle w:val="Heading2"/>
        <w:spacing w:after="100" w:before="200"/>
      </w:pPr>
      <w:r>
        <w:rPr>
          <w:rFonts w:ascii="Arial" w:cs="Arial" w:eastAsia="Arial" w:hAnsi="Arial"/>
          <w:b/>
          <w:bCs/>
          <w:color w:val="7B2D8B"/>
          <w:sz w:val="24"/>
          <w:szCs w:val="24"/>
        </w:rPr>
        <w:t xml:space="preserve">6.2 Recognising Phishing</w:t>
      </w:r>
    </w:p>
    <w:p>
      <w:pPr>
        <w:spacing w:after="80" w:before="80"/>
      </w:pPr>
      <w:r>
        <w:rPr>
          <w:rFonts w:ascii="Arial" w:cs="Arial" w:eastAsia="Arial" w:hAnsi="Arial"/>
          <w:color w:val="5B595A"/>
          <w:sz w:val="20"/>
          <w:szCs w:val="20"/>
        </w:rPr>
        <w:t xml:space="preserve">Phishing emails are the most common entry point for cyber attacks. Participants should look for the following warning signs:</w:t>
      </w:r>
    </w:p>
    <w:p>
      <w:pPr>
        <w:pStyle w:val="ListParagraph"/>
        <w:numPr>
          <w:ilvl w:val="0"/>
          <w:numId w:val="2"/>
        </w:numPr>
        <w:spacing w:after="60" w:before="60"/>
      </w:pPr>
      <w:r>
        <w:rPr>
          <w:rFonts w:ascii="Arial" w:cs="Arial" w:eastAsia="Arial" w:hAnsi="Arial"/>
          <w:color w:val="5B595A"/>
          <w:sz w:val="20"/>
          <w:szCs w:val="20"/>
        </w:rPr>
        <w:t xml:space="preserve">Urgency: emails that pressure the recipient to act immediately, particularly around payments, password resets or account access.</w:t>
      </w:r>
    </w:p>
    <w:p>
      <w:pPr>
        <w:pStyle w:val="ListParagraph"/>
        <w:numPr>
          <w:ilvl w:val="0"/>
          <w:numId w:val="2"/>
        </w:numPr>
        <w:spacing w:after="60" w:before="60"/>
      </w:pPr>
      <w:r>
        <w:rPr>
          <w:rFonts w:ascii="Arial" w:cs="Arial" w:eastAsia="Arial" w:hAnsi="Arial"/>
          <w:color w:val="5B595A"/>
          <w:sz w:val="20"/>
          <w:szCs w:val="20"/>
        </w:rPr>
        <w:t xml:space="preserve">Unexpected requests: an email asking you to do something you would not normally be asked to do by that sender.</w:t>
      </w:r>
    </w:p>
    <w:p>
      <w:pPr>
        <w:pStyle w:val="ListParagraph"/>
        <w:numPr>
          <w:ilvl w:val="0"/>
          <w:numId w:val="2"/>
        </w:numPr>
        <w:spacing w:after="60" w:before="60"/>
      </w:pPr>
      <w:r>
        <w:rPr>
          <w:rFonts w:ascii="Arial" w:cs="Arial" w:eastAsia="Arial" w:hAnsi="Arial"/>
          <w:color w:val="5B595A"/>
          <w:sz w:val="20"/>
          <w:szCs w:val="20"/>
        </w:rPr>
        <w:t xml:space="preserve">Sender mismatch: the display name looks right but the actual email address is unfamiliar or contains slight misspellings.</w:t>
      </w:r>
    </w:p>
    <w:p>
      <w:pPr>
        <w:pStyle w:val="ListParagraph"/>
        <w:numPr>
          <w:ilvl w:val="0"/>
          <w:numId w:val="2"/>
        </w:numPr>
        <w:spacing w:after="60" w:before="60"/>
      </w:pPr>
      <w:r>
        <w:rPr>
          <w:rFonts w:ascii="Arial" w:cs="Arial" w:eastAsia="Arial" w:hAnsi="Arial"/>
          <w:color w:val="5B595A"/>
          <w:sz w:val="20"/>
          <w:szCs w:val="20"/>
        </w:rPr>
        <w:t xml:space="preserve">Suspicious links: hover over links before clicking. The URL that appears may not match the displayed text.</w:t>
      </w:r>
    </w:p>
    <w:p>
      <w:pPr>
        <w:pStyle w:val="ListParagraph"/>
        <w:numPr>
          <w:ilvl w:val="0"/>
          <w:numId w:val="2"/>
        </w:numPr>
        <w:spacing w:after="60" w:before="60"/>
      </w:pPr>
      <w:r>
        <w:rPr>
          <w:rFonts w:ascii="Arial" w:cs="Arial" w:eastAsia="Arial" w:hAnsi="Arial"/>
          <w:color w:val="5B595A"/>
          <w:sz w:val="20"/>
          <w:szCs w:val="20"/>
        </w:rPr>
        <w:t xml:space="preserve">Attachments from unknown senders: particularly .zip, .exe, or macro-enabled Office files.</w:t>
      </w:r>
    </w:p>
    <w:p>
      <w:pPr>
        <w:pStyle w:val="Heading2"/>
        <w:spacing w:after="100" w:before="200"/>
      </w:pPr>
      <w:r>
        <w:rPr>
          <w:rFonts w:ascii="Arial" w:cs="Arial" w:eastAsia="Arial" w:hAnsi="Arial"/>
          <w:b/>
          <w:bCs/>
          <w:color w:val="7B2D8B"/>
          <w:sz w:val="24"/>
          <w:szCs w:val="24"/>
        </w:rPr>
        <w:t xml:space="preserve">Worked Example: The Spear Phishing Attempt</w:t>
      </w:r>
    </w:p>
    <w:p>
      <w:pPr>
        <w:spacing w:after="80" w:before="80"/>
      </w:pPr>
      <w:r>
        <w:rPr>
          <w:rFonts w:ascii="Arial" w:cs="Arial" w:eastAsia="Arial" w:hAnsi="Arial"/>
          <w:color w:val="5B595A"/>
          <w:sz w:val="20"/>
          <w:szCs w:val="20"/>
        </w:rPr>
        <w:t xml:space="preserve">A finance team member received an email that appeared to be from the Managing Director, with a subject line reading 'Urgent: Wire Transfer Required.' The email referenced a real project name and asked for an immediate payment to a new supplier account. The MD's display name was correct but the email address was subtly different from the real one.</w:t>
      </w:r>
    </w:p>
    <w:p>
      <w:pPr>
        <w:spacing w:after="80" w:before="80"/>
      </w:pPr>
      <w:r>
        <w:rPr>
          <w:rFonts w:ascii="Arial" w:cs="Arial" w:eastAsia="Arial" w:hAnsi="Arial"/>
          <w:color w:val="5B595A"/>
          <w:sz w:val="20"/>
          <w:szCs w:val="20"/>
        </w:rPr>
        <w:t xml:space="preserve">Discussion points: How might the attacker have known about the project? What should the finance team member do? What controls could have detected this sooner?</w:t>
      </w:r>
    </w:p>
    <w:p>
      <w:pPr>
        <w:pStyle w:val="Heading2"/>
        <w:spacing w:after="100" w:before="200"/>
      </w:pPr>
      <w:r>
        <w:rPr>
          <w:rFonts w:ascii="Arial" w:cs="Arial" w:eastAsia="Arial" w:hAnsi="Arial"/>
          <w:b/>
          <w:bCs/>
          <w:color w:val="7B2D8B"/>
          <w:sz w:val="24"/>
          <w:szCs w:val="24"/>
        </w:rPr>
        <w:t xml:space="preserve">6.3 Safe Use of Email and Cloud Services</w:t>
      </w:r>
    </w:p>
    <w:p>
      <w:pPr>
        <w:pStyle w:val="ListParagraph"/>
        <w:numPr>
          <w:ilvl w:val="0"/>
          <w:numId w:val="2"/>
        </w:numPr>
        <w:spacing w:after="60" w:before="60"/>
      </w:pPr>
      <w:r>
        <w:rPr>
          <w:rFonts w:ascii="Arial" w:cs="Arial" w:eastAsia="Arial" w:hAnsi="Arial"/>
          <w:color w:val="5B595A"/>
          <w:sz w:val="20"/>
          <w:szCs w:val="20"/>
        </w:rPr>
        <w:t xml:space="preserve">Check the recipient before sending. Autocomplete can populate the wrong address.</w:t>
      </w:r>
    </w:p>
    <w:p>
      <w:pPr>
        <w:pStyle w:val="ListParagraph"/>
        <w:numPr>
          <w:ilvl w:val="0"/>
          <w:numId w:val="2"/>
        </w:numPr>
        <w:spacing w:after="60" w:before="60"/>
      </w:pPr>
      <w:r>
        <w:rPr>
          <w:rFonts w:ascii="Arial" w:cs="Arial" w:eastAsia="Arial" w:hAnsi="Arial"/>
          <w:color w:val="5B595A"/>
          <w:sz w:val="20"/>
          <w:szCs w:val="20"/>
        </w:rPr>
        <w:t xml:space="preserve">Do not use personal email accounts for nuclear programme communications under any circumstances.</w:t>
      </w:r>
    </w:p>
    <w:p>
      <w:pPr>
        <w:pStyle w:val="ListParagraph"/>
        <w:numPr>
          <w:ilvl w:val="0"/>
          <w:numId w:val="2"/>
        </w:numPr>
        <w:spacing w:after="60" w:before="60"/>
      </w:pPr>
      <w:r>
        <w:rPr>
          <w:rFonts w:ascii="Arial" w:cs="Arial" w:eastAsia="Arial" w:hAnsi="Arial"/>
          <w:color w:val="5B595A"/>
          <w:sz w:val="20"/>
          <w:szCs w:val="20"/>
        </w:rPr>
        <w:t xml:space="preserve">Approved cloud storage services are listed by IT. If a service is not on the approved list, do not use it for nuclear programme data.</w:t>
      </w:r>
    </w:p>
    <w:p>
      <w:pPr>
        <w:pStyle w:val="ListParagraph"/>
        <w:numPr>
          <w:ilvl w:val="0"/>
          <w:numId w:val="2"/>
        </w:numPr>
        <w:spacing w:after="60" w:before="60"/>
      </w:pPr>
      <w:r>
        <w:rPr>
          <w:rFonts w:ascii="Arial" w:cs="Arial" w:eastAsia="Arial" w:hAnsi="Arial"/>
          <w:color w:val="5B595A"/>
          <w:sz w:val="20"/>
          <w:szCs w:val="20"/>
        </w:rPr>
        <w:t xml:space="preserve">Be cautious about connecting to public or guest Wi-Fi networks when working on nuclear programme tasks. Use a VPN where possible.</w:t>
      </w:r>
    </w:p>
    <w:p>
      <w:pPr>
        <w:pStyle w:val="Heading1"/>
        <w:spacing w:after="120" w:before="300"/>
      </w:pPr>
      <w:r>
        <w:rPr>
          <w:rFonts w:ascii="Arial" w:cs="Arial" w:eastAsia="Arial" w:hAnsi="Arial"/>
          <w:b/>
          <w:bCs/>
          <w:color w:val="29ABE2"/>
          <w:sz w:val="28"/>
          <w:szCs w:val="28"/>
        </w:rPr>
        <w:t xml:space="preserve">7. Module 4: Physical Security and Visitor Handling</w:t>
      </w:r>
    </w:p>
    <w:p>
      <w:pPr>
        <w:pStyle w:val="Heading2"/>
        <w:spacing w:after="100" w:before="200"/>
      </w:pPr>
      <w:r>
        <w:rPr>
          <w:rFonts w:ascii="Arial" w:cs="Arial" w:eastAsia="Arial" w:hAnsi="Arial"/>
          <w:b/>
          <w:bCs/>
          <w:color w:val="7B2D8B"/>
          <w:sz w:val="24"/>
          <w:szCs w:val="24"/>
        </w:rPr>
        <w:t xml:space="preserve">Trainer Notes</w:t>
      </w:r>
    </w:p>
    <w:p>
      <w:pPr>
        <w:spacing w:after="80" w:before="80"/>
      </w:pPr>
      <w:r>
        <w:rPr>
          <w:rFonts w:ascii="Arial" w:cs="Arial" w:eastAsia="Arial" w:hAnsi="Arial"/>
          <w:color w:val="5B595A"/>
          <w:sz w:val="20"/>
          <w:szCs w:val="20"/>
        </w:rPr>
        <w:t xml:space="preserve">Physical security is often less visible than cyber controls, and it is sometimes underestimated. Nuclear programme work creates physical documents, drawings, printed specifications and meeting room discussions that are just as sensitive as the electronic equivalents.</w:t>
      </w:r>
    </w:p>
    <w:p>
      <w:pPr>
        <w:pStyle w:val="Heading2"/>
        <w:spacing w:after="100" w:before="200"/>
      </w:pPr>
      <w:r>
        <w:rPr>
          <w:rFonts w:ascii="Arial" w:cs="Arial" w:eastAsia="Arial" w:hAnsi="Arial"/>
          <w:b/>
          <w:bCs/>
          <w:color w:val="7B2D8B"/>
          <w:sz w:val="24"/>
          <w:szCs w:val="24"/>
        </w:rPr>
        <w:t xml:space="preserve">Clear Desk and Clear Screen</w:t>
      </w:r>
    </w:p>
    <w:p>
      <w:pPr>
        <w:pStyle w:val="ListParagraph"/>
        <w:numPr>
          <w:ilvl w:val="0"/>
          <w:numId w:val="2"/>
        </w:numPr>
        <w:spacing w:after="60" w:before="60"/>
      </w:pPr>
      <w:r>
        <w:rPr>
          <w:rFonts w:ascii="Arial" w:cs="Arial" w:eastAsia="Arial" w:hAnsi="Arial"/>
          <w:color w:val="5B595A"/>
          <w:sz w:val="20"/>
          <w:szCs w:val="20"/>
        </w:rPr>
        <w:t xml:space="preserve">At the end of each working day, and whenever leaving a workstation unattended for more than a few minutes, classified documents should be locked away and screens locked.</w:t>
      </w:r>
    </w:p>
    <w:p>
      <w:pPr>
        <w:pStyle w:val="ListParagraph"/>
        <w:numPr>
          <w:ilvl w:val="0"/>
          <w:numId w:val="2"/>
        </w:numPr>
        <w:spacing w:after="60" w:before="60"/>
      </w:pPr>
      <w:r>
        <w:rPr>
          <w:rFonts w:ascii="Arial" w:cs="Arial" w:eastAsia="Arial" w:hAnsi="Arial"/>
          <w:color w:val="5B595A"/>
          <w:sz w:val="20"/>
          <w:szCs w:val="20"/>
        </w:rPr>
        <w:t xml:space="preserve">The clear desk policy is not just about security. It also reflects professionalism and discipline, which are qualities that nuclear clients assess during site visits and audits.</w:t>
      </w:r>
    </w:p>
    <w:p>
      <w:pPr>
        <w:pStyle w:val="ListParagraph"/>
        <w:numPr>
          <w:ilvl w:val="0"/>
          <w:numId w:val="2"/>
        </w:numPr>
        <w:spacing w:after="60" w:before="60"/>
      </w:pPr>
      <w:r>
        <w:rPr>
          <w:rFonts w:ascii="Arial" w:cs="Arial" w:eastAsia="Arial" w:hAnsi="Arial"/>
          <w:color w:val="5B595A"/>
          <w:sz w:val="20"/>
          <w:szCs w:val="20"/>
        </w:rPr>
        <w:t xml:space="preserve">Whiteboards are a frequent oversight. Technical content from a design review or quality meeting left on a whiteboard is as sensitive as a printed document left on a desk.</w:t>
      </w:r>
    </w:p>
    <w:p>
      <w:pPr>
        <w:pStyle w:val="Heading2"/>
        <w:spacing w:after="100" w:before="200"/>
      </w:pPr>
      <w:r>
        <w:rPr>
          <w:rFonts w:ascii="Arial" w:cs="Arial" w:eastAsia="Arial" w:hAnsi="Arial"/>
          <w:b/>
          <w:bCs/>
          <w:color w:val="7B2D8B"/>
          <w:sz w:val="24"/>
          <w:szCs w:val="24"/>
        </w:rPr>
        <w:t xml:space="preserve">Visitor Handling</w:t>
      </w:r>
    </w:p>
    <w:p>
      <w:pPr>
        <w:pStyle w:val="ListParagraph"/>
        <w:numPr>
          <w:ilvl w:val="0"/>
          <w:numId w:val="2"/>
        </w:numPr>
        <w:spacing w:after="60" w:before="60"/>
      </w:pPr>
      <w:r>
        <w:rPr>
          <w:rFonts w:ascii="Arial" w:cs="Arial" w:eastAsia="Arial" w:hAnsi="Arial"/>
          <w:color w:val="5B595A"/>
          <w:sz w:val="20"/>
          <w:szCs w:val="20"/>
        </w:rPr>
        <w:t xml:space="preserve">Visitors to areas where nuclear programme work is conducted should be escorted at all times.</w:t>
      </w:r>
    </w:p>
    <w:p>
      <w:pPr>
        <w:pStyle w:val="ListParagraph"/>
        <w:numPr>
          <w:ilvl w:val="0"/>
          <w:numId w:val="2"/>
        </w:numPr>
        <w:spacing w:after="60" w:before="60"/>
      </w:pPr>
      <w:r>
        <w:rPr>
          <w:rFonts w:ascii="Arial" w:cs="Arial" w:eastAsia="Arial" w:hAnsi="Arial"/>
          <w:color w:val="5B595A"/>
          <w:sz w:val="20"/>
          <w:szCs w:val="20"/>
        </w:rPr>
        <w:t xml:space="preserve">Before a visitor enters a work area, a quick sweep should confirm that sensitive documents, screens and written content are not visible or accessible to someone without authorisation.</w:t>
      </w:r>
    </w:p>
    <w:p>
      <w:pPr>
        <w:pStyle w:val="ListParagraph"/>
        <w:numPr>
          <w:ilvl w:val="0"/>
          <w:numId w:val="2"/>
        </w:numPr>
        <w:spacing w:after="60" w:before="60"/>
      </w:pPr>
      <w:r>
        <w:rPr>
          <w:rFonts w:ascii="Arial" w:cs="Arial" w:eastAsia="Arial" w:hAnsi="Arial"/>
          <w:color w:val="5B595A"/>
          <w:sz w:val="20"/>
          <w:szCs w:val="20"/>
        </w:rPr>
        <w:t xml:space="preserve">Visitors should be asked to sign the visitor confidentiality acknowledgement at reception.</w:t>
      </w:r>
    </w:p>
    <w:p>
      <w:pPr>
        <w:pStyle w:val="ListParagraph"/>
        <w:numPr>
          <w:ilvl w:val="0"/>
          <w:numId w:val="2"/>
        </w:numPr>
        <w:spacing w:after="60" w:before="60"/>
      </w:pPr>
      <w:r>
        <w:rPr>
          <w:rFonts w:ascii="Arial" w:cs="Arial" w:eastAsia="Arial" w:hAnsi="Arial"/>
          <w:color w:val="5B595A"/>
          <w:sz w:val="20"/>
          <w:szCs w:val="20"/>
        </w:rPr>
        <w:t xml:space="preserve">Concerns about a visitor's behaviour during a site visit should be reported to the relevant manager immediately.</w:t>
      </w:r>
    </w:p>
    <w:p>
      <w:pPr>
        <w:pStyle w:val="Heading1"/>
        <w:spacing w:after="120" w:before="300"/>
      </w:pPr>
      <w:r>
        <w:rPr>
          <w:rFonts w:ascii="Arial" w:cs="Arial" w:eastAsia="Arial" w:hAnsi="Arial"/>
          <w:b/>
          <w:bCs/>
          <w:color w:val="29ABE2"/>
          <w:sz w:val="28"/>
          <w:szCs w:val="28"/>
        </w:rPr>
        <w:t xml:space="preserve">8. Module 5: Reporting and Responding</w:t>
      </w:r>
    </w:p>
    <w:p>
      <w:pPr>
        <w:pStyle w:val="Heading2"/>
        <w:spacing w:after="100" w:before="200"/>
      </w:pPr>
      <w:r>
        <w:rPr>
          <w:rFonts w:ascii="Arial" w:cs="Arial" w:eastAsia="Arial" w:hAnsi="Arial"/>
          <w:b/>
          <w:bCs/>
          <w:color w:val="7B2D8B"/>
          <w:sz w:val="24"/>
          <w:szCs w:val="24"/>
        </w:rPr>
        <w:t xml:space="preserve">Trainer Notes</w:t>
      </w:r>
    </w:p>
    <w:p>
      <w:pPr>
        <w:spacing w:after="80" w:before="80"/>
      </w:pPr>
      <w:r>
        <w:rPr>
          <w:rFonts w:ascii="Arial" w:cs="Arial" w:eastAsia="Arial" w:hAnsi="Arial"/>
          <w:color w:val="5B595A"/>
          <w:sz w:val="20"/>
          <w:szCs w:val="20"/>
        </w:rPr>
        <w:t xml:space="preserve">Reporting is only effective if people feel safe doing it. The goal of this module is to build confidence in the reporting process and remove any fear of consequences for genuine good-faith reporting.</w:t>
      </w:r>
    </w:p>
    <w:p>
      <w:pPr>
        <w:pStyle w:val="Heading2"/>
        <w:spacing w:after="100" w:before="200"/>
      </w:pPr>
      <w:r>
        <w:rPr>
          <w:rFonts w:ascii="Arial" w:cs="Arial" w:eastAsia="Arial" w:hAnsi="Arial"/>
          <w:b/>
          <w:bCs/>
          <w:color w:val="7B2D8B"/>
          <w:sz w:val="24"/>
          <w:szCs w:val="24"/>
        </w:rPr>
        <w:t xml:space="preserve">What to Report</w:t>
      </w:r>
    </w:p>
    <w:p>
      <w:pPr>
        <w:pStyle w:val="ListParagraph"/>
        <w:numPr>
          <w:ilvl w:val="0"/>
          <w:numId w:val="2"/>
        </w:numPr>
        <w:spacing w:after="60" w:before="60"/>
      </w:pPr>
      <w:r>
        <w:rPr>
          <w:rFonts w:ascii="Arial" w:cs="Arial" w:eastAsia="Arial" w:hAnsi="Arial"/>
          <w:color w:val="5B595A"/>
          <w:sz w:val="20"/>
          <w:szCs w:val="20"/>
        </w:rPr>
        <w:t xml:space="preserve">Any suspected loss or theft of classified information or documents.</w:t>
      </w:r>
    </w:p>
    <w:p>
      <w:pPr>
        <w:pStyle w:val="ListParagraph"/>
        <w:numPr>
          <w:ilvl w:val="0"/>
          <w:numId w:val="2"/>
        </w:numPr>
        <w:spacing w:after="60" w:before="60"/>
      </w:pPr>
      <w:r>
        <w:rPr>
          <w:rFonts w:ascii="Arial" w:cs="Arial" w:eastAsia="Arial" w:hAnsi="Arial"/>
          <w:color w:val="5B595A"/>
          <w:sz w:val="20"/>
          <w:szCs w:val="20"/>
        </w:rPr>
        <w:t xml:space="preserve">A suspected phishing email or other suspicious communication.</w:t>
      </w:r>
    </w:p>
    <w:p>
      <w:pPr>
        <w:pStyle w:val="ListParagraph"/>
        <w:numPr>
          <w:ilvl w:val="0"/>
          <w:numId w:val="2"/>
        </w:numPr>
        <w:spacing w:after="60" w:before="60"/>
      </w:pPr>
      <w:r>
        <w:rPr>
          <w:rFonts w:ascii="Arial" w:cs="Arial" w:eastAsia="Arial" w:hAnsi="Arial"/>
          <w:color w:val="5B595A"/>
          <w:sz w:val="20"/>
          <w:szCs w:val="20"/>
        </w:rPr>
        <w:t xml:space="preserve">Accidental disclosure, such as sending a classified document to the wrong recipient.</w:t>
      </w:r>
    </w:p>
    <w:p>
      <w:pPr>
        <w:pStyle w:val="ListParagraph"/>
        <w:numPr>
          <w:ilvl w:val="0"/>
          <w:numId w:val="2"/>
        </w:numPr>
        <w:spacing w:after="60" w:before="60"/>
      </w:pPr>
      <w:r>
        <w:rPr>
          <w:rFonts w:ascii="Arial" w:cs="Arial" w:eastAsia="Arial" w:hAnsi="Arial"/>
          <w:color w:val="5B595A"/>
          <w:sz w:val="20"/>
          <w:szCs w:val="20"/>
        </w:rPr>
        <w:t xml:space="preserve">A suspected breach of company IT or physical security.</w:t>
      </w:r>
    </w:p>
    <w:p>
      <w:pPr>
        <w:pStyle w:val="ListParagraph"/>
        <w:numPr>
          <w:ilvl w:val="0"/>
          <w:numId w:val="2"/>
        </w:numPr>
        <w:spacing w:after="60" w:before="60"/>
      </w:pPr>
      <w:r>
        <w:rPr>
          <w:rFonts w:ascii="Arial" w:cs="Arial" w:eastAsia="Arial" w:hAnsi="Arial"/>
          <w:color w:val="5B595A"/>
          <w:sz w:val="20"/>
          <w:szCs w:val="20"/>
        </w:rPr>
        <w:t xml:space="preserve">A colleague's behaviour that raises concerns about their adherence to security requirements.</w:t>
      </w:r>
    </w:p>
    <w:p>
      <w:pPr>
        <w:pStyle w:val="Heading2"/>
        <w:spacing w:after="100" w:before="200"/>
      </w:pPr>
      <w:r>
        <w:rPr>
          <w:rFonts w:ascii="Arial" w:cs="Arial" w:eastAsia="Arial" w:hAnsi="Arial"/>
          <w:b/>
          <w:bCs/>
          <w:color w:val="7B2D8B"/>
          <w:sz w:val="24"/>
          <w:szCs w:val="24"/>
        </w:rPr>
        <w:t xml:space="preserve">How to Report</w:t>
      </w:r>
    </w:p>
    <w:p>
      <w:pPr>
        <w:spacing w:after="80" w:before="80"/>
      </w:pPr>
      <w:r>
        <w:rPr>
          <w:rFonts w:ascii="Arial" w:cs="Arial" w:eastAsia="Arial" w:hAnsi="Arial"/>
          <w:color w:val="5B595A"/>
          <w:sz w:val="20"/>
          <w:szCs w:val="20"/>
        </w:rPr>
        <w:t xml:space="preserve">Reports are made to the Information Security Manager or, if unavailable, to the line manager or senior manager on duty. The Security Incident Log (NSS-07-07) is completed as part of the reporting process. For urgent or serious incidents, the reporter should telephone rather than email to ensure immediate attention.</w:t>
      </w:r>
    </w:p>
    <w:p>
      <w:pPr>
        <w:spacing w:after="80" w:before="80"/>
      </w:pPr>
      <w:r>
        <w:rPr>
          <w:rFonts w:ascii="Arial" w:cs="Arial" w:eastAsia="Arial" w:hAnsi="Arial"/>
          <w:color w:val="5B595A"/>
          <w:sz w:val="20"/>
          <w:szCs w:val="20"/>
        </w:rPr>
        <w:t xml:space="preserve">The reporting culture should be explicitly stated here: the company operates a no-blame approach to good-faith reporting. A person who reports a suspected breach promptly and honestly will not face disciplinary action for the underlying event. Delayed or concealed reports are treated differently.</w:t>
      </w:r>
    </w:p>
    <w:p>
      <w:pPr>
        <w:pStyle w:val="Heading2"/>
        <w:spacing w:after="100" w:before="200"/>
      </w:pPr>
      <w:r>
        <w:rPr>
          <w:rFonts w:ascii="Arial" w:cs="Arial" w:eastAsia="Arial" w:hAnsi="Arial"/>
          <w:b/>
          <w:bCs/>
          <w:color w:val="7B2D8B"/>
          <w:sz w:val="24"/>
          <w:szCs w:val="24"/>
        </w:rPr>
        <w:t xml:space="preserve">What Happens Next</w:t>
      </w:r>
    </w:p>
    <w:p>
      <w:pPr>
        <w:spacing w:after="80" w:before="80"/>
      </w:pPr>
      <w:r>
        <w:rPr>
          <w:rFonts w:ascii="Arial" w:cs="Arial" w:eastAsia="Arial" w:hAnsi="Arial"/>
          <w:color w:val="5B595A"/>
          <w:sz w:val="20"/>
          <w:szCs w:val="20"/>
        </w:rPr>
        <w:t xml:space="preserve">When a report is received, the Information Security Manager will assess the severity and initiate the appropriate response as set out in the Cybersecurity Controls Framework (NSS-07-02) and the Security Incident Log procedure. The reporter will be kept informed of the outcome where appropriate.</w:t>
      </w:r>
    </w:p>
    <w:p>
      <w:pPr>
        <w:pStyle w:val="Heading1"/>
        <w:spacing w:after="120" w:before="300"/>
      </w:pPr>
      <w:r>
        <w:rPr>
          <w:rFonts w:ascii="Arial" w:cs="Arial" w:eastAsia="Arial" w:hAnsi="Arial"/>
          <w:b/>
          <w:bCs/>
          <w:color w:val="29ABE2"/>
          <w:sz w:val="28"/>
          <w:szCs w:val="28"/>
        </w:rPr>
        <w:t xml:space="preserve">9. Training Completion and Records</w:t>
      </w:r>
    </w:p>
    <w:p>
      <w:pPr>
        <w:spacing w:after="80" w:before="80"/>
      </w:pPr>
      <w:r>
        <w:rPr>
          <w:rFonts w:ascii="Arial" w:cs="Arial" w:eastAsia="Arial" w:hAnsi="Arial"/>
          <w:color w:val="5B595A"/>
          <w:sz w:val="20"/>
          <w:szCs w:val="20"/>
        </w:rPr>
        <w:t xml:space="preserve">At the conclusion of training, each participant signs the attendance record. The trainer completes the attendance record with the date, module(s) covered, delivery method and their own name. Signed records are submitted to HR within 5 working days of the training session.</w:t>
      </w:r>
    </w:p>
    <w:p>
      <w:pPr>
        <w:spacing w:after="80" w:before="80"/>
      </w:pPr>
      <w:r>
        <w:rPr>
          <w:rFonts w:ascii="Arial" w:cs="Arial" w:eastAsia="Arial" w:hAnsi="Arial"/>
          <w:color w:val="5B595A"/>
          <w:sz w:val="20"/>
          <w:szCs w:val="20"/>
        </w:rPr>
        <w:t xml:space="preserve">HR enters the training completion against each participant's name in the SQEP training matrix. The entry includes the date, the training reference (NSS-07-09) and the version number of this guide used for delivery.</w:t>
      </w:r>
    </w:p>
    <w:p>
      <w:pPr>
        <w:pStyle w:val="Heading1"/>
        <w:spacing w:after="120" w:before="300"/>
      </w:pPr>
      <w:r>
        <w:rPr>
          <w:rFonts w:ascii="Arial" w:cs="Arial" w:eastAsia="Arial" w:hAnsi="Arial"/>
          <w:b/>
          <w:bCs/>
          <w:color w:val="29ABE2"/>
          <w:sz w:val="28"/>
          <w:szCs w:val="28"/>
        </w:rPr>
        <w:t xml:space="preserve">10. Updating This Guide</w:t>
      </w:r>
    </w:p>
    <w:p>
      <w:pPr>
        <w:spacing w:after="80" w:before="80"/>
      </w:pPr>
      <w:r>
        <w:rPr>
          <w:rFonts w:ascii="Arial" w:cs="Arial" w:eastAsia="Arial" w:hAnsi="Arial"/>
          <w:color w:val="5B595A"/>
          <w:sz w:val="20"/>
          <w:szCs w:val="20"/>
        </w:rPr>
        <w:t xml:space="preserve">This guide is reviewed annually by the Information Security Manager in consultation with HR and the Quality Manager. Reviews consider: changes in the threat environment, lessons from security incidents, updated client requirements and feedback from training sessions. The worked examples and practical exercises shall be refreshed to reflect current and relevant scenarios.</w:t>
      </w:r>
    </w:p>
    <w:sectPr>
      <w:headerReference w:type="default" r:id="rId7"/>
      <w:footerReference w:type="default" r:id="rId8"/>
      <w:pgSz w:w="11906" w:h="16838" w:orient="portrait"/>
      <w:pgMar w:top="1080" w:right="1080" w:bottom="108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83348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9FE3"/>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e40d43c0ba4ffb45ea9359ad3458fa65afc3548f.jpg"/></Relationships>
</file>

<file path=word/_rels/header1.xml.rels><?xml version='1.0' encoding='UTF-8' standalone='yes'?>
<Relationships xmlns="http://schemas.openxmlformats.org/package/2006/relationships"><Relationship Id="rId0" Type="http://schemas.openxmlformats.org/officeDocument/2006/relationships/image" Target="media/7400ee0919b941006232ee1142da60edd96fe65b.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8289C7-20A5-4318-AB09-69855A167F86}"/>
</file>

<file path=customXml/itemProps2.xml><?xml version="1.0" encoding="utf-8"?>
<ds:datastoreItem xmlns:ds="http://schemas.openxmlformats.org/officeDocument/2006/customXml" ds:itemID="{C791FEFA-D031-4A4E-8C8B-DCE2FA0D09F3}"/>
</file>

<file path=customXml/itemProps3.xml><?xml version="1.0" encoding="utf-8"?>
<ds:datastoreItem xmlns:ds="http://schemas.openxmlformats.org/officeDocument/2006/customXml" ds:itemID="{1972FEC6-E45F-499B-A937-A9EF955FC74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NSS-07-09 Information Security Awareness Training Guide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