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drawing>
          <wp:inline distT="0" distB="0" distL="0" distR="0">
            <wp:extent cx="1905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571500"/>
                    </a:xfrm>
                    <a:prstGeom prst="rect">
                      <a:avLst/>
                    </a:prstGeom>
                  </pic:spPr>
                </pic:pic>
              </a:graphicData>
            </a:graphic>
          </wp:inline>
        </w:drawing>
      </w:r>
    </w:p>
    <w:p>
      <w:pPr>
        <w:spacing w:after="240" w:before="480"/>
        <w:jc w:val="center"/>
      </w:pPr>
      <w:r>
        <w:rPr>
          <w:rFonts w:ascii="Arial" w:cs="Arial" w:eastAsia="Arial" w:hAnsi="Arial"/>
          <w:b/>
          <w:bCs/>
          <w:color w:val="009FE3"/>
          <w:sz w:val="56"/>
          <w:szCs w:val="56"/>
        </w:rPr>
        <w:t xml:space="preserve">Nuclear Procurement Requirements</w:t>
      </w:r>
    </w:p>
    <w:p>
      <w:pPr>
        <w:spacing w:after="240" w:before="0"/>
        <w:jc w:val="center"/>
      </w:pPr>
      <w:r>
        <w:rPr>
          <w:rFonts w:ascii="Arial" w:cs="Arial" w:eastAsia="Arial" w:hAnsi="Arial"/>
          <w:b/>
          <w:bCs/>
          <w:color w:val="83348F"/>
          <w:sz w:val="36"/>
          <w:szCs w:val="36"/>
        </w:rPr>
        <w:t xml:space="preserve">A Practical Guide for Supply Chain Organisations</w:t>
      </w:r>
    </w:p>
    <w:p>
      <w:pPr>
        <w:spacing w:after="480" w:before="240"/>
        <w:jc w:val="center"/>
      </w:pPr>
      <w:r>
        <w:rPr>
          <w:rFonts w:ascii="Arial" w:cs="Arial" w:eastAsia="Arial" w:hAnsi="Arial"/>
          <w:i/>
          <w:iCs/>
          <w:color w:val="5B595A"/>
          <w:sz w:val="24"/>
          <w:szCs w:val="24"/>
        </w:rPr>
        <w:t xml:space="preserve">Understanding and applying nuclear-specific procurement standards, grading, specifications and supplier controls</w:t>
      </w:r>
    </w:p>
    <w:p>
      <w:pPr>
        <w:jc w:val="center"/>
      </w:pPr>
      <w:r>
        <w:rPr>
          <w:rFonts w:ascii="Arial" w:cs="Arial" w:eastAsia="Arial" w:hAnsi="Arial"/>
          <w:color w:val="5B595A"/>
          <w:sz w:val="20"/>
          <w:szCs w:val="20"/>
        </w:rPr>
        <w:t xml:space="preserve">NSS-06-TG-01 | Nuclear Sector Specific | Supply Chain Readiness</w:t>
      </w:r>
    </w:p>
    <w:p>
      <w:r>
        <w:br w:type="page"/>
      </w:r>
    </w:p>
    <w:p>
      <w:pPr>
        <w:pStyle w:val="Heading1"/>
        <w:spacing w:after="120" w:before="300"/>
      </w:pPr>
      <w:r>
        <w:rPr>
          <w:rFonts w:ascii="Arial" w:cs="Arial" w:eastAsia="Arial" w:hAnsi="Arial"/>
          <w:b/>
          <w:bCs/>
          <w:color w:val="29ABE2"/>
          <w:sz w:val="32"/>
          <w:szCs w:val="32"/>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2726"/>
      </w:tblGrid>
      <w:tr>
        <w:tc>
          <w:tcPr>
            <w:tcW w:type="dxa" w:w="18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27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29/06/2026</w:t>
            </w:r>
          </w:p>
        </w:tc>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[Company Name]</w:t>
            </w:r>
          </w:p>
        </w:tc>
        <w:tc>
          <w:tcPr>
            <w:tcW w:type="dxa" w:w="27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issue</w:t>
            </w:r>
          </w:p>
        </w:tc>
      </w:tr>
    </w:tbl>
    <w:p>
      <w:r>
        <w:br w:type="page"/>
      </w:r>
    </w:p>
    <w:p>
      <w:pPr>
        <w:pStyle w:val="Heading1"/>
        <w:spacing w:after="120" w:before="300"/>
      </w:pPr>
      <w:r>
        <w:rPr>
          <w:rFonts w:ascii="Arial" w:cs="Arial" w:eastAsia="Arial" w:hAnsi="Arial"/>
          <w:b/>
          <w:bCs/>
          <w:color w:val="29ABE2"/>
          <w:sz w:val="32"/>
          <w:szCs w:val="32"/>
        </w:rPr>
        <w:t xml:space="preserve">1. Introduction</w:t>
      </w:r>
    </w:p>
    <w:p>
      <w:pPr>
        <w:spacing w:after="60" w:before="60"/>
      </w:pPr>
      <w:r>
        <w:rPr>
          <w:rFonts w:ascii="Arial" w:cs="Arial" w:eastAsia="Arial" w:hAnsi="Arial"/>
          <w:b w:val="false"/>
          <w:bCs w:val="false"/>
          <w:i w:val="false"/>
          <w:iCs w:val="false"/>
          <w:color w:val="000000"/>
          <w:sz w:val="22"/>
          <w:szCs w:val="22"/>
        </w:rPr>
        <w:t xml:space="preserve">Procurement in the nuclear sector is unlike procurement in any other industry. The items and services that nuclear organisations buy may directly influence the safety of operating plant, the integrity of safety cases and the confidence that regulators and the public place in the sector as a whole. A single substandard component, if it enters a safety-significant system, can have consequences that extend far beyond a single project or organisation.</w:t>
      </w:r>
    </w:p>
    <w:p>
      <w:pPr>
        <w:spacing w:after="60" w:before="60"/>
      </w:pPr>
      <w:r>
        <w:rPr>
          <w:rFonts w:ascii="Arial" w:cs="Arial" w:eastAsia="Arial" w:hAnsi="Arial"/>
          <w:b w:val="false"/>
          <w:bCs w:val="false"/>
          <w:i w:val="false"/>
          <w:iCs w:val="false"/>
          <w:color w:val="000000"/>
          <w:sz w:val="22"/>
          <w:szCs w:val="22"/>
        </w:rPr>
        <w:t xml:space="preserve">This guide is written for manufacturing and engineering companies that are supplying, or intending to supply, the nuclear sector. It explains what nuclear-specific procurement means in practice, why it exists, and what your organisation needs to put in place to meet buyer expectations consistently.</w:t>
      </w:r>
    </w:p>
    <w:p>
      <w:pPr>
        <w:spacing w:after="100" w:before="100"/>
        <w:ind w:left="360"/>
      </w:pPr>
      <w:r>
        <w:rPr>
          <w:rFonts w:ascii="Arial" w:cs="Arial" w:eastAsia="Arial" w:hAnsi="Arial"/>
          <w:i/>
          <w:iCs/>
          <w:color w:val="83348F"/>
          <w:sz w:val="22"/>
          <w:szCs w:val="22"/>
        </w:rPr>
        <w:t xml:space="preserve">In nuclear, the requirement is not simply to buy the right thing at the right price. The requirement is to demonstrate, with objective evidence, that every step of the procurement process was controlled and traceable.</w:t>
      </w:r>
    </w:p>
    <w:p>
      <w:pPr>
        <w:spacing w:after="60" w:before="60"/>
      </w:pPr>
      <w:r>
        <w:rPr>
          <w:rFonts w:ascii="Arial" w:cs="Arial" w:eastAsia="Arial" w:hAnsi="Arial"/>
          <w:b w:val="false"/>
          <w:bCs w:val="false"/>
          <w:i w:val="false"/>
          <w:iCs w:val="false"/>
          <w:color w:val="000000"/>
          <w:sz w:val="22"/>
          <w:szCs w:val="22"/>
        </w:rPr>
        <w:t xml:space="preserve">The framework for nuclear procurement in the United Kingdom is shaped primarily by the requirements of the Office for Nuclear Regulation (ONR), the guidance contained in TAG 77, the UK Nuclear Industry Good Practice Guide to Supply Chain Quality Requirements (2018), and the requirements of ISO 19443. Together these sources define what "good" looks like and what buyers will expect to see when they audit your purchasing arrangements.</w:t>
      </w:r>
    </w:p>
    <w:p>
      <w:pPr>
        <w:pStyle w:val="Heading2"/>
        <w:spacing w:after="80" w:before="200"/>
      </w:pPr>
      <w:r>
        <w:rPr>
          <w:rFonts w:ascii="Arial" w:cs="Arial" w:eastAsia="Arial" w:hAnsi="Arial"/>
          <w:b/>
          <w:bCs/>
          <w:color w:val="7B2D8B"/>
          <w:sz w:val="26"/>
          <w:szCs w:val="26"/>
        </w:rPr>
        <w:t xml:space="preserve">1.1 Who This Guide Is For</w:t>
      </w:r>
    </w:p>
    <w:p>
      <w:pPr>
        <w:spacing w:after="60" w:before="60"/>
      </w:pPr>
      <w:r>
        <w:rPr>
          <w:rFonts w:ascii="Arial" w:cs="Arial" w:eastAsia="Arial" w:hAnsi="Arial"/>
          <w:b w:val="false"/>
          <w:bCs w:val="false"/>
          <w:i w:val="false"/>
          <w:iCs w:val="false"/>
          <w:color w:val="000000"/>
          <w:sz w:val="22"/>
          <w:szCs w:val="22"/>
        </w:rPr>
        <w:t xml:space="preserve">This guide is intended for:</w:t>
      </w:r>
    </w:p>
    <w:p>
      <w:pPr>
        <w:pStyle w:val="ListParagraph"/>
        <w:numPr>
          <w:ilvl w:val="0"/>
          <w:numId w:val="2"/>
        </w:numPr>
        <w:spacing w:after="40" w:before="40"/>
      </w:pPr>
      <w:r>
        <w:rPr>
          <w:rFonts w:ascii="Arial" w:cs="Arial" w:eastAsia="Arial" w:hAnsi="Arial"/>
          <w:sz w:val="22"/>
          <w:szCs w:val="22"/>
        </w:rPr>
        <w:t xml:space="preserve">Procurement and purchasing managers responsible for buying goods and services used on nuclear projects</w:t>
      </w:r>
    </w:p>
    <w:p>
      <w:pPr>
        <w:pStyle w:val="ListParagraph"/>
        <w:numPr>
          <w:ilvl w:val="0"/>
          <w:numId w:val="2"/>
        </w:numPr>
        <w:spacing w:after="40" w:before="40"/>
      </w:pPr>
      <w:r>
        <w:rPr>
          <w:rFonts w:ascii="Arial" w:cs="Arial" w:eastAsia="Arial" w:hAnsi="Arial"/>
          <w:sz w:val="22"/>
          <w:szCs w:val="22"/>
        </w:rPr>
        <w:t xml:space="preserve">Quality managers implementing or reviewing procurement procedures</w:t>
      </w:r>
    </w:p>
    <w:p>
      <w:pPr>
        <w:pStyle w:val="ListParagraph"/>
        <w:numPr>
          <w:ilvl w:val="0"/>
          <w:numId w:val="2"/>
        </w:numPr>
        <w:spacing w:after="40" w:before="40"/>
      </w:pPr>
      <w:r>
        <w:rPr>
          <w:rFonts w:ascii="Arial" w:cs="Arial" w:eastAsia="Arial" w:hAnsi="Arial"/>
          <w:sz w:val="22"/>
          <w:szCs w:val="22"/>
        </w:rPr>
        <w:t xml:space="preserve">Managing directors and operations leads who are accountable for supply chain controls</w:t>
      </w:r>
    </w:p>
    <w:p>
      <w:pPr>
        <w:pStyle w:val="ListParagraph"/>
        <w:numPr>
          <w:ilvl w:val="0"/>
          <w:numId w:val="2"/>
        </w:numPr>
        <w:spacing w:after="40" w:before="40"/>
      </w:pPr>
      <w:r>
        <w:rPr>
          <w:rFonts w:ascii="Arial" w:cs="Arial" w:eastAsia="Arial" w:hAnsi="Arial"/>
          <w:sz w:val="22"/>
          <w:szCs w:val="22"/>
        </w:rPr>
        <w:t xml:space="preserve">Any organisation working through the Fit For Nuclear (F4N) programme that needs to strengthen its procurement arrangements</w:t>
      </w:r>
    </w:p>
    <w:p>
      <w:pPr>
        <w:pStyle w:val="Heading2"/>
        <w:spacing w:after="80" w:before="200"/>
      </w:pPr>
      <w:r>
        <w:rPr>
          <w:rFonts w:ascii="Arial" w:cs="Arial" w:eastAsia="Arial" w:hAnsi="Arial"/>
          <w:b/>
          <w:bCs/>
          <w:color w:val="7B2D8B"/>
          <w:sz w:val="26"/>
          <w:szCs w:val="26"/>
        </w:rPr>
        <w:t xml:space="preserve">1.2 What This Guide Covers</w:t>
      </w:r>
    </w:p>
    <w:p>
      <w:pPr>
        <w:spacing w:after="60" w:before="60"/>
      </w:pPr>
      <w:r>
        <w:rPr>
          <w:rFonts w:ascii="Arial" w:cs="Arial" w:eastAsia="Arial" w:hAnsi="Arial"/>
          <w:b w:val="false"/>
          <w:bCs w:val="false"/>
          <w:i w:val="false"/>
          <w:iCs w:val="false"/>
          <w:color w:val="000000"/>
          <w:sz w:val="22"/>
          <w:szCs w:val="22"/>
        </w:rPr>
        <w:t xml:space="preserve">This guide addresses the following areas in sequence:</w:t>
      </w:r>
    </w:p>
    <w:p>
      <w:pPr>
        <w:pStyle w:val="ListParagraph"/>
        <w:numPr>
          <w:ilvl w:val="0"/>
          <w:numId w:val="3"/>
        </w:numPr>
        <w:spacing w:after="40" w:before="40"/>
      </w:pPr>
      <w:r>
        <w:rPr>
          <w:rFonts w:ascii="Arial" w:cs="Arial" w:eastAsia="Arial" w:hAnsi="Arial"/>
          <w:sz w:val="22"/>
          <w:szCs w:val="22"/>
        </w:rPr>
        <w:t xml:space="preserve">The structure of nuclear procurement requirements and how they differ from commercial procurement</w:t>
      </w:r>
    </w:p>
    <w:p>
      <w:pPr>
        <w:pStyle w:val="ListParagraph"/>
        <w:numPr>
          <w:ilvl w:val="0"/>
          <w:numId w:val="3"/>
        </w:numPr>
        <w:spacing w:after="40" w:before="40"/>
      </w:pPr>
      <w:r>
        <w:rPr>
          <w:rFonts w:ascii="Arial" w:cs="Arial" w:eastAsia="Arial" w:hAnsi="Arial"/>
          <w:sz w:val="22"/>
          <w:szCs w:val="22"/>
        </w:rPr>
        <w:t xml:space="preserve">Quality grading and how to determine the appropriate level of control for what you buy</w:t>
      </w:r>
    </w:p>
    <w:p>
      <w:pPr>
        <w:pStyle w:val="ListParagraph"/>
        <w:numPr>
          <w:ilvl w:val="0"/>
          <w:numId w:val="3"/>
        </w:numPr>
        <w:spacing w:after="40" w:before="40"/>
      </w:pPr>
      <w:r>
        <w:rPr>
          <w:rFonts w:ascii="Arial" w:cs="Arial" w:eastAsia="Arial" w:hAnsi="Arial"/>
          <w:sz w:val="22"/>
          <w:szCs w:val="22"/>
        </w:rPr>
        <w:t xml:space="preserve">Writing effective nuclear procurement specifications</w:t>
      </w:r>
    </w:p>
    <w:p>
      <w:pPr>
        <w:pStyle w:val="ListParagraph"/>
        <w:numPr>
          <w:ilvl w:val="0"/>
          <w:numId w:val="3"/>
        </w:numPr>
        <w:spacing w:after="40" w:before="40"/>
      </w:pPr>
      <w:r>
        <w:rPr>
          <w:rFonts w:ascii="Arial" w:cs="Arial" w:eastAsia="Arial" w:hAnsi="Arial"/>
          <w:sz w:val="22"/>
          <w:szCs w:val="22"/>
        </w:rPr>
        <w:t xml:space="preserve">Establishing and maintaining an approved supplier list</w:t>
      </w:r>
    </w:p>
    <w:p>
      <w:pPr>
        <w:pStyle w:val="ListParagraph"/>
        <w:numPr>
          <w:ilvl w:val="0"/>
          <w:numId w:val="3"/>
        </w:numPr>
        <w:spacing w:after="40" w:before="40"/>
      </w:pPr>
      <w:r>
        <w:rPr>
          <w:rFonts w:ascii="Arial" w:cs="Arial" w:eastAsia="Arial" w:hAnsi="Arial"/>
          <w:sz w:val="22"/>
          <w:szCs w:val="22"/>
        </w:rPr>
        <w:t xml:space="preserve">Managing the flow-down of requirements through the supply chain</w:t>
      </w:r>
    </w:p>
    <w:p>
      <w:pPr>
        <w:pStyle w:val="ListParagraph"/>
        <w:numPr>
          <w:ilvl w:val="0"/>
          <w:numId w:val="3"/>
        </w:numPr>
        <w:spacing w:after="40" w:before="40"/>
      </w:pPr>
      <w:r>
        <w:rPr>
          <w:rFonts w:ascii="Arial" w:cs="Arial" w:eastAsia="Arial" w:hAnsi="Arial"/>
          <w:sz w:val="22"/>
          <w:szCs w:val="22"/>
        </w:rPr>
        <w:t xml:space="preserve">Counterfeit, Fraudulent and Suspect Items (CFSI) controls</w:t>
      </w:r>
    </w:p>
    <w:p>
      <w:pPr>
        <w:pStyle w:val="ListParagraph"/>
        <w:numPr>
          <w:ilvl w:val="0"/>
          <w:numId w:val="3"/>
        </w:numPr>
        <w:spacing w:after="40" w:before="40"/>
      </w:pPr>
      <w:r>
        <w:rPr>
          <w:rFonts w:ascii="Arial" w:cs="Arial" w:eastAsia="Arial" w:hAnsi="Arial"/>
          <w:sz w:val="22"/>
          <w:szCs w:val="22"/>
        </w:rPr>
        <w:t xml:space="preserve">Records and documentation requirements</w:t>
      </w:r>
    </w:p>
    <w:p>
      <w:r>
        <w:br w:type="page"/>
      </w:r>
    </w:p>
    <w:p>
      <w:pPr>
        <w:pStyle w:val="Heading1"/>
        <w:spacing w:after="120" w:before="300"/>
      </w:pPr>
      <w:r>
        <w:rPr>
          <w:rFonts w:ascii="Arial" w:cs="Arial" w:eastAsia="Arial" w:hAnsi="Arial"/>
          <w:b/>
          <w:bCs/>
          <w:color w:val="29ABE2"/>
          <w:sz w:val="32"/>
          <w:szCs w:val="32"/>
        </w:rPr>
        <w:t xml:space="preserve">2. The Nuclear Procurement Landscape</w:t>
      </w:r>
    </w:p>
    <w:p>
      <w:pPr>
        <w:pStyle w:val="Heading2"/>
        <w:spacing w:after="80" w:before="200"/>
      </w:pPr>
      <w:r>
        <w:rPr>
          <w:rFonts w:ascii="Arial" w:cs="Arial" w:eastAsia="Arial" w:hAnsi="Arial"/>
          <w:b/>
          <w:bCs/>
          <w:color w:val="7B2D8B"/>
          <w:sz w:val="26"/>
          <w:szCs w:val="26"/>
        </w:rPr>
        <w:t xml:space="preserve">2.1 Why Nuclear Procurement Is Different</w:t>
      </w:r>
    </w:p>
    <w:p>
      <w:pPr>
        <w:spacing w:after="60" w:before="60"/>
      </w:pPr>
      <w:r>
        <w:rPr>
          <w:rFonts w:ascii="Arial" w:cs="Arial" w:eastAsia="Arial" w:hAnsi="Arial"/>
          <w:b w:val="false"/>
          <w:bCs w:val="false"/>
          <w:i w:val="false"/>
          <w:iCs w:val="false"/>
          <w:color w:val="000000"/>
          <w:sz w:val="22"/>
          <w:szCs w:val="22"/>
        </w:rPr>
        <w:t xml:space="preserve">In a standard commercial environment, procurement decisions are often driven primarily by cost and delivery. While quality is always relevant, the consequences of a substandard purchase are usually limited and correctable. In the nuclear sector, this calculus changes fundamentally.</w:t>
      </w:r>
    </w:p>
    <w:p>
      <w:pPr>
        <w:spacing w:after="60" w:before="60"/>
      </w:pPr>
      <w:r>
        <w:rPr>
          <w:rFonts w:ascii="Arial" w:cs="Arial" w:eastAsia="Arial" w:hAnsi="Arial"/>
          <w:b w:val="false"/>
          <w:bCs w:val="false"/>
          <w:i w:val="false"/>
          <w:iCs w:val="false"/>
          <w:color w:val="000000"/>
          <w:sz w:val="22"/>
          <w:szCs w:val="22"/>
        </w:rPr>
        <w:t xml:space="preserve">The consequences of failure can include:</w:t>
      </w:r>
    </w:p>
    <w:p>
      <w:pPr>
        <w:pStyle w:val="ListParagraph"/>
        <w:numPr>
          <w:ilvl w:val="0"/>
          <w:numId w:val="2"/>
        </w:numPr>
        <w:spacing w:after="40" w:before="40"/>
      </w:pPr>
      <w:r>
        <w:rPr>
          <w:rFonts w:ascii="Arial" w:cs="Arial" w:eastAsia="Arial" w:hAnsi="Arial"/>
          <w:sz w:val="22"/>
          <w:szCs w:val="22"/>
        </w:rPr>
        <w:t xml:space="preserve">Risk to nuclear safety and public protection</w:t>
      </w:r>
    </w:p>
    <w:p>
      <w:pPr>
        <w:pStyle w:val="ListParagraph"/>
        <w:numPr>
          <w:ilvl w:val="0"/>
          <w:numId w:val="2"/>
        </w:numPr>
        <w:spacing w:after="40" w:before="40"/>
      </w:pPr>
      <w:r>
        <w:rPr>
          <w:rFonts w:ascii="Arial" w:cs="Arial" w:eastAsia="Arial" w:hAnsi="Arial"/>
          <w:sz w:val="22"/>
          <w:szCs w:val="22"/>
        </w:rPr>
        <w:t xml:space="preserve">Damage to plant integrity and extension of outages</w:t>
      </w:r>
    </w:p>
    <w:p>
      <w:pPr>
        <w:pStyle w:val="ListParagraph"/>
        <w:numPr>
          <w:ilvl w:val="0"/>
          <w:numId w:val="2"/>
        </w:numPr>
        <w:spacing w:after="40" w:before="40"/>
      </w:pPr>
      <w:r>
        <w:rPr>
          <w:rFonts w:ascii="Arial" w:cs="Arial" w:eastAsia="Arial" w:hAnsi="Arial"/>
          <w:sz w:val="22"/>
          <w:szCs w:val="22"/>
        </w:rPr>
        <w:t xml:space="preserve">Regulatory intervention and loss of operating licence</w:t>
      </w:r>
    </w:p>
    <w:p>
      <w:pPr>
        <w:pStyle w:val="ListParagraph"/>
        <w:numPr>
          <w:ilvl w:val="0"/>
          <w:numId w:val="2"/>
        </w:numPr>
        <w:spacing w:after="40" w:before="40"/>
      </w:pPr>
      <w:r>
        <w:rPr>
          <w:rFonts w:ascii="Arial" w:cs="Arial" w:eastAsia="Arial" w:hAnsi="Arial"/>
          <w:sz w:val="22"/>
          <w:szCs w:val="22"/>
        </w:rPr>
        <w:t xml:space="preserve">Significant reputational and financial harm</w:t>
      </w:r>
    </w:p>
    <w:p>
      <w:pPr>
        <w:pStyle w:val="ListParagraph"/>
        <w:numPr>
          <w:ilvl w:val="0"/>
          <w:numId w:val="2"/>
        </w:numPr>
        <w:spacing w:after="40" w:before="40"/>
      </w:pPr>
      <w:r>
        <w:rPr>
          <w:rFonts w:ascii="Arial" w:cs="Arial" w:eastAsia="Arial" w:hAnsi="Arial"/>
          <w:sz w:val="22"/>
          <w:szCs w:val="22"/>
        </w:rPr>
        <w:t xml:space="preserve">Criminal liability under the Nuclear Installations Act</w:t>
      </w:r>
    </w:p>
    <w:p>
      <w:pPr>
        <w:spacing w:after="60" w:before="60"/>
      </w:pPr>
      <w:r>
        <w:rPr>
          <w:rFonts w:ascii="Arial" w:cs="Arial" w:eastAsia="Arial" w:hAnsi="Arial"/>
          <w:b w:val="false"/>
          <w:bCs w:val="false"/>
          <w:i w:val="false"/>
          <w:iCs w:val="false"/>
          <w:color w:val="000000"/>
          <w:sz w:val="22"/>
          <w:szCs w:val="22"/>
        </w:rPr>
        <w:t xml:space="preserve">These consequences demand a procurement approach built on systematic control, documented evidence and independent verification. The buyer cannot simply trust that a supplier has delivered what was specified. They must be able to prove it.</w:t>
      </w:r>
    </w:p>
    <w:p>
      <w:pPr>
        <w:pStyle w:val="Heading2"/>
        <w:spacing w:after="80" w:before="200"/>
      </w:pPr>
      <w:r>
        <w:rPr>
          <w:rFonts w:ascii="Arial" w:cs="Arial" w:eastAsia="Arial" w:hAnsi="Arial"/>
          <w:b/>
          <w:bCs/>
          <w:color w:val="7B2D8B"/>
          <w:sz w:val="26"/>
          <w:szCs w:val="26"/>
        </w:rPr>
        <w:t xml:space="preserve">2.2 The Regulatory Context</w:t>
      </w:r>
    </w:p>
    <w:p>
      <w:pPr>
        <w:spacing w:after="60" w:before="60"/>
      </w:pPr>
      <w:r>
        <w:rPr>
          <w:rFonts w:ascii="Arial" w:cs="Arial" w:eastAsia="Arial" w:hAnsi="Arial"/>
          <w:b w:val="false"/>
          <w:bCs w:val="false"/>
          <w:i w:val="false"/>
          <w:iCs w:val="false"/>
          <w:color w:val="000000"/>
          <w:sz w:val="22"/>
          <w:szCs w:val="22"/>
        </w:rPr>
        <w:t xml:space="preserve">In the United Kingdom, nuclear procurement requirements are underpinned by several regulatory and industry frameworks:</w:t>
      </w:r>
    </w:p>
    <w:p>
      <w:pPr>
        <w:spacing w:after="60" w:before="160"/>
      </w:pPr>
      <w:r>
        <w:rPr>
          <w:rFonts w:ascii="Arial" w:cs="Arial" w:eastAsia="Arial" w:hAnsi="Arial"/>
          <w:b/>
          <w:bCs/>
          <w:color w:val="001E3C"/>
          <w:sz w:val="22"/>
          <w:szCs w:val="22"/>
        </w:rPr>
        <w:t xml:space="preserve">ONR Technical Assessment Guide (TAG) 77</w:t>
      </w:r>
    </w:p>
    <w:p>
      <w:pPr>
        <w:spacing w:after="60" w:before="60"/>
      </w:pPr>
      <w:r>
        <w:rPr>
          <w:rFonts w:ascii="Arial" w:cs="Arial" w:eastAsia="Arial" w:hAnsi="Arial"/>
          <w:b w:val="false"/>
          <w:bCs w:val="false"/>
          <w:i w:val="false"/>
          <w:iCs w:val="false"/>
          <w:color w:val="000000"/>
          <w:sz w:val="22"/>
          <w:szCs w:val="22"/>
        </w:rPr>
        <w:t xml:space="preserve">TAG 77 sets out ONR's expectations for supply chain management arrangements for the procurement of nuclear safety-related items or services. It describes what licensees should have in place and, by extension, what they will expect of their suppliers. Key areas covered include specification development, supplier evaluation, quality plan requirements, inspection and surveillance, CFSI controls and operational experience feedback.</w:t>
      </w:r>
    </w:p>
    <w:p>
      <w:pPr>
        <w:spacing w:after="60" w:before="160"/>
      </w:pPr>
      <w:r>
        <w:rPr>
          <w:rFonts w:ascii="Arial" w:cs="Arial" w:eastAsia="Arial" w:hAnsi="Arial"/>
          <w:b/>
          <w:bCs/>
          <w:color w:val="001E3C"/>
          <w:sz w:val="22"/>
          <w:szCs w:val="22"/>
        </w:rPr>
        <w:t xml:space="preserve">UK Nuclear Industry Good Practice Guide to Supply Chain Quality Requirements</w:t>
      </w:r>
    </w:p>
    <w:p>
      <w:pPr>
        <w:spacing w:after="60" w:before="60"/>
      </w:pPr>
      <w:r>
        <w:rPr>
          <w:rFonts w:ascii="Arial" w:cs="Arial" w:eastAsia="Arial" w:hAnsi="Arial"/>
          <w:b w:val="false"/>
          <w:bCs w:val="false"/>
          <w:i w:val="false"/>
          <w:iCs w:val="false"/>
          <w:color w:val="000000"/>
          <w:sz w:val="22"/>
          <w:szCs w:val="22"/>
        </w:rPr>
        <w:t xml:space="preserve">Published by the Nuclear Industry Safety Directors Forum, this guide translates the regulatory requirements into practical guidance. It covers quality grading, supplier qualification, inspection and test plan requirements, records management and performance measurement. It is an essential reference document for any company entering the nuclear supply chain.</w:t>
      </w:r>
    </w:p>
    <w:p>
      <w:pPr>
        <w:spacing w:after="60" w:before="160"/>
      </w:pPr>
      <w:r>
        <w:rPr>
          <w:rFonts w:ascii="Arial" w:cs="Arial" w:eastAsia="Arial" w:hAnsi="Arial"/>
          <w:b/>
          <w:bCs/>
          <w:color w:val="001E3C"/>
          <w:sz w:val="22"/>
          <w:szCs w:val="22"/>
        </w:rPr>
        <w:t xml:space="preserve">ISO 19443</w:t>
      </w:r>
    </w:p>
    <w:p>
      <w:pPr>
        <w:spacing w:after="60" w:before="60"/>
      </w:pPr>
      <w:r>
        <w:rPr>
          <w:rFonts w:ascii="Arial" w:cs="Arial" w:eastAsia="Arial" w:hAnsi="Arial"/>
          <w:b w:val="false"/>
          <w:bCs w:val="false"/>
          <w:i w:val="false"/>
          <w:iCs w:val="false"/>
          <w:color w:val="000000"/>
          <w:sz w:val="22"/>
          <w:szCs w:val="22"/>
        </w:rPr>
        <w:t xml:space="preserve">ISO 19443 is the quality management system standard specific to the nuclear sector, applicable to organisations in the nuclear energy supply chain. It extends the requirements of ISO 9001 to address the sector-specific demands of nuclear safety culture, graded quality management, CFSI controls and management of nuclear safety significant activities. Certification to ISO 19443 is increasingly expected by major nuclear buyers.</w:t>
      </w:r>
    </w:p>
    <w:p>
      <w:pPr>
        <w:spacing w:after="60" w:before="160"/>
      </w:pPr>
      <w:r>
        <w:rPr>
          <w:rFonts w:ascii="Arial" w:cs="Arial" w:eastAsia="Arial" w:hAnsi="Arial"/>
          <w:b/>
          <w:bCs/>
          <w:color w:val="001E3C"/>
          <w:sz w:val="22"/>
          <w:szCs w:val="22"/>
        </w:rPr>
        <w:t xml:space="preserve">Nuclear Safety Case Requirements</w:t>
      </w:r>
    </w:p>
    <w:p>
      <w:pPr>
        <w:spacing w:after="60" w:before="60"/>
      </w:pPr>
      <w:r>
        <w:rPr>
          <w:rFonts w:ascii="Arial" w:cs="Arial" w:eastAsia="Arial" w:hAnsi="Arial"/>
          <w:b w:val="false"/>
          <w:bCs w:val="false"/>
          <w:i w:val="false"/>
          <w:iCs w:val="false"/>
          <w:color w:val="000000"/>
          <w:sz w:val="22"/>
          <w:szCs w:val="22"/>
        </w:rPr>
        <w:t xml:space="preserve">Every nuclear installation is underpinned by a safety case: a documented argument that the facility can be operated safely. Procurement activities must support the safety case requirements. This means that before buying items or services that are important to safety, the specification must explicitly address safety case requirements and the supplier must demonstrate the capability to meet them.</w:t>
      </w:r>
    </w:p>
    <w:p>
      <w:pPr>
        <w:pStyle w:val="Heading2"/>
        <w:spacing w:after="80" w:before="200"/>
      </w:pPr>
      <w:r>
        <w:rPr>
          <w:rFonts w:ascii="Arial" w:cs="Arial" w:eastAsia="Arial" w:hAnsi="Arial"/>
          <w:b/>
          <w:bCs/>
          <w:color w:val="7B2D8B"/>
          <w:sz w:val="26"/>
          <w:szCs w:val="26"/>
        </w:rPr>
        <w:t xml:space="preserve">2.3 The Intelligent Customer Principle</w:t>
      </w:r>
    </w:p>
    <w:p>
      <w:pPr>
        <w:spacing w:after="60" w:before="60"/>
      </w:pPr>
      <w:r>
        <w:rPr>
          <w:rFonts w:ascii="Arial" w:cs="Arial" w:eastAsia="Arial" w:hAnsi="Arial"/>
          <w:b w:val="false"/>
          <w:bCs w:val="false"/>
          <w:i w:val="false"/>
          <w:iCs w:val="false"/>
          <w:color w:val="000000"/>
          <w:sz w:val="22"/>
          <w:szCs w:val="22"/>
        </w:rPr>
        <w:t xml:space="preserve">TAG 77 introduces the concept of the "Intelligent Customer": the requirement for a licensee or purchasing organisation to maintain sufficient technical knowledge and capability to specify, evaluate, oversee and accept work carried out on its behalf by suppliers.</w:t>
      </w:r>
    </w:p>
    <w:p>
      <w:pPr>
        <w:spacing w:after="100" w:before="100"/>
        <w:ind w:left="360"/>
      </w:pPr>
      <w:r>
        <w:rPr>
          <w:rFonts w:ascii="Arial" w:cs="Arial" w:eastAsia="Arial" w:hAnsi="Arial"/>
          <w:i/>
          <w:iCs/>
          <w:color w:val="83348F"/>
          <w:sz w:val="22"/>
          <w:szCs w:val="22"/>
        </w:rPr>
        <w:t xml:space="preserve">You cannot outsource responsibility. If you buy from a supplier, you must be competent enough to judge whether they are delivering to your requirements. This is the intelligent customer principle.</w:t>
      </w:r>
    </w:p>
    <w:p>
      <w:pPr>
        <w:spacing w:after="60" w:before="60"/>
      </w:pPr>
      <w:r>
        <w:rPr>
          <w:rFonts w:ascii="Arial" w:cs="Arial" w:eastAsia="Arial" w:hAnsi="Arial"/>
          <w:b w:val="false"/>
          <w:bCs w:val="false"/>
          <w:i w:val="false"/>
          <w:iCs w:val="false"/>
          <w:color w:val="000000"/>
          <w:sz w:val="22"/>
          <w:szCs w:val="22"/>
        </w:rPr>
        <w:t xml:space="preserve">For your organisation, this means:</w:t>
      </w:r>
    </w:p>
    <w:p>
      <w:pPr>
        <w:pStyle w:val="ListParagraph"/>
        <w:numPr>
          <w:ilvl w:val="0"/>
          <w:numId w:val="2"/>
        </w:numPr>
        <w:spacing w:after="40" w:before="40"/>
      </w:pPr>
      <w:r>
        <w:rPr>
          <w:rFonts w:ascii="Arial" w:cs="Arial" w:eastAsia="Arial" w:hAnsi="Arial"/>
          <w:sz w:val="22"/>
          <w:szCs w:val="22"/>
        </w:rPr>
        <w:t xml:space="preserve">Your procurement and technical staff must understand what they are buying</w:t>
      </w:r>
    </w:p>
    <w:p>
      <w:pPr>
        <w:pStyle w:val="ListParagraph"/>
        <w:numPr>
          <w:ilvl w:val="0"/>
          <w:numId w:val="2"/>
        </w:numPr>
        <w:spacing w:after="40" w:before="40"/>
      </w:pPr>
      <w:r>
        <w:rPr>
          <w:rFonts w:ascii="Arial" w:cs="Arial" w:eastAsia="Arial" w:hAnsi="Arial"/>
          <w:sz w:val="22"/>
          <w:szCs w:val="22"/>
        </w:rPr>
        <w:t xml:space="preserve">You must be able to evaluate whether specifications are adequate</w:t>
      </w:r>
    </w:p>
    <w:p>
      <w:pPr>
        <w:pStyle w:val="ListParagraph"/>
        <w:numPr>
          <w:ilvl w:val="0"/>
          <w:numId w:val="2"/>
        </w:numPr>
        <w:spacing w:after="40" w:before="40"/>
      </w:pPr>
      <w:r>
        <w:rPr>
          <w:rFonts w:ascii="Arial" w:cs="Arial" w:eastAsia="Arial" w:hAnsi="Arial"/>
          <w:sz w:val="22"/>
          <w:szCs w:val="22"/>
        </w:rPr>
        <w:t xml:space="preserve">You must be able to assess supplier quality plans and verify conformance</w:t>
      </w:r>
    </w:p>
    <w:p>
      <w:pPr>
        <w:pStyle w:val="ListParagraph"/>
        <w:numPr>
          <w:ilvl w:val="0"/>
          <w:numId w:val="2"/>
        </w:numPr>
        <w:spacing w:after="40" w:before="40"/>
      </w:pPr>
      <w:r>
        <w:rPr>
          <w:rFonts w:ascii="Arial" w:cs="Arial" w:eastAsia="Arial" w:hAnsi="Arial"/>
          <w:sz w:val="22"/>
          <w:szCs w:val="22"/>
        </w:rPr>
        <w:t xml:space="preserve">You must be able to identify deviations and understand their safety significance</w:t>
      </w:r>
    </w:p>
    <w:p>
      <w:pPr>
        <w:spacing w:after="60" w:before="60"/>
      </w:pPr>
      <w:r>
        <w:rPr>
          <w:rFonts w:ascii="Arial" w:cs="Arial" w:eastAsia="Arial" w:hAnsi="Arial"/>
          <w:b w:val="false"/>
          <w:bCs w:val="false"/>
          <w:i w:val="false"/>
          <w:iCs w:val="false"/>
          <w:color w:val="000000"/>
          <w:sz w:val="22"/>
          <w:szCs w:val="22"/>
        </w:rPr>
        <w:t xml:space="preserve">The intelligent customer principle applies not only to what you buy from your own suppliers, but also to what your customers buy from you. When a nuclear buyer audits your procurement arrangements, they are assessing your intelligent customer capability.</w:t>
      </w:r>
    </w:p>
    <w:p>
      <w:r>
        <w:br w:type="page"/>
      </w:r>
    </w:p>
    <w:p>
      <w:pPr>
        <w:pStyle w:val="Heading1"/>
        <w:spacing w:after="120" w:before="300"/>
      </w:pPr>
      <w:r>
        <w:rPr>
          <w:rFonts w:ascii="Arial" w:cs="Arial" w:eastAsia="Arial" w:hAnsi="Arial"/>
          <w:b/>
          <w:bCs/>
          <w:color w:val="29ABE2"/>
          <w:sz w:val="32"/>
          <w:szCs w:val="32"/>
        </w:rPr>
        <w:t xml:space="preserve">3. Quality Grading in Nuclear Procurement</w:t>
      </w:r>
    </w:p>
    <w:p>
      <w:pPr>
        <w:pStyle w:val="Heading2"/>
        <w:spacing w:after="80" w:before="200"/>
      </w:pPr>
      <w:r>
        <w:rPr>
          <w:rFonts w:ascii="Arial" w:cs="Arial" w:eastAsia="Arial" w:hAnsi="Arial"/>
          <w:b/>
          <w:bCs/>
          <w:color w:val="7B2D8B"/>
          <w:sz w:val="26"/>
          <w:szCs w:val="26"/>
        </w:rPr>
        <w:t xml:space="preserve">3.1 What Is Quality Grading?</w:t>
      </w:r>
    </w:p>
    <w:p>
      <w:pPr>
        <w:spacing w:after="60" w:before="60"/>
      </w:pPr>
      <w:r>
        <w:rPr>
          <w:rFonts w:ascii="Arial" w:cs="Arial" w:eastAsia="Arial" w:hAnsi="Arial"/>
          <w:b w:val="false"/>
          <w:bCs w:val="false"/>
          <w:i w:val="false"/>
          <w:iCs w:val="false"/>
          <w:color w:val="000000"/>
          <w:sz w:val="22"/>
          <w:szCs w:val="22"/>
        </w:rPr>
        <w:t xml:space="preserve">Quality grading is the systematic process of classifying items and services according to their safety significance and then applying an appropriate level of quality assurance and control proportional to that classification. The principle is graded quality management: the most rigorous controls are applied where the consequences of failure are greatest.</w:t>
      </w:r>
    </w:p>
    <w:p>
      <w:pPr>
        <w:spacing w:after="60" w:before="60"/>
      </w:pPr>
      <w:r>
        <w:rPr>
          <w:rFonts w:ascii="Arial" w:cs="Arial" w:eastAsia="Arial" w:hAnsi="Arial"/>
          <w:b w:val="false"/>
          <w:bCs w:val="false"/>
          <w:i w:val="false"/>
          <w:iCs w:val="false"/>
          <w:color w:val="000000"/>
          <w:sz w:val="22"/>
          <w:szCs w:val="22"/>
        </w:rPr>
        <w:t xml:space="preserve">Grading avoids the unnecessary cost and complexity of applying nuclear-grade controls to items that have no safety significance, while ensuring that genuinely safety-critical items receive the full rigour of nuclear quality requirements.</w:t>
      </w:r>
    </w:p>
    <w:p>
      <w:pPr>
        <w:pStyle w:val="Heading2"/>
        <w:spacing w:after="80" w:before="200"/>
      </w:pPr>
      <w:r>
        <w:rPr>
          <w:rFonts w:ascii="Arial" w:cs="Arial" w:eastAsia="Arial" w:hAnsi="Arial"/>
          <w:b/>
          <w:bCs/>
          <w:color w:val="7B2D8B"/>
          <w:sz w:val="26"/>
          <w:szCs w:val="26"/>
        </w:rPr>
        <w:t xml:space="preserve">3.2 The Four-Level Classification Framework</w:t>
      </w:r>
    </w:p>
    <w:p>
      <w:pPr>
        <w:spacing w:after="60" w:before="60"/>
      </w:pPr>
      <w:r>
        <w:rPr>
          <w:rFonts w:ascii="Arial" w:cs="Arial" w:eastAsia="Arial" w:hAnsi="Arial"/>
          <w:b w:val="false"/>
          <w:bCs w:val="false"/>
          <w:i w:val="false"/>
          <w:iCs w:val="false"/>
          <w:color w:val="000000"/>
          <w:sz w:val="22"/>
          <w:szCs w:val="22"/>
        </w:rPr>
        <w:t xml:space="preserve">The most common classification framework in UK nuclear procurement uses four grades: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Grade</w:t>
            </w:r>
          </w:p>
        </w:tc>
        <w:tc>
          <w:tcPr>
            <w:tcW w:type="dxa" w:w="3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5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Controls Required</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Nuclear Safety Class 1 (NSC1)</w:t>
            </w:r>
          </w:p>
        </w:tc>
        <w:tc>
          <w:tcPr>
            <w:tcW w:type="dxa" w:w="3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 whose failure would directly cause or contribute to a nuclear accident</w:t>
            </w:r>
          </w:p>
        </w:tc>
        <w:tc>
          <w:tcPr>
            <w:tcW w:type="dxa" w:w="3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nuclear quality programme, ITP, third-party inspection, extensive records</w:t>
            </w:r>
          </w:p>
        </w:tc>
      </w:tr>
      <w:tr>
        <w:tc>
          <w:tcPr>
            <w:tcW w:type="dxa" w:w="2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Nuclear Safety Class 2 (NSC2)</w:t>
            </w:r>
          </w:p>
        </w:tc>
        <w:tc>
          <w:tcPr>
            <w:tcW w:type="dxa" w:w="3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 important to safety, whose failure could impair nuclear safety functions</w:t>
            </w:r>
          </w:p>
        </w:tc>
        <w:tc>
          <w:tcPr>
            <w:tcW w:type="dxa" w:w="3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plan, ITP, approved supplier, documented inspection</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Nuclear Safety Class 3 (NSC3)</w:t>
            </w:r>
          </w:p>
        </w:tc>
        <w:tc>
          <w:tcPr>
            <w:tcW w:type="dxa" w:w="3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 with lower safety significance but still subject to nuclear quality requirements</w:t>
            </w:r>
          </w:p>
        </w:tc>
        <w:tc>
          <w:tcPr>
            <w:tcW w:type="dxa" w:w="3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procurement, approved supplier, receiving inspection</w:t>
            </w:r>
          </w:p>
        </w:tc>
      </w:tr>
      <w:tr>
        <w:tc>
          <w:tcPr>
            <w:tcW w:type="dxa" w:w="2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Conventional / Non-Nuclear (NN)</w:t>
            </w:r>
          </w:p>
        </w:tc>
        <w:tc>
          <w:tcPr>
            <w:tcW w:type="dxa" w:w="3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Items with no nuclear safety significance</w:t>
            </w:r>
          </w:p>
        </w:tc>
        <w:tc>
          <w:tcPr>
            <w:tcW w:type="dxa" w:w="3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Standard commercial procurement with basic quality records</w:t>
            </w:r>
          </w:p>
        </w:tc>
      </w:tr>
    </w:tbl>
    <w:p>
      <w:pPr>
        <w:spacing w:after="60" w:before="60"/>
      </w:pPr>
      <w:r>
        <w:rPr>
          <w:rFonts w:ascii="Arial" w:cs="Arial" w:eastAsia="Arial" w:hAnsi="Arial"/>
          <w:b w:val="false"/>
          <w:bCs w:val="false"/>
          <w:i w:val="false"/>
          <w:iCs w:val="false"/>
          <w:color w:val="000000"/>
          <w:sz w:val="22"/>
          <w:szCs w:val="22"/>
        </w:rPr>
        <w:t xml:space="preserve">The classification of an item is determined by reference to the nuclear safety case and the plant classification documentation. Where doubt exists, the higher grade should be applied conservatively.</w:t>
      </w:r>
    </w:p>
    <w:p>
      <w:pPr>
        <w:pStyle w:val="Heading2"/>
        <w:spacing w:after="80" w:before="200"/>
      </w:pPr>
      <w:r>
        <w:rPr>
          <w:rFonts w:ascii="Arial" w:cs="Arial" w:eastAsia="Arial" w:hAnsi="Arial"/>
          <w:b/>
          <w:bCs/>
          <w:color w:val="7B2D8B"/>
          <w:sz w:val="26"/>
          <w:szCs w:val="26"/>
        </w:rPr>
        <w:t xml:space="preserve">3.3 Commercial Grade Dedication</w:t>
      </w:r>
    </w:p>
    <w:p>
      <w:pPr>
        <w:spacing w:after="60" w:before="60"/>
      </w:pPr>
      <w:r>
        <w:rPr>
          <w:rFonts w:ascii="Arial" w:cs="Arial" w:eastAsia="Arial" w:hAnsi="Arial"/>
          <w:b w:val="false"/>
          <w:bCs w:val="false"/>
          <w:i w:val="false"/>
          <w:iCs w:val="false"/>
          <w:color w:val="000000"/>
          <w:sz w:val="22"/>
          <w:szCs w:val="22"/>
        </w:rPr>
        <w:t xml:space="preserve">Commercial Grade Dedication (CGD) is the process by which a commercial-grade item (one not manufactured under a nuclear quality programme) is evaluated and accepted for use in a nuclear safety-related application. CGD involves:</w:t>
      </w:r>
    </w:p>
    <w:p>
      <w:pPr>
        <w:pStyle w:val="ListParagraph"/>
        <w:numPr>
          <w:ilvl w:val="0"/>
          <w:numId w:val="2"/>
        </w:numPr>
        <w:spacing w:after="40" w:before="40"/>
      </w:pPr>
      <w:r>
        <w:rPr>
          <w:rFonts w:ascii="Arial" w:cs="Arial" w:eastAsia="Arial" w:hAnsi="Arial"/>
          <w:sz w:val="22"/>
          <w:szCs w:val="22"/>
        </w:rPr>
        <w:t xml:space="preserve">Identifying the critical characteristics of the item that are important to its safety function</w:t>
      </w:r>
    </w:p>
    <w:p>
      <w:pPr>
        <w:pStyle w:val="ListParagraph"/>
        <w:numPr>
          <w:ilvl w:val="0"/>
          <w:numId w:val="2"/>
        </w:numPr>
        <w:spacing w:after="40" w:before="40"/>
      </w:pPr>
      <w:r>
        <w:rPr>
          <w:rFonts w:ascii="Arial" w:cs="Arial" w:eastAsia="Arial" w:hAnsi="Arial"/>
          <w:sz w:val="22"/>
          <w:szCs w:val="22"/>
        </w:rPr>
        <w:t xml:space="preserve">Selecting and performing verification methods to confirm those characteristics are met</w:t>
      </w:r>
    </w:p>
    <w:p>
      <w:pPr>
        <w:pStyle w:val="ListParagraph"/>
        <w:numPr>
          <w:ilvl w:val="0"/>
          <w:numId w:val="2"/>
        </w:numPr>
        <w:spacing w:after="40" w:before="40"/>
      </w:pPr>
      <w:r>
        <w:rPr>
          <w:rFonts w:ascii="Arial" w:cs="Arial" w:eastAsia="Arial" w:hAnsi="Arial"/>
          <w:sz w:val="22"/>
          <w:szCs w:val="22"/>
        </w:rPr>
        <w:t xml:space="preserve">Documenting the dedication process and results as part of the item's traceability record</w:t>
      </w:r>
    </w:p>
    <w:p>
      <w:pPr>
        <w:spacing w:after="60" w:before="60"/>
      </w:pPr>
      <w:r>
        <w:rPr>
          <w:rFonts w:ascii="Arial" w:cs="Arial" w:eastAsia="Arial" w:hAnsi="Arial"/>
          <w:b w:val="false"/>
          <w:bCs w:val="false"/>
          <w:i w:val="false"/>
          <w:iCs w:val="false"/>
          <w:color w:val="000000"/>
          <w:sz w:val="22"/>
          <w:szCs w:val="22"/>
        </w:rPr>
        <w:t xml:space="preserve">CGD is a complex and technically demanding process. It requires competent engineers who understand both the item's function and the nuclear requirements. It should only be used where sourcing a nuclear-qualified equivalent is not practicable, and the process must be formally approved.</w:t>
      </w:r>
    </w:p>
    <w:p>
      <w:pPr>
        <w:spacing w:after="100" w:before="100"/>
        <w:ind w:left="360"/>
      </w:pPr>
      <w:r>
        <w:rPr>
          <w:rFonts w:ascii="Arial" w:cs="Arial" w:eastAsia="Arial" w:hAnsi="Arial"/>
          <w:i/>
          <w:iCs/>
          <w:color w:val="83348F"/>
          <w:sz w:val="22"/>
          <w:szCs w:val="22"/>
        </w:rPr>
        <w:t xml:space="preserve">CGD is not a shortcut to reduce cost. It is a rigorous engineering process that requires as much or more technical effort than specifying a nuclear-grade item from the outset.</w:t>
      </w:r>
    </w:p>
    <w:p>
      <w:r>
        <w:br w:type="page"/>
      </w:r>
    </w:p>
    <w:p>
      <w:pPr>
        <w:pStyle w:val="Heading1"/>
        <w:spacing w:after="120" w:before="300"/>
      </w:pPr>
      <w:r>
        <w:rPr>
          <w:rFonts w:ascii="Arial" w:cs="Arial" w:eastAsia="Arial" w:hAnsi="Arial"/>
          <w:b/>
          <w:bCs/>
          <w:color w:val="29ABE2"/>
          <w:sz w:val="32"/>
          <w:szCs w:val="32"/>
        </w:rPr>
        <w:t xml:space="preserve">4. Writing Effective Nuclear Procurement Specifications</w:t>
      </w:r>
    </w:p>
    <w:p>
      <w:pPr>
        <w:pStyle w:val="Heading2"/>
        <w:spacing w:after="80" w:before="200"/>
      </w:pPr>
      <w:r>
        <w:rPr>
          <w:rFonts w:ascii="Arial" w:cs="Arial" w:eastAsia="Arial" w:hAnsi="Arial"/>
          <w:b/>
          <w:bCs/>
          <w:color w:val="7B2D8B"/>
          <w:sz w:val="26"/>
          <w:szCs w:val="26"/>
        </w:rPr>
        <w:t xml:space="preserve">4.1 The Importance of Specification</w:t>
      </w:r>
    </w:p>
    <w:p>
      <w:pPr>
        <w:spacing w:after="60" w:before="60"/>
      </w:pPr>
      <w:r>
        <w:rPr>
          <w:rFonts w:ascii="Arial" w:cs="Arial" w:eastAsia="Arial" w:hAnsi="Arial"/>
          <w:b w:val="false"/>
          <w:bCs w:val="false"/>
          <w:i w:val="false"/>
          <w:iCs w:val="false"/>
          <w:color w:val="000000"/>
          <w:sz w:val="22"/>
          <w:szCs w:val="22"/>
        </w:rPr>
        <w:t xml:space="preserve">A procurement specification is the foundation of a successful nuclear supply. If the specification is incomplete, ambiguous or incorrect, no amount of inspection or oversight can compensate. The specification must precisely define what is required before any supplier is approached.</w:t>
      </w:r>
    </w:p>
    <w:p>
      <w:pPr>
        <w:spacing w:after="60" w:before="60"/>
      </w:pPr>
      <w:r>
        <w:rPr>
          <w:rFonts w:ascii="Arial" w:cs="Arial" w:eastAsia="Arial" w:hAnsi="Arial"/>
          <w:b w:val="false"/>
          <w:bCs w:val="false"/>
          <w:i w:val="false"/>
          <w:iCs w:val="false"/>
          <w:color w:val="000000"/>
          <w:sz w:val="22"/>
          <w:szCs w:val="22"/>
        </w:rPr>
        <w:t xml:space="preserve">TAG 77 states that the purchaser should issue specifications that adequately describe the items or services, meet the safety case requirements and identify the required level of quality assurance. Writing these specifications requires technically competent personnel whose work is subject to independent review.</w:t>
      </w:r>
    </w:p>
    <w:p>
      <w:pPr>
        <w:pStyle w:val="Heading2"/>
        <w:spacing w:after="80" w:before="200"/>
      </w:pPr>
      <w:r>
        <w:rPr>
          <w:rFonts w:ascii="Arial" w:cs="Arial" w:eastAsia="Arial" w:hAnsi="Arial"/>
          <w:b/>
          <w:bCs/>
          <w:color w:val="7B2D8B"/>
          <w:sz w:val="26"/>
          <w:szCs w:val="26"/>
        </w:rPr>
        <w:t xml:space="preserve">4.2 Key Elements of a Nuclear Procurement Specification</w:t>
      </w:r>
    </w:p>
    <w:p>
      <w:pPr>
        <w:spacing w:after="60" w:before="60"/>
      </w:pPr>
      <w:r>
        <w:rPr>
          <w:rFonts w:ascii="Arial" w:cs="Arial" w:eastAsia="Arial" w:hAnsi="Arial"/>
          <w:b w:val="false"/>
          <w:bCs w:val="false"/>
          <w:i w:val="false"/>
          <w:iCs w:val="false"/>
          <w:color w:val="000000"/>
          <w:sz w:val="22"/>
          <w:szCs w:val="22"/>
        </w:rPr>
        <w:t xml:space="preserve">An effective nuclear procurement specification should address all of the following elements:</w:t>
      </w:r>
    </w:p>
    <w:p>
      <w:pPr>
        <w:spacing w:after="60" w:before="160"/>
      </w:pPr>
      <w:r>
        <w:rPr>
          <w:rFonts w:ascii="Arial" w:cs="Arial" w:eastAsia="Arial" w:hAnsi="Arial"/>
          <w:b/>
          <w:bCs/>
          <w:color w:val="001E3C"/>
          <w:sz w:val="22"/>
          <w:szCs w:val="22"/>
        </w:rPr>
        <w:t xml:space="preserve">Scope and Item Description</w:t>
      </w:r>
    </w:p>
    <w:p>
      <w:pPr>
        <w:spacing w:after="60" w:before="60"/>
      </w:pPr>
      <w:r>
        <w:rPr>
          <w:rFonts w:ascii="Arial" w:cs="Arial" w:eastAsia="Arial" w:hAnsi="Arial"/>
          <w:b w:val="false"/>
          <w:bCs w:val="false"/>
          <w:i w:val="false"/>
          <w:iCs w:val="false"/>
          <w:color w:val="000000"/>
          <w:sz w:val="22"/>
          <w:szCs w:val="22"/>
        </w:rPr>
        <w:t xml:space="preserve">A precise technical description of the item or service, including dimensions, materials, performance parameters and functional requirements. Ambiguity at this stage leads to disputes and non-conformances at delivery.</w:t>
      </w:r>
    </w:p>
    <w:p>
      <w:pPr>
        <w:spacing w:after="60" w:before="160"/>
      </w:pPr>
      <w:r>
        <w:rPr>
          <w:rFonts w:ascii="Arial" w:cs="Arial" w:eastAsia="Arial" w:hAnsi="Arial"/>
          <w:b/>
          <w:bCs/>
          <w:color w:val="001E3C"/>
          <w:sz w:val="22"/>
          <w:szCs w:val="22"/>
        </w:rPr>
        <w:t xml:space="preserve">Applicable Codes and Standards</w:t>
      </w:r>
    </w:p>
    <w:p>
      <w:pPr>
        <w:spacing w:after="60" w:before="60"/>
      </w:pPr>
      <w:r>
        <w:rPr>
          <w:rFonts w:ascii="Arial" w:cs="Arial" w:eastAsia="Arial" w:hAnsi="Arial"/>
          <w:b w:val="false"/>
          <w:bCs w:val="false"/>
          <w:i w:val="false"/>
          <w:iCs w:val="false"/>
          <w:color w:val="000000"/>
          <w:sz w:val="22"/>
          <w:szCs w:val="22"/>
        </w:rPr>
        <w:t xml:space="preserve">All design codes, material standards, welding standards, NDE requirements and any other technical standards that apply. Reference should be made to specific issue numbers or date-controlled versions where applicable.</w:t>
      </w:r>
    </w:p>
    <w:p>
      <w:pPr>
        <w:spacing w:after="60" w:before="160"/>
      </w:pPr>
      <w:r>
        <w:rPr>
          <w:rFonts w:ascii="Arial" w:cs="Arial" w:eastAsia="Arial" w:hAnsi="Arial"/>
          <w:b/>
          <w:bCs/>
          <w:color w:val="001E3C"/>
          <w:sz w:val="22"/>
          <w:szCs w:val="22"/>
        </w:rPr>
        <w:t xml:space="preserve">Nuclear Classification</w:t>
      </w:r>
    </w:p>
    <w:p>
      <w:pPr>
        <w:spacing w:after="60" w:before="60"/>
      </w:pPr>
      <w:r>
        <w:rPr>
          <w:rFonts w:ascii="Arial" w:cs="Arial" w:eastAsia="Arial" w:hAnsi="Arial"/>
          <w:b w:val="false"/>
          <w:bCs w:val="false"/>
          <w:i w:val="false"/>
          <w:iCs w:val="false"/>
          <w:color w:val="000000"/>
          <w:sz w:val="22"/>
          <w:szCs w:val="22"/>
        </w:rPr>
        <w:t xml:space="preserve">The nuclear safety classification of the item, the quality assurance grade required and any specific nuclear requirements that derive from the safety case. This tells the supplier what level of quality programme they must apply.</w:t>
      </w:r>
    </w:p>
    <w:p>
      <w:pPr>
        <w:spacing w:after="60" w:before="160"/>
      </w:pPr>
      <w:r>
        <w:rPr>
          <w:rFonts w:ascii="Arial" w:cs="Arial" w:eastAsia="Arial" w:hAnsi="Arial"/>
          <w:b/>
          <w:bCs/>
          <w:color w:val="001E3C"/>
          <w:sz w:val="22"/>
          <w:szCs w:val="22"/>
        </w:rPr>
        <w:t xml:space="preserve">Quality Requirements</w:t>
      </w:r>
    </w:p>
    <w:p>
      <w:pPr>
        <w:spacing w:after="60" w:before="60"/>
      </w:pPr>
      <w:r>
        <w:rPr>
          <w:rFonts w:ascii="Arial" w:cs="Arial" w:eastAsia="Arial" w:hAnsi="Arial"/>
          <w:b w:val="false"/>
          <w:bCs w:val="false"/>
          <w:i w:val="false"/>
          <w:iCs w:val="false"/>
          <w:color w:val="000000"/>
          <w:sz w:val="22"/>
          <w:szCs w:val="22"/>
        </w:rPr>
        <w:t xml:space="preserve">The specific quality management requirements, including whether a Quality Plan is required, the inspection and test plan requirements, the hold and witness points, documentation and records requirements, and whether third-party inspection is needed.</w:t>
      </w:r>
    </w:p>
    <w:p>
      <w:pPr>
        <w:spacing w:after="60" w:before="160"/>
      </w:pPr>
      <w:r>
        <w:rPr>
          <w:rFonts w:ascii="Arial" w:cs="Arial" w:eastAsia="Arial" w:hAnsi="Arial"/>
          <w:b/>
          <w:bCs/>
          <w:color w:val="001E3C"/>
          <w:sz w:val="22"/>
          <w:szCs w:val="22"/>
        </w:rPr>
        <w:t xml:space="preserve">CFSI Requirements</w:t>
      </w:r>
    </w:p>
    <w:p>
      <w:pPr>
        <w:spacing w:after="60" w:before="60"/>
      </w:pPr>
      <w:r>
        <w:rPr>
          <w:rFonts w:ascii="Arial" w:cs="Arial" w:eastAsia="Arial" w:hAnsi="Arial"/>
          <w:b w:val="false"/>
          <w:bCs w:val="false"/>
          <w:i w:val="false"/>
          <w:iCs w:val="false"/>
          <w:color w:val="000000"/>
          <w:sz w:val="22"/>
          <w:szCs w:val="22"/>
        </w:rPr>
        <w:t xml:space="preserve">Requirements for traceability and authenticity verification, including the use of original equipment manufacturers or authorised distributors, documentation of material traceability and any enhanced verification requirements for at-risk items.</w:t>
      </w:r>
    </w:p>
    <w:p>
      <w:pPr>
        <w:spacing w:after="60" w:before="160"/>
      </w:pPr>
      <w:r>
        <w:rPr>
          <w:rFonts w:ascii="Arial" w:cs="Arial" w:eastAsia="Arial" w:hAnsi="Arial"/>
          <w:b/>
          <w:bCs/>
          <w:color w:val="001E3C"/>
          <w:sz w:val="22"/>
          <w:szCs w:val="22"/>
        </w:rPr>
        <w:t xml:space="preserve">Records and Handover Documentation</w:t>
      </w:r>
    </w:p>
    <w:p>
      <w:pPr>
        <w:spacing w:after="60" w:before="60"/>
      </w:pPr>
      <w:r>
        <w:rPr>
          <w:rFonts w:ascii="Arial" w:cs="Arial" w:eastAsia="Arial" w:hAnsi="Arial"/>
          <w:b w:val="false"/>
          <w:bCs w:val="false"/>
          <w:i w:val="false"/>
          <w:iCs w:val="false"/>
          <w:color w:val="000000"/>
          <w:sz w:val="22"/>
          <w:szCs w:val="22"/>
        </w:rPr>
        <w:t xml:space="preserve">A complete list of the records and documentation that must be submitted with the item or service at delivery. This must be defined in the specification, not left to the supplier's discretion.</w:t>
      </w:r>
    </w:p>
    <w:p>
      <w:pPr>
        <w:spacing w:after="60" w:before="160"/>
      </w:pPr>
      <w:r>
        <w:rPr>
          <w:rFonts w:ascii="Arial" w:cs="Arial" w:eastAsia="Arial" w:hAnsi="Arial"/>
          <w:b/>
          <w:bCs/>
          <w:color w:val="001E3C"/>
          <w:sz w:val="22"/>
          <w:szCs w:val="22"/>
        </w:rPr>
        <w:t xml:space="preserve">Right of Access</w:t>
      </w:r>
    </w:p>
    <w:p>
      <w:pPr>
        <w:spacing w:after="60" w:before="60"/>
      </w:pPr>
      <w:r>
        <w:rPr>
          <w:rFonts w:ascii="Arial" w:cs="Arial" w:eastAsia="Arial" w:hAnsi="Arial"/>
          <w:b w:val="false"/>
          <w:bCs w:val="false"/>
          <w:i w:val="false"/>
          <w:iCs w:val="false"/>
          <w:color w:val="000000"/>
          <w:sz w:val="22"/>
          <w:szCs w:val="22"/>
        </w:rPr>
        <w:t xml:space="preserve">A clause reserving the purchaser's right to conduct inspection, audit and surveillance at the supplier's premises and at any sub-tier supplier's premises used in the manufacture or provision of the item or service.</w:t>
      </w:r>
    </w:p>
    <w:p>
      <w:pPr>
        <w:pStyle w:val="Heading2"/>
        <w:spacing w:after="80" w:before="200"/>
      </w:pPr>
      <w:r>
        <w:rPr>
          <w:rFonts w:ascii="Arial" w:cs="Arial" w:eastAsia="Arial" w:hAnsi="Arial"/>
          <w:b/>
          <w:bCs/>
          <w:color w:val="7B2D8B"/>
          <w:sz w:val="26"/>
          <w:szCs w:val="26"/>
        </w:rPr>
        <w:t xml:space="preserve">4.3 Worked Example: Specification for a Safety-Class Valve</w:t>
      </w:r>
    </w:p>
    <w:p>
      <w:pPr>
        <w:spacing w:after="60" w:before="60"/>
      </w:pPr>
      <w:r>
        <w:rPr>
          <w:rFonts w:ascii="Arial" w:cs="Arial" w:eastAsia="Arial" w:hAnsi="Arial"/>
          <w:b w:val="false"/>
          <w:bCs w:val="false"/>
          <w:i w:val="false"/>
          <w:iCs w:val="false"/>
          <w:color w:val="000000"/>
          <w:sz w:val="22"/>
          <w:szCs w:val="22"/>
        </w:rPr>
        <w:t xml:space="preserve">The following example illustrates how the key elements above would be applied to a real procurement: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 Element</w:t>
            </w:r>
          </w:p>
        </w:tc>
        <w:tc>
          <w:tcPr>
            <w:tcW w:type="dxa" w:w="60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Content</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Item Description</w:t>
            </w:r>
          </w:p>
        </w:tc>
        <w:tc>
          <w:tcPr>
            <w:tcW w:type="dxa" w:w="6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Globe valve, DN100, PN40, austenitic stainless steel body, bellows seal, manual actuator, suitable for cooling water service</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Applicable Standards</w:t>
            </w:r>
          </w:p>
        </w:tc>
        <w:tc>
          <w:tcPr>
            <w:tcW w:type="dxa" w:w="6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BS EN 1092-1 (flanges), BS EN 10272 (material), BS EN ISO 15607 (welding), PD 5500 (pressure equipment)</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Nuclear Classification</w:t>
            </w:r>
          </w:p>
        </w:tc>
        <w:tc>
          <w:tcPr>
            <w:tcW w:type="dxa" w:w="6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Nuclear Safety Class 2 (NSC2), Quality Grade B. Item is important to the safety function of the secondary cooling circuit</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Requirements</w:t>
            </w:r>
          </w:p>
        </w:tc>
        <w:tc>
          <w:tcPr>
            <w:tcW w:type="dxa" w:w="6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Plan required, subject to purchaser approval. ITP required. Witness point at pressure test. Hold point at final dimensional inspection. Third-party inspection not required at this grade</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CFSI Requirements</w:t>
            </w:r>
          </w:p>
        </w:tc>
        <w:tc>
          <w:tcPr>
            <w:tcW w:type="dxa" w:w="6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 to be supplied from original mill with mill certificates. No distributor stock accepted. Material positive identification test required at goods receipt</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Records Required</w:t>
            </w:r>
          </w:p>
        </w:tc>
        <w:tc>
          <w:tcPr>
            <w:tcW w:type="dxa" w:w="6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Mill certificates, weld records, NDE reports, pressure test certificate, dimensional inspection report, certificate of conformance</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of Access</w:t>
            </w:r>
          </w:p>
        </w:tc>
        <w:tc>
          <w:tcPr>
            <w:tcW w:type="dxa" w:w="6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Purchaser reserves the right to conduct inspection and surveillance at the supplier's premises and any sub-tier supplier used in manufacture, with 48 hours notice</w:t>
            </w:r>
          </w:p>
        </w:tc>
      </w:tr>
    </w:tbl>
    <w:p>
      <w:r>
        <w:br w:type="page"/>
      </w:r>
    </w:p>
    <w:p>
      <w:pPr>
        <w:pStyle w:val="Heading1"/>
        <w:spacing w:after="120" w:before="300"/>
      </w:pPr>
      <w:r>
        <w:rPr>
          <w:rFonts w:ascii="Arial" w:cs="Arial" w:eastAsia="Arial" w:hAnsi="Arial"/>
          <w:b/>
          <w:bCs/>
          <w:color w:val="29ABE2"/>
          <w:sz w:val="32"/>
          <w:szCs w:val="32"/>
        </w:rPr>
        <w:t xml:space="preserve">5. Approved Supplier Lists and Qualification</w:t>
      </w:r>
    </w:p>
    <w:p>
      <w:pPr>
        <w:pStyle w:val="Heading2"/>
        <w:spacing w:after="80" w:before="200"/>
      </w:pPr>
      <w:r>
        <w:rPr>
          <w:rFonts w:ascii="Arial" w:cs="Arial" w:eastAsia="Arial" w:hAnsi="Arial"/>
          <w:b/>
          <w:bCs/>
          <w:color w:val="7B2D8B"/>
          <w:sz w:val="26"/>
          <w:szCs w:val="26"/>
        </w:rPr>
        <w:t xml:space="preserve">5.1 The Purpose of an Approved Supplier List</w:t>
      </w:r>
    </w:p>
    <w:p>
      <w:pPr>
        <w:spacing w:after="60" w:before="60"/>
      </w:pPr>
      <w:r>
        <w:rPr>
          <w:rFonts w:ascii="Arial" w:cs="Arial" w:eastAsia="Arial" w:hAnsi="Arial"/>
          <w:b w:val="false"/>
          <w:bCs w:val="false"/>
          <w:i w:val="false"/>
          <w:iCs w:val="false"/>
          <w:color w:val="000000"/>
          <w:sz w:val="22"/>
          <w:szCs w:val="22"/>
        </w:rPr>
        <w:t xml:space="preserve">An Approved Supplier List (ASL) is the controlled register of suppliers that your organisation has formally evaluated and accepted as capable of providing specified goods or services to the required quality standards for nuclear projects. Only suppliers on the ASL should be used for nuclear procurement.</w:t>
      </w:r>
    </w:p>
    <w:p>
      <w:pPr>
        <w:spacing w:after="60" w:before="60"/>
      </w:pPr>
      <w:r>
        <w:rPr>
          <w:rFonts w:ascii="Arial" w:cs="Arial" w:eastAsia="Arial" w:hAnsi="Arial"/>
          <w:b w:val="false"/>
          <w:bCs w:val="false"/>
          <w:i w:val="false"/>
          <w:iCs w:val="false"/>
          <w:color w:val="000000"/>
          <w:sz w:val="22"/>
          <w:szCs w:val="22"/>
        </w:rPr>
        <w:t xml:space="preserve">The ASL is not a static document. It must be actively maintained, with suppliers re-evaluated periodically and removed if they fail to maintain the required standards. The frequency of re-evaluation should be proportional to the safety significance of what the supplier provides.</w:t>
      </w:r>
    </w:p>
    <w:p>
      <w:pPr>
        <w:pStyle w:val="Heading2"/>
        <w:spacing w:after="80" w:before="200"/>
      </w:pPr>
      <w:r>
        <w:rPr>
          <w:rFonts w:ascii="Arial" w:cs="Arial" w:eastAsia="Arial" w:hAnsi="Arial"/>
          <w:b/>
          <w:bCs/>
          <w:color w:val="7B2D8B"/>
          <w:sz w:val="26"/>
          <w:szCs w:val="26"/>
        </w:rPr>
        <w:t xml:space="preserve">5.2 Supplier Qualification Criteria</w:t>
      </w:r>
    </w:p>
    <w:p>
      <w:pPr>
        <w:spacing w:after="60" w:before="60"/>
      </w:pPr>
      <w:r>
        <w:rPr>
          <w:rFonts w:ascii="Arial" w:cs="Arial" w:eastAsia="Arial" w:hAnsi="Arial"/>
          <w:b w:val="false"/>
          <w:bCs w:val="false"/>
          <w:i w:val="false"/>
          <w:iCs w:val="false"/>
          <w:color w:val="000000"/>
          <w:sz w:val="22"/>
          <w:szCs w:val="22"/>
        </w:rPr>
        <w:t xml:space="preserve">Before a supplier can be added to the ASL for nuclear work, they must be evaluated against defined qualification criteria. At a minimum, these criteria should include:</w:t>
      </w:r>
    </w:p>
    <w:p>
      <w:pPr>
        <w:pStyle w:val="ListParagraph"/>
        <w:numPr>
          <w:ilvl w:val="0"/>
          <w:numId w:val="2"/>
        </w:numPr>
        <w:spacing w:after="40" w:before="40"/>
      </w:pPr>
      <w:r>
        <w:rPr>
          <w:rFonts w:ascii="Arial" w:cs="Arial" w:eastAsia="Arial" w:hAnsi="Arial"/>
          <w:sz w:val="22"/>
          <w:szCs w:val="22"/>
        </w:rPr>
        <w:t xml:space="preserve">Certification to an accredited quality management system standard (ISO 9001 as a minimum; ISO 19443 for higher grades)</w:t>
      </w:r>
    </w:p>
    <w:p>
      <w:pPr>
        <w:pStyle w:val="ListParagraph"/>
        <w:numPr>
          <w:ilvl w:val="0"/>
          <w:numId w:val="2"/>
        </w:numPr>
        <w:spacing w:after="40" w:before="40"/>
      </w:pPr>
      <w:r>
        <w:rPr>
          <w:rFonts w:ascii="Arial" w:cs="Arial" w:eastAsia="Arial" w:hAnsi="Arial"/>
          <w:sz w:val="22"/>
          <w:szCs w:val="22"/>
        </w:rPr>
        <w:t xml:space="preserve">Evidence of technical capability and relevant experience in nuclear or highly regulated industries</w:t>
      </w:r>
    </w:p>
    <w:p>
      <w:pPr>
        <w:pStyle w:val="ListParagraph"/>
        <w:numPr>
          <w:ilvl w:val="0"/>
          <w:numId w:val="2"/>
        </w:numPr>
        <w:spacing w:after="40" w:before="40"/>
      </w:pPr>
      <w:r>
        <w:rPr>
          <w:rFonts w:ascii="Arial" w:cs="Arial" w:eastAsia="Arial" w:hAnsi="Arial"/>
          <w:sz w:val="22"/>
          <w:szCs w:val="22"/>
        </w:rPr>
        <w:t xml:space="preserve">Adequate organisational and technical resources, including SQEP personnel</w:t>
      </w:r>
    </w:p>
    <w:p>
      <w:pPr>
        <w:pStyle w:val="ListParagraph"/>
        <w:numPr>
          <w:ilvl w:val="0"/>
          <w:numId w:val="2"/>
        </w:numPr>
        <w:spacing w:after="40" w:before="40"/>
      </w:pPr>
      <w:r>
        <w:rPr>
          <w:rFonts w:ascii="Arial" w:cs="Arial" w:eastAsia="Arial" w:hAnsi="Arial"/>
          <w:sz w:val="22"/>
          <w:szCs w:val="22"/>
        </w:rPr>
        <w:t xml:space="preserve">Documented procedures for nuclear-relevant activities including CFSI controls, non-conformance management and records retention</w:t>
      </w:r>
    </w:p>
    <w:p>
      <w:pPr>
        <w:pStyle w:val="ListParagraph"/>
        <w:numPr>
          <w:ilvl w:val="0"/>
          <w:numId w:val="2"/>
        </w:numPr>
        <w:spacing w:after="40" w:before="40"/>
      </w:pPr>
      <w:r>
        <w:rPr>
          <w:rFonts w:ascii="Arial" w:cs="Arial" w:eastAsia="Arial" w:hAnsi="Arial"/>
          <w:sz w:val="22"/>
          <w:szCs w:val="22"/>
        </w:rPr>
        <w:t xml:space="preserve">Satisfactory performance record from existing customers or references</w:t>
      </w:r>
    </w:p>
    <w:p>
      <w:pPr>
        <w:pStyle w:val="ListParagraph"/>
        <w:numPr>
          <w:ilvl w:val="0"/>
          <w:numId w:val="2"/>
        </w:numPr>
        <w:spacing w:after="40" w:before="40"/>
      </w:pPr>
      <w:r>
        <w:rPr>
          <w:rFonts w:ascii="Arial" w:cs="Arial" w:eastAsia="Arial" w:hAnsi="Arial"/>
          <w:sz w:val="22"/>
          <w:szCs w:val="22"/>
        </w:rPr>
        <w:t xml:space="preserve">Evidence of nuclear safety culture awareness</w:t>
      </w:r>
    </w:p>
    <w:p>
      <w:pPr>
        <w:pStyle w:val="ListParagraph"/>
        <w:numPr>
          <w:ilvl w:val="0"/>
          <w:numId w:val="2"/>
        </w:numPr>
        <w:spacing w:after="40" w:before="40"/>
      </w:pPr>
      <w:r>
        <w:rPr>
          <w:rFonts w:ascii="Arial" w:cs="Arial" w:eastAsia="Arial" w:hAnsi="Arial"/>
          <w:sz w:val="22"/>
          <w:szCs w:val="22"/>
        </w:rPr>
        <w:t xml:space="preserve">Financial stability sufficient to complete the anticipated contract scope</w:t>
      </w:r>
    </w:p>
    <w:p>
      <w:pPr>
        <w:spacing w:after="60" w:before="60"/>
      </w:pPr>
      <w:r>
        <w:rPr>
          <w:rFonts w:ascii="Arial" w:cs="Arial" w:eastAsia="Arial" w:hAnsi="Arial"/>
          <w:b w:val="false"/>
          <w:bCs w:val="false"/>
          <w:i w:val="false"/>
          <w:iCs w:val="false"/>
          <w:color w:val="000000"/>
          <w:sz w:val="22"/>
          <w:szCs w:val="22"/>
        </w:rPr>
        <w:t xml:space="preserve">The evaluation should be documented and retained as part of the qualification record. Where a desktop review is insufficient, a supplier audit or on-site assessment should be conducted before the supplier is approved.</w:t>
      </w:r>
    </w:p>
    <w:p>
      <w:pPr>
        <w:pStyle w:val="Heading2"/>
        <w:spacing w:after="80" w:before="200"/>
      </w:pPr>
      <w:r>
        <w:rPr>
          <w:rFonts w:ascii="Arial" w:cs="Arial" w:eastAsia="Arial" w:hAnsi="Arial"/>
          <w:b/>
          <w:bCs/>
          <w:color w:val="7B2D8B"/>
          <w:sz w:val="26"/>
          <w:szCs w:val="26"/>
        </w:rPr>
        <w:t xml:space="preserve">5.3 Maintaining the ASL</w:t>
      </w:r>
    </w:p>
    <w:p>
      <w:pPr>
        <w:spacing w:after="60" w:before="60"/>
      </w:pPr>
      <w:r>
        <w:rPr>
          <w:rFonts w:ascii="Arial" w:cs="Arial" w:eastAsia="Arial" w:hAnsi="Arial"/>
          <w:b w:val="false"/>
          <w:bCs w:val="false"/>
          <w:i w:val="false"/>
          <w:iCs w:val="false"/>
          <w:color w:val="000000"/>
          <w:sz w:val="22"/>
          <w:szCs w:val="22"/>
        </w:rPr>
        <w:t xml:space="preserve">Once a supplier is on the ASL, the following activities are required to maintain their status:</w:t>
      </w:r>
    </w:p>
    <w:p>
      <w:pPr>
        <w:pStyle w:val="ListParagraph"/>
        <w:numPr>
          <w:ilvl w:val="0"/>
          <w:numId w:val="2"/>
        </w:numPr>
        <w:spacing w:after="40" w:before="40"/>
      </w:pPr>
      <w:r>
        <w:rPr>
          <w:rFonts w:ascii="Arial" w:cs="Arial" w:eastAsia="Arial" w:hAnsi="Arial"/>
          <w:sz w:val="22"/>
          <w:szCs w:val="22"/>
        </w:rPr>
        <w:t xml:space="preserve">Annual review of ISO certification validity</w:t>
      </w:r>
    </w:p>
    <w:p>
      <w:pPr>
        <w:pStyle w:val="ListParagraph"/>
        <w:numPr>
          <w:ilvl w:val="0"/>
          <w:numId w:val="2"/>
        </w:numPr>
        <w:spacing w:after="40" w:before="40"/>
      </w:pPr>
      <w:r>
        <w:rPr>
          <w:rFonts w:ascii="Arial" w:cs="Arial" w:eastAsia="Arial" w:hAnsi="Arial"/>
          <w:sz w:val="22"/>
          <w:szCs w:val="22"/>
        </w:rPr>
        <w:t xml:space="preserve">Periodic performance review based on delivery, quality and responsiveness data</w:t>
      </w:r>
    </w:p>
    <w:p>
      <w:pPr>
        <w:pStyle w:val="ListParagraph"/>
        <w:numPr>
          <w:ilvl w:val="0"/>
          <w:numId w:val="2"/>
        </w:numPr>
        <w:spacing w:after="40" w:before="40"/>
      </w:pPr>
      <w:r>
        <w:rPr>
          <w:rFonts w:ascii="Arial" w:cs="Arial" w:eastAsia="Arial" w:hAnsi="Arial"/>
          <w:sz w:val="22"/>
          <w:szCs w:val="22"/>
        </w:rPr>
        <w:t xml:space="preserve">Re-audit at a frequency determined by the supplier's grade and risk level (typically every one to three years for nuclear-grade suppliers)</w:t>
      </w:r>
    </w:p>
    <w:p>
      <w:pPr>
        <w:pStyle w:val="ListParagraph"/>
        <w:numPr>
          <w:ilvl w:val="0"/>
          <w:numId w:val="2"/>
        </w:numPr>
        <w:spacing w:after="40" w:before="40"/>
      </w:pPr>
      <w:r>
        <w:rPr>
          <w:rFonts w:ascii="Arial" w:cs="Arial" w:eastAsia="Arial" w:hAnsi="Arial"/>
          <w:sz w:val="22"/>
          <w:szCs w:val="22"/>
        </w:rPr>
        <w:t xml:space="preserve">Immediate review triggered by a significant non-conformance, quality escape or adverse performance trend</w:t>
      </w:r>
    </w:p>
    <w:p>
      <w:pPr>
        <w:pStyle w:val="ListParagraph"/>
        <w:numPr>
          <w:ilvl w:val="0"/>
          <w:numId w:val="2"/>
        </w:numPr>
        <w:spacing w:after="40" w:before="40"/>
      </w:pPr>
      <w:r>
        <w:rPr>
          <w:rFonts w:ascii="Arial" w:cs="Arial" w:eastAsia="Arial" w:hAnsi="Arial"/>
          <w:sz w:val="22"/>
          <w:szCs w:val="22"/>
        </w:rPr>
        <w:t xml:space="preserve">Review on any significant change to the supplier's ownership, management, facilities or quality management system</w:t>
      </w:r>
    </w:p>
    <w:p>
      <w:pPr>
        <w:spacing w:after="60" w:before="60"/>
      </w:pPr>
      <w:r>
        <w:rPr>
          <w:rFonts w:ascii="Arial" w:cs="Arial" w:eastAsia="Arial" w:hAnsi="Arial"/>
          <w:b w:val="false"/>
          <w:bCs w:val="false"/>
          <w:i w:val="false"/>
          <w:iCs w:val="false"/>
          <w:color w:val="000000"/>
          <w:sz w:val="22"/>
          <w:szCs w:val="22"/>
        </w:rPr>
        <w:t xml:space="preserve">Suppliers who fail to maintain the required standards should be placed on a probationary status, suspended or removed from the ASL, depending on the severity and nature of the concern. The decision and rationale must be documented.</w:t>
      </w:r>
    </w:p>
    <w:p>
      <w:r>
        <w:br w:type="page"/>
      </w:r>
    </w:p>
    <w:p>
      <w:pPr>
        <w:pStyle w:val="Heading1"/>
        <w:spacing w:after="120" w:before="300"/>
      </w:pPr>
      <w:r>
        <w:rPr>
          <w:rFonts w:ascii="Arial" w:cs="Arial" w:eastAsia="Arial" w:hAnsi="Arial"/>
          <w:b/>
          <w:bCs/>
          <w:color w:val="29ABE2"/>
          <w:sz w:val="32"/>
          <w:szCs w:val="32"/>
        </w:rPr>
        <w:t xml:space="preserve">6. CFSI Controls in Procurement</w:t>
      </w:r>
    </w:p>
    <w:p>
      <w:pPr>
        <w:pStyle w:val="Heading2"/>
        <w:spacing w:after="80" w:before="200"/>
      </w:pPr>
      <w:r>
        <w:rPr>
          <w:rFonts w:ascii="Arial" w:cs="Arial" w:eastAsia="Arial" w:hAnsi="Arial"/>
          <w:b/>
          <w:bCs/>
          <w:color w:val="7B2D8B"/>
          <w:sz w:val="26"/>
          <w:szCs w:val="26"/>
        </w:rPr>
        <w:t xml:space="preserve">6.1 What Are CFSI?</w:t>
      </w:r>
    </w:p>
    <w:p>
      <w:pPr>
        <w:spacing w:after="60" w:before="60"/>
      </w:pPr>
      <w:r>
        <w:rPr>
          <w:rFonts w:ascii="Arial" w:cs="Arial" w:eastAsia="Arial" w:hAnsi="Arial"/>
          <w:b w:val="false"/>
          <w:bCs w:val="false"/>
          <w:i w:val="false"/>
          <w:iCs w:val="false"/>
          <w:color w:val="000000"/>
          <w:sz w:val="22"/>
          <w:szCs w:val="22"/>
        </w:rPr>
        <w:t xml:space="preserve">Counterfeit, Fraudulent and Suspect Items (CFSI) are items that are misrepresented with respect to their identity, source, configuration, performance or quality. They may be deliberately fraudulent or the result of mislabelling, inadequate processes or the use of non-original materials.</w:t>
      </w:r>
    </w:p>
    <w:p>
      <w:pPr>
        <w:spacing w:after="60" w:before="60"/>
      </w:pPr>
      <w:r>
        <w:rPr>
          <w:rFonts w:ascii="Arial" w:cs="Arial" w:eastAsia="Arial" w:hAnsi="Arial"/>
          <w:b w:val="false"/>
          <w:bCs w:val="false"/>
          <w:i w:val="false"/>
          <w:iCs w:val="false"/>
          <w:color w:val="000000"/>
          <w:sz w:val="22"/>
          <w:szCs w:val="22"/>
        </w:rPr>
        <w:t xml:space="preserve">CFSI pose a particular risk in the nuclear sector because they may appear to meet specifications while being fundamentally incapable of performing their intended safety function. A counterfeit valve seal, a fraudulently certified fastener or a suspect cable insulation material could all create safety risks that are not visible until failure occurs under operational or accident conditions.</w:t>
      </w:r>
    </w:p>
    <w:p>
      <w:pPr>
        <w:pStyle w:val="Heading2"/>
        <w:spacing w:after="80" w:before="200"/>
      </w:pPr>
      <w:r>
        <w:rPr>
          <w:rFonts w:ascii="Arial" w:cs="Arial" w:eastAsia="Arial" w:hAnsi="Arial"/>
          <w:b/>
          <w:bCs/>
          <w:color w:val="7B2D8B"/>
          <w:sz w:val="26"/>
          <w:szCs w:val="26"/>
        </w:rPr>
        <w:t xml:space="preserve">6.2 At-Risk Procurement Scenarios</w:t>
      </w:r>
    </w:p>
    <w:p>
      <w:pPr>
        <w:spacing w:after="60" w:before="60"/>
      </w:pPr>
      <w:r>
        <w:rPr>
          <w:rFonts w:ascii="Arial" w:cs="Arial" w:eastAsia="Arial" w:hAnsi="Arial"/>
          <w:b w:val="false"/>
          <w:bCs w:val="false"/>
          <w:i w:val="false"/>
          <w:iCs w:val="false"/>
          <w:color w:val="000000"/>
          <w:sz w:val="22"/>
          <w:szCs w:val="22"/>
        </w:rPr>
        <w:t xml:space="preserve">Certain procurement scenarios carry a higher risk of CFSI. Your procurement team must be trained to recognise these scenarios and apply enhanced controls:</w:t>
      </w:r>
    </w:p>
    <w:p>
      <w:pPr>
        <w:pStyle w:val="ListParagraph"/>
        <w:numPr>
          <w:ilvl w:val="0"/>
          <w:numId w:val="2"/>
        </w:numPr>
        <w:spacing w:after="40" w:before="40"/>
      </w:pPr>
      <w:r>
        <w:rPr>
          <w:rFonts w:ascii="Arial" w:cs="Arial" w:eastAsia="Arial" w:hAnsi="Arial"/>
          <w:sz w:val="22"/>
          <w:szCs w:val="22"/>
        </w:rPr>
        <w:t xml:space="preserve">Purchasing obsolete or difficult-to-source items from non-approved distributors or equipment resellers</w:t>
      </w:r>
    </w:p>
    <w:p>
      <w:pPr>
        <w:pStyle w:val="ListParagraph"/>
        <w:numPr>
          <w:ilvl w:val="0"/>
          <w:numId w:val="2"/>
        </w:numPr>
        <w:spacing w:after="40" w:before="40"/>
      </w:pPr>
      <w:r>
        <w:rPr>
          <w:rFonts w:ascii="Arial" w:cs="Arial" w:eastAsia="Arial" w:hAnsi="Arial"/>
          <w:sz w:val="22"/>
          <w:szCs w:val="22"/>
        </w:rPr>
        <w:t xml:space="preserve">Sourcing from the "grey market" (non-original equipment manufacturer channels)</w:t>
      </w:r>
    </w:p>
    <w:p>
      <w:pPr>
        <w:pStyle w:val="ListParagraph"/>
        <w:numPr>
          <w:ilvl w:val="0"/>
          <w:numId w:val="2"/>
        </w:numPr>
        <w:spacing w:after="40" w:before="40"/>
      </w:pPr>
      <w:r>
        <w:rPr>
          <w:rFonts w:ascii="Arial" w:cs="Arial" w:eastAsia="Arial" w:hAnsi="Arial"/>
          <w:sz w:val="22"/>
          <w:szCs w:val="22"/>
        </w:rPr>
        <w:t xml:space="preserve">Items with unusually short lead times or prices significantly below market rates</w:t>
      </w:r>
    </w:p>
    <w:p>
      <w:pPr>
        <w:pStyle w:val="ListParagraph"/>
        <w:numPr>
          <w:ilvl w:val="0"/>
          <w:numId w:val="2"/>
        </w:numPr>
        <w:spacing w:after="40" w:before="40"/>
      </w:pPr>
      <w:r>
        <w:rPr>
          <w:rFonts w:ascii="Arial" w:cs="Arial" w:eastAsia="Arial" w:hAnsi="Arial"/>
          <w:sz w:val="22"/>
          <w:szCs w:val="22"/>
        </w:rPr>
        <w:t xml:space="preserve">Suppliers unable or unwilling to provide full material traceability documentation</w:t>
      </w:r>
    </w:p>
    <w:p>
      <w:pPr>
        <w:pStyle w:val="ListParagraph"/>
        <w:numPr>
          <w:ilvl w:val="0"/>
          <w:numId w:val="2"/>
        </w:numPr>
        <w:spacing w:after="40" w:before="40"/>
      </w:pPr>
      <w:r>
        <w:rPr>
          <w:rFonts w:ascii="Arial" w:cs="Arial" w:eastAsia="Arial" w:hAnsi="Arial"/>
          <w:sz w:val="22"/>
          <w:szCs w:val="22"/>
        </w:rPr>
        <w:t xml:space="preserve">Items with inconsistent markings, poor quality packaging or documentation that does not match the item</w:t>
      </w:r>
    </w:p>
    <w:p>
      <w:pPr>
        <w:pStyle w:val="ListParagraph"/>
        <w:numPr>
          <w:ilvl w:val="0"/>
          <w:numId w:val="2"/>
        </w:numPr>
        <w:spacing w:after="40" w:before="40"/>
      </w:pPr>
      <w:r>
        <w:rPr>
          <w:rFonts w:ascii="Arial" w:cs="Arial" w:eastAsia="Arial" w:hAnsi="Arial"/>
          <w:sz w:val="22"/>
          <w:szCs w:val="22"/>
        </w:rPr>
        <w:t xml:space="preserve">Electronic components from online marketplaces or brokers without established nuclear supply credentials</w:t>
      </w:r>
    </w:p>
    <w:p>
      <w:pPr>
        <w:pStyle w:val="Heading2"/>
        <w:spacing w:after="80" w:before="200"/>
      </w:pPr>
      <w:r>
        <w:rPr>
          <w:rFonts w:ascii="Arial" w:cs="Arial" w:eastAsia="Arial" w:hAnsi="Arial"/>
          <w:b/>
          <w:bCs/>
          <w:color w:val="7B2D8B"/>
          <w:sz w:val="26"/>
          <w:szCs w:val="26"/>
        </w:rPr>
        <w:t xml:space="preserve">6.3 CFSI Mitigation Measures</w:t>
      </w:r>
    </w:p>
    <w:p>
      <w:pPr>
        <w:spacing w:after="60" w:before="60"/>
      </w:pPr>
      <w:r>
        <w:rPr>
          <w:rFonts w:ascii="Arial" w:cs="Arial" w:eastAsia="Arial" w:hAnsi="Arial"/>
          <w:b w:val="false"/>
          <w:bCs w:val="false"/>
          <w:i w:val="false"/>
          <w:iCs w:val="false"/>
          <w:color w:val="000000"/>
          <w:sz w:val="22"/>
          <w:szCs w:val="22"/>
        </w:rPr>
        <w:t xml:space="preserve">The following controls should be embedded in your procurement process for nuclear-grade items:</w:t>
      </w:r>
    </w:p>
    <w:p>
      <w:pPr>
        <w:pStyle w:val="ListParagraph"/>
        <w:numPr>
          <w:ilvl w:val="0"/>
          <w:numId w:val="4"/>
        </w:numPr>
        <w:spacing w:after="40" w:before="40"/>
      </w:pPr>
      <w:r>
        <w:rPr>
          <w:rFonts w:ascii="Arial" w:cs="Arial" w:eastAsia="Arial" w:hAnsi="Arial"/>
          <w:sz w:val="22"/>
          <w:szCs w:val="22"/>
        </w:rPr>
        <w:t xml:space="preserve">Specify in the purchase order that items must be sourced from the original equipment manufacturer (OEM) or an OEM-authorised distributor</w:t>
      </w:r>
    </w:p>
    <w:p>
      <w:pPr>
        <w:pStyle w:val="ListParagraph"/>
        <w:numPr>
          <w:ilvl w:val="0"/>
          <w:numId w:val="4"/>
        </w:numPr>
        <w:spacing w:after="40" w:before="40"/>
      </w:pPr>
      <w:r>
        <w:rPr>
          <w:rFonts w:ascii="Arial" w:cs="Arial" w:eastAsia="Arial" w:hAnsi="Arial"/>
          <w:sz w:val="22"/>
          <w:szCs w:val="22"/>
        </w:rPr>
        <w:t xml:space="preserve">Require full material traceability documentation from mill certificate or manufacturer's certificate of conformance through to delivery</w:t>
      </w:r>
    </w:p>
    <w:p>
      <w:pPr>
        <w:pStyle w:val="ListParagraph"/>
        <w:numPr>
          <w:ilvl w:val="0"/>
          <w:numId w:val="4"/>
        </w:numPr>
        <w:spacing w:after="40" w:before="40"/>
      </w:pPr>
      <w:r>
        <w:rPr>
          <w:rFonts w:ascii="Arial" w:cs="Arial" w:eastAsia="Arial" w:hAnsi="Arial"/>
          <w:sz w:val="22"/>
          <w:szCs w:val="22"/>
        </w:rPr>
        <w:t xml:space="preserve">Apply enhanced receiving inspection for at-risk items, including positive material identification (PMI) testing</w:t>
      </w:r>
    </w:p>
    <w:p>
      <w:pPr>
        <w:pStyle w:val="ListParagraph"/>
        <w:numPr>
          <w:ilvl w:val="0"/>
          <w:numId w:val="4"/>
        </w:numPr>
        <w:spacing w:after="40" w:before="40"/>
      </w:pPr>
      <w:r>
        <w:rPr>
          <w:rFonts w:ascii="Arial" w:cs="Arial" w:eastAsia="Arial" w:hAnsi="Arial"/>
          <w:sz w:val="22"/>
          <w:szCs w:val="22"/>
        </w:rPr>
        <w:t xml:space="preserve">Train purchasing and inspection staff to recognise CFSI warning signs</w:t>
      </w:r>
    </w:p>
    <w:p>
      <w:pPr>
        <w:pStyle w:val="ListParagraph"/>
        <w:numPr>
          <w:ilvl w:val="0"/>
          <w:numId w:val="4"/>
        </w:numPr>
        <w:spacing w:after="40" w:before="40"/>
      </w:pPr>
      <w:r>
        <w:rPr>
          <w:rFonts w:ascii="Arial" w:cs="Arial" w:eastAsia="Arial" w:hAnsi="Arial"/>
          <w:sz w:val="22"/>
          <w:szCs w:val="22"/>
        </w:rPr>
        <w:t xml:space="preserve">Quarantine and investigate any items that are suspected of being CFSI, and report confirmed cases to ONR and the wider industry through OPEX channels</w:t>
      </w:r>
    </w:p>
    <w:p>
      <w:pPr>
        <w:pStyle w:val="ListParagraph"/>
        <w:numPr>
          <w:ilvl w:val="0"/>
          <w:numId w:val="4"/>
        </w:numPr>
        <w:spacing w:after="40" w:before="40"/>
      </w:pPr>
      <w:r>
        <w:rPr>
          <w:rFonts w:ascii="Arial" w:cs="Arial" w:eastAsia="Arial" w:hAnsi="Arial"/>
          <w:sz w:val="22"/>
          <w:szCs w:val="22"/>
        </w:rPr>
        <w:t xml:space="preserve">Destroy confirmed CFSI to prevent re-entry into the supply chain</w:t>
      </w:r>
    </w:p>
    <w:p>
      <w:pPr>
        <w:spacing w:after="100" w:before="100"/>
        <w:ind w:left="360"/>
      </w:pPr>
      <w:r>
        <w:rPr>
          <w:rFonts w:ascii="Arial" w:cs="Arial" w:eastAsia="Arial" w:hAnsi="Arial"/>
          <w:i/>
          <w:iCs/>
          <w:color w:val="83348F"/>
          <w:sz w:val="22"/>
          <w:szCs w:val="22"/>
        </w:rPr>
        <w:t xml:space="preserve">CFSI controls are not just a quality management requirement. They are a safety requirement. Every person involved in procurement has a responsibility to maintain vigilance and raise concerns through the appropriate channels.</w:t>
      </w:r>
    </w:p>
    <w:p>
      <w:r>
        <w:br w:type="page"/>
      </w:r>
    </w:p>
    <w:p>
      <w:pPr>
        <w:pStyle w:val="Heading1"/>
        <w:spacing w:after="120" w:before="300"/>
      </w:pPr>
      <w:r>
        <w:rPr>
          <w:rFonts w:ascii="Arial" w:cs="Arial" w:eastAsia="Arial" w:hAnsi="Arial"/>
          <w:b/>
          <w:bCs/>
          <w:color w:val="29ABE2"/>
          <w:sz w:val="32"/>
          <w:szCs w:val="32"/>
        </w:rPr>
        <w:t xml:space="preserve">7. Records and Documentation</w:t>
      </w:r>
    </w:p>
    <w:p>
      <w:pPr>
        <w:pStyle w:val="Heading2"/>
        <w:spacing w:after="80" w:before="200"/>
      </w:pPr>
      <w:r>
        <w:rPr>
          <w:rFonts w:ascii="Arial" w:cs="Arial" w:eastAsia="Arial" w:hAnsi="Arial"/>
          <w:b/>
          <w:bCs/>
          <w:color w:val="7B2D8B"/>
          <w:sz w:val="26"/>
          <w:szCs w:val="26"/>
        </w:rPr>
        <w:t xml:space="preserve">7.1 The Nuclear Records Requirement</w:t>
      </w:r>
    </w:p>
    <w:p>
      <w:pPr>
        <w:spacing w:after="60" w:before="60"/>
      </w:pPr>
      <w:r>
        <w:rPr>
          <w:rFonts w:ascii="Arial" w:cs="Arial" w:eastAsia="Arial" w:hAnsi="Arial"/>
          <w:b w:val="false"/>
          <w:bCs w:val="false"/>
          <w:i w:val="false"/>
          <w:iCs w:val="false"/>
          <w:color w:val="000000"/>
          <w:sz w:val="22"/>
          <w:szCs w:val="22"/>
        </w:rPr>
        <w:t xml:space="preserve">In the nuclear sector, if it is not documented it did not happen. Records are not bureaucratic overhead. They are the objective evidence that requirements were specified, suppliers were qualified, work was performed correctly, inspections were conducted and items are fit for their intended purpose.</w:t>
      </w:r>
    </w:p>
    <w:p>
      <w:pPr>
        <w:spacing w:after="60" w:before="60"/>
      </w:pPr>
      <w:r>
        <w:rPr>
          <w:rFonts w:ascii="Arial" w:cs="Arial" w:eastAsia="Arial" w:hAnsi="Arial"/>
          <w:b w:val="false"/>
          <w:bCs w:val="false"/>
          <w:i w:val="false"/>
          <w:iCs w:val="false"/>
          <w:color w:val="000000"/>
          <w:sz w:val="22"/>
          <w:szCs w:val="22"/>
        </w:rPr>
        <w:t xml:space="preserve">Records must be:</w:t>
      </w:r>
    </w:p>
    <w:p>
      <w:pPr>
        <w:pStyle w:val="ListParagraph"/>
        <w:numPr>
          <w:ilvl w:val="0"/>
          <w:numId w:val="2"/>
        </w:numPr>
        <w:spacing w:after="40" w:before="40"/>
      </w:pPr>
      <w:r>
        <w:rPr>
          <w:rFonts w:ascii="Arial" w:cs="Arial" w:eastAsia="Arial" w:hAnsi="Arial"/>
          <w:sz w:val="22"/>
          <w:szCs w:val="22"/>
        </w:rPr>
        <w:t xml:space="preserve">Complete: covering all required activities and inspections</w:t>
      </w:r>
    </w:p>
    <w:p>
      <w:pPr>
        <w:pStyle w:val="ListParagraph"/>
        <w:numPr>
          <w:ilvl w:val="0"/>
          <w:numId w:val="2"/>
        </w:numPr>
        <w:spacing w:after="40" w:before="40"/>
      </w:pPr>
      <w:r>
        <w:rPr>
          <w:rFonts w:ascii="Arial" w:cs="Arial" w:eastAsia="Arial" w:hAnsi="Arial"/>
          <w:sz w:val="22"/>
          <w:szCs w:val="22"/>
        </w:rPr>
        <w:t xml:space="preserve">Accurate: reflecting what actually happened, not what was planned</w:t>
      </w:r>
    </w:p>
    <w:p>
      <w:pPr>
        <w:pStyle w:val="ListParagraph"/>
        <w:numPr>
          <w:ilvl w:val="0"/>
          <w:numId w:val="2"/>
        </w:numPr>
        <w:spacing w:after="40" w:before="40"/>
      </w:pPr>
      <w:r>
        <w:rPr>
          <w:rFonts w:ascii="Arial" w:cs="Arial" w:eastAsia="Arial" w:hAnsi="Arial"/>
          <w:sz w:val="22"/>
          <w:szCs w:val="22"/>
        </w:rPr>
        <w:t xml:space="preserve">Legible and retrievable: stored in a controlled manner that allows retrieval throughout the required retention period</w:t>
      </w:r>
    </w:p>
    <w:p>
      <w:pPr>
        <w:pStyle w:val="ListParagraph"/>
        <w:numPr>
          <w:ilvl w:val="0"/>
          <w:numId w:val="2"/>
        </w:numPr>
        <w:spacing w:after="40" w:before="40"/>
      </w:pPr>
      <w:r>
        <w:rPr>
          <w:rFonts w:ascii="Arial" w:cs="Arial" w:eastAsia="Arial" w:hAnsi="Arial"/>
          <w:sz w:val="22"/>
          <w:szCs w:val="22"/>
        </w:rPr>
        <w:t xml:space="preserve">Traceable: linked to the specific item, contract and specification they relate to</w:t>
      </w:r>
    </w:p>
    <w:p>
      <w:pPr>
        <w:pStyle w:val="Heading2"/>
        <w:spacing w:after="80" w:before="200"/>
      </w:pPr>
      <w:r>
        <w:rPr>
          <w:rFonts w:ascii="Arial" w:cs="Arial" w:eastAsia="Arial" w:hAnsi="Arial"/>
          <w:b/>
          <w:bCs/>
          <w:color w:val="7B2D8B"/>
          <w:sz w:val="26"/>
          <w:szCs w:val="26"/>
        </w:rPr>
        <w:t xml:space="preserve">7.2 Typical Procurement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c>
          <w:tcPr>
            <w:tcW w:type="dxa" w:w="30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Record Type</w:t>
            </w:r>
          </w:p>
        </w:tc>
        <w:tc>
          <w:tcPr>
            <w:tcW w:type="dxa" w:w="3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Typical Retention</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Purchase order and specification</w:t>
            </w:r>
          </w:p>
        </w:tc>
        <w:tc>
          <w:tcPr>
            <w:tcW w:type="dxa" w:w="3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Defines what was ordered and to what requirements</w:t>
            </w:r>
          </w:p>
        </w:tc>
        <w:tc>
          <w:tcPr>
            <w:tcW w:type="dxa" w:w="2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 of plant plus 30 years</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 qualification records</w:t>
            </w:r>
          </w:p>
        </w:tc>
        <w:tc>
          <w:tcPr>
            <w:tcW w:type="dxa" w:w="3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 that the supplier was assessed and approved</w:t>
            </w:r>
          </w:p>
        </w:tc>
        <w:tc>
          <w:tcPr>
            <w:tcW w:type="dxa" w:w="2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10 years from last use</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Quality plan (approved)</w:t>
            </w:r>
          </w:p>
        </w:tc>
        <w:tc>
          <w:tcPr>
            <w:tcW w:type="dxa" w:w="3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Defines the inspection and control regime for the contract</w:t>
            </w:r>
          </w:p>
        </w:tc>
        <w:tc>
          <w:tcPr>
            <w:tcW w:type="dxa" w:w="2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 of plant plus 30 years</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Inspection and Test Plan records</w:t>
            </w:r>
          </w:p>
        </w:tc>
        <w:tc>
          <w:tcPr>
            <w:tcW w:type="dxa" w:w="3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 that all planned inspections were conducted</w:t>
            </w:r>
          </w:p>
        </w:tc>
        <w:tc>
          <w:tcPr>
            <w:tcW w:type="dxa" w:w="2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 of plant plus 30 years</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 certificates</w:t>
            </w:r>
          </w:p>
        </w:tc>
        <w:tc>
          <w:tcPr>
            <w:tcW w:type="dxa" w:w="3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Traceability from raw material to finished item</w:t>
            </w:r>
          </w:p>
        </w:tc>
        <w:tc>
          <w:tcPr>
            <w:tcW w:type="dxa" w:w="2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 of plant plus 30 years</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Non-conformance records</w:t>
            </w:r>
          </w:p>
        </w:tc>
        <w:tc>
          <w:tcPr>
            <w:tcW w:type="dxa" w:w="3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 of any deviations and their disposition</w:t>
            </w:r>
          </w:p>
        </w:tc>
        <w:tc>
          <w:tcPr>
            <w:tcW w:type="dxa" w:w="2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 of plant plus 30 years</w:t>
            </w:r>
          </w:p>
        </w:tc>
      </w:tr>
      <w:tr>
        <w:tc>
          <w:tcPr>
            <w:tcW w:type="dxa" w:w="3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Goods receipt inspection record</w:t>
            </w:r>
          </w:p>
        </w:tc>
        <w:tc>
          <w:tcPr>
            <w:tcW w:type="dxa" w:w="3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Evidence of conformance verification at delivery</w:t>
            </w:r>
          </w:p>
        </w:tc>
        <w:tc>
          <w:tcPr>
            <w:tcW w:type="dxa" w:w="25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 years minimum</w:t>
            </w:r>
          </w:p>
        </w:tc>
      </w:tr>
      <w:tr>
        <w:tc>
          <w:tcPr>
            <w:tcW w:type="dxa" w:w="3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Certificate of conformance</w:t>
            </w:r>
          </w:p>
        </w:tc>
        <w:tc>
          <w:tcPr>
            <w:tcW w:type="dxa" w:w="3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Supplier's formal declaration of conformance to specification</w:t>
            </w:r>
          </w:p>
        </w:tc>
        <w:tc>
          <w:tcPr>
            <w:tcW w:type="dxa" w:w="25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Life of plant plus 30 years</w:t>
            </w:r>
          </w:p>
        </w:tc>
      </w:tr>
    </w:tbl>
    <w:p>
      <w:pPr>
        <w:pStyle w:val="Heading2"/>
        <w:spacing w:after="80" w:before="200"/>
      </w:pPr>
      <w:r>
        <w:rPr>
          <w:rFonts w:ascii="Arial" w:cs="Arial" w:eastAsia="Arial" w:hAnsi="Arial"/>
          <w:b/>
          <w:bCs/>
          <w:color w:val="7B2D8B"/>
          <w:sz w:val="26"/>
          <w:szCs w:val="26"/>
        </w:rPr>
        <w:t xml:space="preserve">7.3 Document Control</w:t>
      </w:r>
    </w:p>
    <w:p>
      <w:pPr>
        <w:spacing w:after="60" w:before="60"/>
      </w:pPr>
      <w:r>
        <w:rPr>
          <w:rFonts w:ascii="Arial" w:cs="Arial" w:eastAsia="Arial" w:hAnsi="Arial"/>
          <w:b w:val="false"/>
          <w:bCs w:val="false"/>
          <w:i w:val="false"/>
          <w:iCs w:val="false"/>
          <w:color w:val="000000"/>
          <w:sz w:val="22"/>
          <w:szCs w:val="22"/>
        </w:rPr>
        <w:t xml:space="preserve">All procurement documents, including specifications, quality plans, inspection plans and records, must be subject to formal document control. This means:</w:t>
      </w:r>
    </w:p>
    <w:p>
      <w:pPr>
        <w:pStyle w:val="ListParagraph"/>
        <w:numPr>
          <w:ilvl w:val="0"/>
          <w:numId w:val="2"/>
        </w:numPr>
        <w:spacing w:after="40" w:before="40"/>
      </w:pPr>
      <w:r>
        <w:rPr>
          <w:rFonts w:ascii="Arial" w:cs="Arial" w:eastAsia="Arial" w:hAnsi="Arial"/>
          <w:sz w:val="22"/>
          <w:szCs w:val="22"/>
        </w:rPr>
        <w:t xml:space="preserve">Documents are uniquely identified and version-controlled</w:t>
      </w:r>
    </w:p>
    <w:p>
      <w:pPr>
        <w:pStyle w:val="ListParagraph"/>
        <w:numPr>
          <w:ilvl w:val="0"/>
          <w:numId w:val="2"/>
        </w:numPr>
        <w:spacing w:after="40" w:before="40"/>
      </w:pPr>
      <w:r>
        <w:rPr>
          <w:rFonts w:ascii="Arial" w:cs="Arial" w:eastAsia="Arial" w:hAnsi="Arial"/>
          <w:sz w:val="22"/>
          <w:szCs w:val="22"/>
        </w:rPr>
        <w:t xml:space="preserve">Only current, approved versions are in use</w:t>
      </w:r>
    </w:p>
    <w:p>
      <w:pPr>
        <w:pStyle w:val="ListParagraph"/>
        <w:numPr>
          <w:ilvl w:val="0"/>
          <w:numId w:val="2"/>
        </w:numPr>
        <w:spacing w:after="40" w:before="40"/>
      </w:pPr>
      <w:r>
        <w:rPr>
          <w:rFonts w:ascii="Arial" w:cs="Arial" w:eastAsia="Arial" w:hAnsi="Arial"/>
          <w:sz w:val="22"/>
          <w:szCs w:val="22"/>
        </w:rPr>
        <w:t xml:space="preserve">Changes are reviewed and authorised before issue</w:t>
      </w:r>
    </w:p>
    <w:p>
      <w:pPr>
        <w:pStyle w:val="ListParagraph"/>
        <w:numPr>
          <w:ilvl w:val="0"/>
          <w:numId w:val="2"/>
        </w:numPr>
        <w:spacing w:after="40" w:before="40"/>
      </w:pPr>
      <w:r>
        <w:rPr>
          <w:rFonts w:ascii="Arial" w:cs="Arial" w:eastAsia="Arial" w:hAnsi="Arial"/>
          <w:sz w:val="22"/>
          <w:szCs w:val="22"/>
        </w:rPr>
        <w:t xml:space="preserve">Obsolete documents are clearly identified and controlled to prevent inadvertent use</w:t>
      </w:r>
    </w:p>
    <w:p>
      <w:r>
        <w:br w:type="page"/>
      </w:r>
    </w:p>
    <w:p>
      <w:pPr>
        <w:pStyle w:val="Heading1"/>
        <w:spacing w:after="120" w:before="300"/>
      </w:pPr>
      <w:r>
        <w:rPr>
          <w:rFonts w:ascii="Arial" w:cs="Arial" w:eastAsia="Arial" w:hAnsi="Arial"/>
          <w:b/>
          <w:bCs/>
          <w:color w:val="29ABE2"/>
          <w:sz w:val="32"/>
          <w:szCs w:val="32"/>
        </w:rPr>
        <w:t xml:space="preserve">8. Practical Implementation Checklist</w:t>
      </w:r>
    </w:p>
    <w:p>
      <w:pPr>
        <w:spacing w:after="60" w:before="60"/>
      </w:pPr>
      <w:r>
        <w:rPr>
          <w:rFonts w:ascii="Arial" w:cs="Arial" w:eastAsia="Arial" w:hAnsi="Arial"/>
          <w:b w:val="false"/>
          <w:bCs w:val="false"/>
          <w:i w:val="false"/>
          <w:iCs w:val="false"/>
          <w:color w:val="000000"/>
          <w:sz w:val="22"/>
          <w:szCs w:val="22"/>
        </w:rPr>
        <w:t xml:space="preserve">Use the following checklist to assess the current state of your nuclear procurement arrangements and identify priority improvement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c>
          <w:tcPr>
            <w:tcW w:type="dxa" w:w="2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45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Key Questions</w:t>
            </w:r>
          </w:p>
        </w:tc>
        <w:tc>
          <w:tcPr>
            <w:tcW w:type="dxa" w:w="20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Grading</w:t>
            </w:r>
          </w:p>
        </w:tc>
        <w:tc>
          <w:tcPr>
            <w:tcW w:type="dxa" w:w="4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you have a documented process for classifying items and services by nuclear safety significance?</w:t>
            </w:r>
          </w:p>
        </w:tc>
        <w:tc>
          <w:tcPr>
            <w:tcW w:type="dxa" w:w="2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Specification</w:t>
            </w:r>
          </w:p>
        </w:tc>
        <w:tc>
          <w:tcPr>
            <w:tcW w:type="dxa" w:w="4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Are your procurement specifications reviewed by a technically competent person before issue?</w:t>
            </w:r>
          </w:p>
        </w:tc>
        <w:tc>
          <w:tcPr>
            <w:tcW w:type="dxa" w:w="2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Specification</w:t>
            </w:r>
          </w:p>
        </w:tc>
        <w:tc>
          <w:tcPr>
            <w:tcW w:type="dxa" w:w="4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specifications include all mandatory nuclear elements (classification, quality requirements, CFSI, records)?</w:t>
            </w:r>
          </w:p>
        </w:tc>
        <w:tc>
          <w:tcPr>
            <w:tcW w:type="dxa" w:w="2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Supplier List</w:t>
            </w:r>
          </w:p>
        </w:tc>
        <w:tc>
          <w:tcPr>
            <w:tcW w:type="dxa" w:w="4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Do you have a formal ASL for nuclear procurement?</w:t>
            </w:r>
          </w:p>
        </w:tc>
        <w:tc>
          <w:tcPr>
            <w:tcW w:type="dxa" w:w="2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Supplier List</w:t>
            </w:r>
          </w:p>
        </w:tc>
        <w:tc>
          <w:tcPr>
            <w:tcW w:type="dxa" w:w="4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Are ASL suppliers re-evaluated at defined intervals?</w:t>
            </w:r>
          </w:p>
        </w:tc>
        <w:tc>
          <w:tcPr>
            <w:tcW w:type="dxa" w:w="2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CFSI Controls</w:t>
            </w:r>
          </w:p>
        </w:tc>
        <w:tc>
          <w:tcPr>
            <w:tcW w:type="dxa" w:w="4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Are procurement staff trained to recognise at-risk procurement scenarios?</w:t>
            </w:r>
          </w:p>
        </w:tc>
        <w:tc>
          <w:tcPr>
            <w:tcW w:type="dxa" w:w="2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CFSI Controls</w:t>
            </w:r>
          </w:p>
        </w:tc>
        <w:tc>
          <w:tcPr>
            <w:tcW w:type="dxa" w:w="4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 you have a process for quarantining and reporting suspected CFSI?</w:t>
            </w:r>
          </w:p>
        </w:tc>
        <w:tc>
          <w:tcPr>
            <w:tcW w:type="dxa" w:w="2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Records</w:t>
            </w:r>
          </w:p>
        </w:tc>
        <w:tc>
          <w:tcPr>
            <w:tcW w:type="dxa" w:w="4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Do you have a documented records retention schedule that meets nuclear requirements?</w:t>
            </w:r>
          </w:p>
        </w:tc>
        <w:tc>
          <w:tcPr>
            <w:tcW w:type="dxa" w:w="2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Records</w:t>
            </w:r>
          </w:p>
        </w:tc>
        <w:tc>
          <w:tcPr>
            <w:tcW w:type="dxa" w:w="45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Are procurement records stored in a controlled and retrievable manner?</w:t>
            </w:r>
          </w:p>
        </w:tc>
        <w:tc>
          <w:tcPr>
            <w:tcW w:type="dxa" w:w="2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Intelligent Customer</w:t>
            </w:r>
          </w:p>
        </w:tc>
        <w:tc>
          <w:tcPr>
            <w:tcW w:type="dxa" w:w="45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Do your procurement and technical staff have sufficient knowledge to evaluate supplier quality plans?</w:t>
            </w:r>
          </w:p>
        </w:tc>
        <w:tc>
          <w:tcPr>
            <w:tcW w:type="dxa" w:w="2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r>
        <w:br w:type="page"/>
      </w:r>
    </w:p>
    <w:p>
      <w:pPr>
        <w:pStyle w:val="Heading1"/>
        <w:spacing w:after="120" w:before="300"/>
      </w:pPr>
      <w:r>
        <w:rPr>
          <w:rFonts w:ascii="Arial" w:cs="Arial" w:eastAsia="Arial" w:hAnsi="Arial"/>
          <w:b/>
          <w:bCs/>
          <w:color w:val="29ABE2"/>
          <w:sz w:val="32"/>
          <w:szCs w:val="32"/>
        </w:rPr>
        <w:t xml:space="preserve">9. Key Terms and References</w:t>
      </w:r>
    </w:p>
    <w:p>
      <w:pPr>
        <w:pStyle w:val="Heading2"/>
        <w:spacing w:after="80" w:before="200"/>
      </w:pPr>
      <w:r>
        <w:rPr>
          <w:rFonts w:ascii="Arial" w:cs="Arial" w:eastAsia="Arial" w:hAnsi="Arial"/>
          <w:b/>
          <w:bCs/>
          <w:color w:val="7B2D8B"/>
          <w:sz w:val="26"/>
          <w:szCs w:val="26"/>
        </w:rPr>
        <w:t xml:space="preserve">9.1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026"/>
            <w:shd w:fill="83348F"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ASL</w:t>
            </w:r>
          </w:p>
        </w:tc>
        <w:tc>
          <w:tcPr>
            <w:tcW w:type="dxa" w:w="7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Approved Supplier List: the controlled register of suppliers qualified for nuclear procurement</w:t>
            </w:r>
          </w:p>
        </w:tc>
      </w:tr>
      <w:tr>
        <w:tc>
          <w:tcPr>
            <w:tcW w:type="dxa" w:w="2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CGD</w:t>
            </w:r>
          </w:p>
        </w:tc>
        <w:tc>
          <w:tcPr>
            <w:tcW w:type="dxa" w:w="7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Commercial Grade Dedication: the process of accepting a commercial-grade item for nuclear safety-related use</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CFSI</w:t>
            </w:r>
          </w:p>
        </w:tc>
        <w:tc>
          <w:tcPr>
            <w:tcW w:type="dxa" w:w="7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Counterfeit, Fraudulent and Suspect Items: items misrepresented as to their identity, origin or quality</w:t>
            </w:r>
          </w:p>
        </w:tc>
      </w:tr>
      <w:tr>
        <w:tc>
          <w:tcPr>
            <w:tcW w:type="dxa" w:w="2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ITP</w:t>
            </w:r>
          </w:p>
        </w:tc>
        <w:tc>
          <w:tcPr>
            <w:tcW w:type="dxa" w:w="7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Inspection and Test Plan: the document defining all inspection and test activities for a contract</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OEM</w:t>
            </w:r>
          </w:p>
        </w:tc>
        <w:tc>
          <w:tcPr>
            <w:tcW w:type="dxa" w:w="7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Equipment Manufacturer: the original producer of an item</w:t>
            </w:r>
          </w:p>
        </w:tc>
      </w:tr>
      <w:tr>
        <w:tc>
          <w:tcPr>
            <w:tcW w:type="dxa" w:w="2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OPEX</w:t>
            </w:r>
          </w:p>
        </w:tc>
        <w:tc>
          <w:tcPr>
            <w:tcW w:type="dxa" w:w="7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Operational Experience: the systematic capture and sharing of lessons from events and near-misses</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PMI</w:t>
            </w:r>
          </w:p>
        </w:tc>
        <w:tc>
          <w:tcPr>
            <w:tcW w:type="dxa" w:w="7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Positive Material Identification: testing to verify material composition</w:t>
            </w:r>
          </w:p>
        </w:tc>
      </w:tr>
      <w:tr>
        <w:tc>
          <w:tcPr>
            <w:tcW w:type="dxa" w:w="2000"/>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SQEP</w:t>
            </w:r>
          </w:p>
        </w:tc>
        <w:tc>
          <w:tcPr>
            <w:tcW w:type="dxa" w:w="7026"/>
            <w:shd w:fill="E5F5FD" w:val="clear"/>
            <w:tcMar>
              <w:top w:type="dxa" w:w="80"/>
              <w:left w:type="dxa" w:w="120"/>
              <w:bottom w:type="dxa" w:w="80"/>
              <w:right w:type="dxa" w:w="120"/>
            </w:tcMar>
          </w:tcPr>
          <w:p>
            <w:r>
              <w:rPr>
                <w:rFonts w:ascii="Arial" w:cs="Arial" w:eastAsia="Arial" w:hAnsi="Arial"/>
                <w:b w:val="false"/>
                <w:bCs w:val="false"/>
                <w:color w:val="000000"/>
                <w:sz w:val="20"/>
                <w:szCs w:val="20"/>
              </w:rPr>
              <w:t xml:space="preserve">Suitably Qualified and Experienced Person: a person confirmed as competent for a specific task</w:t>
            </w:r>
          </w:p>
        </w:tc>
      </w:tr>
      <w:tr>
        <w:tc>
          <w:tcPr>
            <w:tcW w:type="dxa" w:w="2000"/>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TAG 77</w:t>
            </w:r>
          </w:p>
        </w:tc>
        <w:tc>
          <w:tcPr>
            <w:tcW w:type="dxa" w:w="7026"/>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ONR Technical Assessment Guide for Supply Chain Management Arrangements</w:t>
            </w:r>
          </w:p>
        </w:tc>
      </w:tr>
    </w:tbl>
    <w:p>
      <w:pPr>
        <w:pStyle w:val="Heading2"/>
        <w:spacing w:after="80" w:before="200"/>
      </w:pPr>
      <w:r>
        <w:rPr>
          <w:rFonts w:ascii="Arial" w:cs="Arial" w:eastAsia="Arial" w:hAnsi="Arial"/>
          <w:b/>
          <w:bCs/>
          <w:color w:val="7B2D8B"/>
          <w:sz w:val="26"/>
          <w:szCs w:val="26"/>
        </w:rPr>
        <w:t xml:space="preserve">9.2 Key References</w:t>
      </w:r>
    </w:p>
    <w:p>
      <w:pPr>
        <w:pStyle w:val="ListParagraph"/>
        <w:numPr>
          <w:ilvl w:val="0"/>
          <w:numId w:val="2"/>
        </w:numPr>
        <w:spacing w:after="40" w:before="40"/>
      </w:pPr>
      <w:r>
        <w:rPr>
          <w:rFonts w:ascii="Arial" w:cs="Arial" w:eastAsia="Arial" w:hAnsi="Arial"/>
          <w:sz w:val="22"/>
          <w:szCs w:val="22"/>
        </w:rPr>
        <w:t xml:space="preserve">ONR Technical Assessment Guide TAG 77: Supply Chain Management Arrangements</w:t>
      </w:r>
    </w:p>
    <w:p>
      <w:pPr>
        <w:pStyle w:val="ListParagraph"/>
        <w:numPr>
          <w:ilvl w:val="0"/>
          <w:numId w:val="2"/>
        </w:numPr>
        <w:spacing w:after="40" w:before="40"/>
      </w:pPr>
      <w:r>
        <w:rPr>
          <w:rFonts w:ascii="Arial" w:cs="Arial" w:eastAsia="Arial" w:hAnsi="Arial"/>
          <w:sz w:val="22"/>
          <w:szCs w:val="22"/>
        </w:rPr>
        <w:t xml:space="preserve">UK Nuclear Industry Good Practice Guide to Supply Chain Quality Requirements, Issue 2 (2018), Nuclear Industry Safety Directors Forum</w:t>
      </w:r>
    </w:p>
    <w:p>
      <w:pPr>
        <w:pStyle w:val="ListParagraph"/>
        <w:numPr>
          <w:ilvl w:val="0"/>
          <w:numId w:val="2"/>
        </w:numPr>
        <w:spacing w:after="40" w:before="40"/>
      </w:pPr>
      <w:r>
        <w:rPr>
          <w:rFonts w:ascii="Arial" w:cs="Arial" w:eastAsia="Arial" w:hAnsi="Arial"/>
          <w:sz w:val="22"/>
          <w:szCs w:val="22"/>
        </w:rPr>
        <w:t xml:space="preserve">ISO 19443: Quality Management Systems - Specific Requirements for Organisations in the Nuclear Energy Sector</w:t>
      </w:r>
    </w:p>
    <w:p>
      <w:pPr>
        <w:pStyle w:val="ListParagraph"/>
        <w:numPr>
          <w:ilvl w:val="0"/>
          <w:numId w:val="2"/>
        </w:numPr>
        <w:spacing w:after="40" w:before="40"/>
      </w:pPr>
      <w:r>
        <w:rPr>
          <w:rFonts w:ascii="Arial" w:cs="Arial" w:eastAsia="Arial" w:hAnsi="Arial"/>
          <w:sz w:val="22"/>
          <w:szCs w:val="22"/>
        </w:rPr>
        <w:t xml:space="preserve">ISO 9001: Quality Management Systems - Requirements</w:t>
      </w:r>
    </w:p>
    <w:p>
      <w:pPr>
        <w:pStyle w:val="ListParagraph"/>
        <w:numPr>
          <w:ilvl w:val="0"/>
          <w:numId w:val="2"/>
        </w:numPr>
        <w:spacing w:after="40" w:before="40"/>
      </w:pPr>
      <w:r>
        <w:rPr>
          <w:rFonts w:ascii="Arial" w:cs="Arial" w:eastAsia="Arial" w:hAnsi="Arial"/>
          <w:sz w:val="22"/>
          <w:szCs w:val="22"/>
        </w:rPr>
        <w:t xml:space="preserve">IAEA Safety Guide GS-G-3.1: Application of the Management System for Facilities and Activities</w:t>
      </w:r>
    </w:p>
    <w:p>
      <w:pPr>
        <w:pStyle w:val="ListParagraph"/>
        <w:numPr>
          <w:ilvl w:val="0"/>
          <w:numId w:val="2"/>
        </w:numPr>
        <w:spacing w:after="40" w:before="40"/>
      </w:pPr>
      <w:r>
        <w:rPr>
          <w:rFonts w:ascii="Arial" w:cs="Arial" w:eastAsia="Arial" w:hAnsi="Arial"/>
          <w:sz w:val="22"/>
          <w:szCs w:val="22"/>
        </w:rPr>
        <w:t xml:space="preserve">ONR Nuclear Safety Technical Assessment Guide NS-TAST-GD-027: Training and Assuring Personnel Competence</w:t>
      </w:r>
    </w:p>
    <w:sectPr>
      <w:headerReference w:type="default" r:id="rId7"/>
      <w:footerReference w:type="default" r:id="rId8"/>
      <w:pgSz w:w="11906" w:h="16838" w:orient="portrait"/>
      <w:pgMar w:top="1080" w:right="1080" w:bottom="1080" w:left="1080" w:header="283"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83348F"/>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09FE3"/>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2eda31393aae68c5235126f9b3475deb69620a6c.jpg"/></Relationships>
</file>

<file path=word/_rels/header1.xml.rels><?xml version='1.0' encoding='UTF-8' standalone='yes'?>
<Relationships xmlns="http://schemas.openxmlformats.org/package/2006/relationships"><Relationship Id="rId0" Type="http://schemas.openxmlformats.org/officeDocument/2006/relationships/image" Target="media/18ce91d465f61e78c90e8fc0e18af39cf6d62cef.jpg"/><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059A98C-416F-41BA-827A-E114DC4D1EB2}"/>
</file>

<file path=customXml/itemProps2.xml><?xml version="1.0" encoding="utf-8"?>
<ds:datastoreItem xmlns:ds="http://schemas.openxmlformats.org/officeDocument/2006/customXml" ds:itemID="{BA42AC24-5749-4403-9C96-B6A1C5F06497}"/>
</file>

<file path=customXml/itemProps3.xml><?xml version="1.0" encoding="utf-8"?>
<ds:datastoreItem xmlns:ds="http://schemas.openxmlformats.org/officeDocument/2006/customXml" ds:itemID="{B5D9BC74-C2D9-4CDD-BEDB-A116DEA4CE4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NSS-06-TG-01 Nuclear Procurement Requirements</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