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71500"/>
                    </a:xfrm>
                    <a:prstGeom prst="rect">
                      <a:avLst/>
                    </a:prstGeom>
                  </pic:spPr>
                </pic:pic>
              </a:graphicData>
            </a:graphic>
          </wp:inline>
        </w:drawing>
      </w:r>
    </w:p>
    <w:p>
      <w:pPr>
        <w:spacing w:after="240" w:before="480"/>
        <w:jc w:val="center"/>
      </w:pPr>
      <w:r>
        <w:rPr>
          <w:rFonts w:ascii="Arial" w:cs="Arial" w:eastAsia="Arial" w:hAnsi="Arial"/>
          <w:b/>
          <w:bCs/>
          <w:color w:val="009FE3"/>
          <w:sz w:val="56"/>
          <w:szCs w:val="56"/>
        </w:rPr>
        <w:t xml:space="preserve">Supplier Qualification and Audit</w:t>
      </w:r>
    </w:p>
    <w:p>
      <w:pPr>
        <w:spacing w:after="240" w:before="0"/>
        <w:jc w:val="center"/>
      </w:pPr>
      <w:r>
        <w:rPr>
          <w:rFonts w:ascii="Arial" w:cs="Arial" w:eastAsia="Arial" w:hAnsi="Arial"/>
          <w:b/>
          <w:bCs/>
          <w:color w:val="83348F"/>
          <w:sz w:val="36"/>
          <w:szCs w:val="36"/>
        </w:rPr>
        <w:t xml:space="preserve">A Practical Guide for Nuclear Supply Chain Organisations</w:t>
      </w:r>
    </w:p>
    <w:p>
      <w:pPr>
        <w:spacing w:after="480" w:before="240"/>
        <w:jc w:val="center"/>
      </w:pPr>
      <w:r>
        <w:rPr>
          <w:rFonts w:ascii="Arial" w:cs="Arial" w:eastAsia="Arial" w:hAnsi="Arial"/>
          <w:i/>
          <w:iCs/>
          <w:color w:val="5B595A"/>
          <w:sz w:val="24"/>
          <w:szCs w:val="24"/>
        </w:rPr>
        <w:t xml:space="preserve">How to evaluate, approve, audit and maintain nuclear suppliers to meet industry and regulatory expectations</w:t>
      </w:r>
    </w:p>
    <w:p>
      <w:pPr>
        <w:jc w:val="center"/>
      </w:pPr>
      <w:r>
        <w:rPr>
          <w:rFonts w:ascii="Arial" w:cs="Arial" w:eastAsia="Arial" w:hAnsi="Arial"/>
          <w:color w:val="5B595A"/>
          <w:sz w:val="20"/>
          <w:szCs w:val="20"/>
        </w:rPr>
        <w:t xml:space="preserve">NSS-06-TG-02 | Nuclear Sector Specific | Supply Chain Readiness</w:t>
      </w:r>
    </w:p>
    <w:p>
      <w:r>
        <w:br w:type="page"/>
      </w:r>
    </w:p>
    <w:p>
      <w:pPr>
        <w:pStyle w:val="Heading1"/>
        <w:spacing w:after="120" w:before="300"/>
      </w:pPr>
      <w:r>
        <w:rPr>
          <w:rFonts w:ascii="Arial" w:cs="Arial" w:eastAsia="Arial" w:hAnsi="Arial"/>
          <w:b/>
          <w:bCs/>
          <w:color w:val="29ABE2"/>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26"/>
      </w:tblGrid>
      <w:tr>
        <w:tc>
          <w:tcPr>
            <w:tcW w:type="dxa" w:w="18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7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29/06/2026</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Name]</w:t>
            </w:r>
          </w:p>
        </w:tc>
        <w:tc>
          <w:tcPr>
            <w:tcW w:type="dxa" w:w="27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issue</w:t>
            </w:r>
          </w:p>
        </w:tc>
      </w:tr>
    </w:tbl>
    <w:p>
      <w:r>
        <w:br w:type="page"/>
      </w:r>
    </w:p>
    <w:p>
      <w:pPr>
        <w:pStyle w:val="Heading1"/>
        <w:spacing w:after="120" w:before="300"/>
      </w:pPr>
      <w:r>
        <w:rPr>
          <w:rFonts w:ascii="Arial" w:cs="Arial" w:eastAsia="Arial" w:hAnsi="Arial"/>
          <w:b/>
          <w:bCs/>
          <w:color w:val="29ABE2"/>
          <w:sz w:val="32"/>
          <w:szCs w:val="32"/>
        </w:rPr>
        <w:t xml:space="preserve">1. Introduction</w:t>
      </w:r>
    </w:p>
    <w:p>
      <w:pPr>
        <w:spacing w:after="60" w:before="60"/>
      </w:pPr>
      <w:r>
        <w:rPr>
          <w:rFonts w:ascii="Arial" w:cs="Arial" w:eastAsia="Arial" w:hAnsi="Arial"/>
          <w:b w:val="false"/>
          <w:bCs w:val="false"/>
          <w:i w:val="false"/>
          <w:iCs w:val="false"/>
          <w:color w:val="000000"/>
          <w:sz w:val="22"/>
          <w:szCs w:val="22"/>
        </w:rPr>
        <w:t xml:space="preserve">The qualification of suppliers is one of the most important activities a nuclear organisation undertakes. It determines who is trusted to provide items and services that may directly support the safety of nuclear plant. Choosing the wrong supplier, or failing to properly evaluate a supplier before use, can introduce risk that is extremely difficult to identify and manage once work is underway.</w:t>
      </w:r>
    </w:p>
    <w:p>
      <w:pPr>
        <w:spacing w:after="60" w:before="60"/>
      </w:pPr>
      <w:r>
        <w:rPr>
          <w:rFonts w:ascii="Arial" w:cs="Arial" w:eastAsia="Arial" w:hAnsi="Arial"/>
          <w:b w:val="false"/>
          <w:bCs w:val="false"/>
          <w:i w:val="false"/>
          <w:iCs w:val="false"/>
          <w:color w:val="000000"/>
          <w:sz w:val="22"/>
          <w:szCs w:val="22"/>
        </w:rPr>
        <w:t xml:space="preserve">This guide explains the full lifecycle of nuclear supplier qualification, from initial assessment and approval through to ongoing audit and performance management. It is a working reference for procurement managers, quality managers and supply chain leads who are responsible for managing the organisations that supply your business.</w:t>
      </w:r>
    </w:p>
    <w:p>
      <w:pPr>
        <w:spacing w:after="100" w:before="100"/>
        <w:ind w:left="360"/>
      </w:pPr>
      <w:r>
        <w:rPr>
          <w:rFonts w:ascii="Arial" w:cs="Arial" w:eastAsia="Arial" w:hAnsi="Arial"/>
          <w:i/>
          <w:iCs/>
          <w:color w:val="83348F"/>
          <w:sz w:val="22"/>
          <w:szCs w:val="22"/>
        </w:rPr>
        <w:t xml:space="preserve">Supplier qualification is not a one-time administrative exercise. It is an ongoing process of evaluation, oversight and improvement that continues for the full duration of the supplier relationship.</w:t>
      </w:r>
    </w:p>
    <w:p>
      <w:pPr>
        <w:pStyle w:val="Heading2"/>
        <w:spacing w:after="80" w:before="200"/>
      </w:pPr>
      <w:r>
        <w:rPr>
          <w:rFonts w:ascii="Arial" w:cs="Arial" w:eastAsia="Arial" w:hAnsi="Arial"/>
          <w:b/>
          <w:bCs/>
          <w:color w:val="7B2D8B"/>
          <w:sz w:val="26"/>
          <w:szCs w:val="26"/>
        </w:rPr>
        <w:t xml:space="preserve">1.1 Scope</w:t>
      </w:r>
    </w:p>
    <w:p>
      <w:pPr>
        <w:spacing w:after="60" w:before="60"/>
      </w:pPr>
      <w:r>
        <w:rPr>
          <w:rFonts w:ascii="Arial" w:cs="Arial" w:eastAsia="Arial" w:hAnsi="Arial"/>
          <w:b w:val="false"/>
          <w:bCs w:val="false"/>
          <w:i w:val="false"/>
          <w:iCs w:val="false"/>
          <w:color w:val="000000"/>
          <w:sz w:val="22"/>
          <w:szCs w:val="22"/>
        </w:rPr>
        <w:t xml:space="preserve">This guide covers:</w:t>
      </w:r>
    </w:p>
    <w:p>
      <w:pPr>
        <w:pStyle w:val="ListParagraph"/>
        <w:numPr>
          <w:ilvl w:val="0"/>
          <w:numId w:val="2"/>
        </w:numPr>
        <w:spacing w:after="40" w:before="40"/>
      </w:pPr>
      <w:r>
        <w:rPr>
          <w:rFonts w:ascii="Arial" w:cs="Arial" w:eastAsia="Arial" w:hAnsi="Arial"/>
          <w:sz w:val="22"/>
          <w:szCs w:val="22"/>
        </w:rPr>
        <w:t xml:space="preserve">The pre-qualification assessment process</w:t>
      </w:r>
    </w:p>
    <w:p>
      <w:pPr>
        <w:pStyle w:val="ListParagraph"/>
        <w:numPr>
          <w:ilvl w:val="0"/>
          <w:numId w:val="2"/>
        </w:numPr>
        <w:spacing w:after="40" w:before="40"/>
      </w:pPr>
      <w:r>
        <w:rPr>
          <w:rFonts w:ascii="Arial" w:cs="Arial" w:eastAsia="Arial" w:hAnsi="Arial"/>
          <w:sz w:val="22"/>
          <w:szCs w:val="22"/>
        </w:rPr>
        <w:t xml:space="preserve">Criteria for approval to the Approved Supplier List (ASL)</w:t>
      </w:r>
    </w:p>
    <w:p>
      <w:pPr>
        <w:pStyle w:val="ListParagraph"/>
        <w:numPr>
          <w:ilvl w:val="0"/>
          <w:numId w:val="2"/>
        </w:numPr>
        <w:spacing w:after="40" w:before="40"/>
      </w:pPr>
      <w:r>
        <w:rPr>
          <w:rFonts w:ascii="Arial" w:cs="Arial" w:eastAsia="Arial" w:hAnsi="Arial"/>
          <w:sz w:val="22"/>
          <w:szCs w:val="22"/>
        </w:rPr>
        <w:t xml:space="preserve">Conducting supplier audits for nuclear projects, including first-party and second-party audits</w:t>
      </w:r>
    </w:p>
    <w:p>
      <w:pPr>
        <w:pStyle w:val="ListParagraph"/>
        <w:numPr>
          <w:ilvl w:val="0"/>
          <w:numId w:val="2"/>
        </w:numPr>
        <w:spacing w:after="40" w:before="40"/>
      </w:pPr>
      <w:r>
        <w:rPr>
          <w:rFonts w:ascii="Arial" w:cs="Arial" w:eastAsia="Arial" w:hAnsi="Arial"/>
          <w:sz w:val="22"/>
          <w:szCs w:val="22"/>
        </w:rPr>
        <w:t xml:space="preserve">Ongoing supplier performance monitoring and review</w:t>
      </w:r>
    </w:p>
    <w:p>
      <w:pPr>
        <w:pStyle w:val="ListParagraph"/>
        <w:numPr>
          <w:ilvl w:val="0"/>
          <w:numId w:val="2"/>
        </w:numPr>
        <w:spacing w:after="40" w:before="40"/>
      </w:pPr>
      <w:r>
        <w:rPr>
          <w:rFonts w:ascii="Arial" w:cs="Arial" w:eastAsia="Arial" w:hAnsi="Arial"/>
          <w:sz w:val="22"/>
          <w:szCs w:val="22"/>
        </w:rPr>
        <w:t xml:space="preserve">Managing non-performance and escalation</w:t>
      </w:r>
    </w:p>
    <w:p>
      <w:pPr>
        <w:pStyle w:val="ListParagraph"/>
        <w:numPr>
          <w:ilvl w:val="0"/>
          <w:numId w:val="2"/>
        </w:numPr>
        <w:spacing w:after="40" w:before="40"/>
      </w:pPr>
      <w:r>
        <w:rPr>
          <w:rFonts w:ascii="Arial" w:cs="Arial" w:eastAsia="Arial" w:hAnsi="Arial"/>
          <w:sz w:val="22"/>
          <w:szCs w:val="22"/>
        </w:rPr>
        <w:t xml:space="preserve">Supplier development in the context of nuclear requirements</w:t>
      </w:r>
    </w:p>
    <w:p>
      <w:r>
        <w:br w:type="page"/>
      </w:r>
    </w:p>
    <w:p>
      <w:pPr>
        <w:pStyle w:val="Heading1"/>
        <w:spacing w:after="120" w:before="300"/>
      </w:pPr>
      <w:r>
        <w:rPr>
          <w:rFonts w:ascii="Arial" w:cs="Arial" w:eastAsia="Arial" w:hAnsi="Arial"/>
          <w:b/>
          <w:bCs/>
          <w:color w:val="29ABE2"/>
          <w:sz w:val="32"/>
          <w:szCs w:val="32"/>
        </w:rPr>
        <w:t xml:space="preserve">2. The Supplier Qualification Lifecycle</w:t>
      </w:r>
    </w:p>
    <w:p>
      <w:pPr>
        <w:pStyle w:val="Heading2"/>
        <w:spacing w:after="80" w:before="200"/>
      </w:pPr>
      <w:r>
        <w:rPr>
          <w:rFonts w:ascii="Arial" w:cs="Arial" w:eastAsia="Arial" w:hAnsi="Arial"/>
          <w:b/>
          <w:bCs/>
          <w:color w:val="7B2D8B"/>
          <w:sz w:val="26"/>
          <w:szCs w:val="26"/>
        </w:rPr>
        <w:t xml:space="preserve">2.1 Overview of the Process</w:t>
      </w:r>
    </w:p>
    <w:p>
      <w:pPr>
        <w:spacing w:after="60" w:before="60"/>
      </w:pPr>
      <w:r>
        <w:rPr>
          <w:rFonts w:ascii="Arial" w:cs="Arial" w:eastAsia="Arial" w:hAnsi="Arial"/>
          <w:b w:val="false"/>
          <w:bCs w:val="false"/>
          <w:i w:val="false"/>
          <w:iCs w:val="false"/>
          <w:color w:val="000000"/>
          <w:sz w:val="22"/>
          <w:szCs w:val="22"/>
        </w:rPr>
        <w:t xml:space="preserve">Nuclear supplier qualification follows a structured lifecycle with defined stages. Each stage must be completed before progressing to the next, and all activities must be documented. The lifecycle consists of five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Identification</w:t>
            </w:r>
          </w:p>
        </w:tc>
        <w:tc>
          <w:tcPr>
            <w:tcW w:type="dxa" w:w="4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potential suppliers through market research, referrals or buyer requirements</w:t>
            </w:r>
          </w:p>
        </w:tc>
        <w:tc>
          <w:tcPr>
            <w:tcW w:type="dxa" w:w="3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Longlist of candidates</w:t>
            </w:r>
          </w:p>
        </w:tc>
      </w:tr>
      <w:tr>
        <w:tc>
          <w:tcPr>
            <w:tcW w:type="dxa" w:w="1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2. Pre-Qualification</w:t>
            </w:r>
          </w:p>
        </w:tc>
        <w:tc>
          <w:tcPr>
            <w:tcW w:type="dxa" w:w="4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Desktop assessment of capability, certification and financial stability</w:t>
            </w:r>
          </w:p>
        </w:tc>
        <w:tc>
          <w:tcPr>
            <w:tcW w:type="dxa" w:w="3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or rejected; questionnaire completed</w:t>
            </w:r>
          </w:p>
        </w:tc>
      </w:tr>
      <w:tr>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Assessment Audit</w:t>
            </w:r>
          </w:p>
        </w:tc>
        <w:tc>
          <w:tcPr>
            <w:tcW w:type="dxa" w:w="4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On-site or remote audit against defined qualification criteria</w:t>
            </w:r>
          </w:p>
        </w:tc>
        <w:tc>
          <w:tcPr>
            <w:tcW w:type="dxa" w:w="3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report with findings</w:t>
            </w:r>
          </w:p>
        </w:tc>
      </w:tr>
      <w:tr>
        <w:tc>
          <w:tcPr>
            <w:tcW w:type="dxa" w:w="1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4. Approval</w:t>
            </w:r>
          </w:p>
        </w:tc>
        <w:tc>
          <w:tcPr>
            <w:tcW w:type="dxa" w:w="4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by quality authority to add supplier to ASL with defined scope and grade</w:t>
            </w:r>
          </w:p>
        </w:tc>
        <w:tc>
          <w:tcPr>
            <w:tcW w:type="dxa" w:w="3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ASL entry; approval certificate issued</w:t>
            </w:r>
          </w:p>
        </w:tc>
      </w:tr>
      <w:tr>
        <w:tc>
          <w:tcPr>
            <w:tcW w:type="dxa" w:w="1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Ongoing Oversight</w:t>
            </w:r>
          </w:p>
        </w:tc>
        <w:tc>
          <w:tcPr>
            <w:tcW w:type="dxa" w:w="4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Periodic re-audit, performance review, and surveillance</w:t>
            </w:r>
          </w:p>
        </w:tc>
        <w:tc>
          <w:tcPr>
            <w:tcW w:type="dxa" w:w="3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Re-approval or suspension; performance record maintained</w:t>
            </w:r>
          </w:p>
        </w:tc>
      </w:tr>
    </w:tbl>
    <w:p>
      <w:pPr>
        <w:pStyle w:val="Heading2"/>
        <w:spacing w:after="80" w:before="200"/>
      </w:pPr>
      <w:r>
        <w:rPr>
          <w:rFonts w:ascii="Arial" w:cs="Arial" w:eastAsia="Arial" w:hAnsi="Arial"/>
          <w:b/>
          <w:bCs/>
          <w:color w:val="7B2D8B"/>
          <w:sz w:val="26"/>
          <w:szCs w:val="26"/>
        </w:rPr>
        <w:t xml:space="preserve">2.2 Triggers for Supplier Qualification</w:t>
      </w:r>
    </w:p>
    <w:p>
      <w:pPr>
        <w:spacing w:after="60" w:before="60"/>
      </w:pPr>
      <w:r>
        <w:rPr>
          <w:rFonts w:ascii="Arial" w:cs="Arial" w:eastAsia="Arial" w:hAnsi="Arial"/>
          <w:b w:val="false"/>
          <w:bCs w:val="false"/>
          <w:i w:val="false"/>
          <w:iCs w:val="false"/>
          <w:color w:val="000000"/>
          <w:sz w:val="22"/>
          <w:szCs w:val="22"/>
        </w:rPr>
        <w:t xml:space="preserve">A supplier qualification assessment should be initiated in any of the following circumstances:</w:t>
      </w:r>
    </w:p>
    <w:p>
      <w:pPr>
        <w:pStyle w:val="ListParagraph"/>
        <w:numPr>
          <w:ilvl w:val="0"/>
          <w:numId w:val="2"/>
        </w:numPr>
        <w:spacing w:after="40" w:before="40"/>
      </w:pPr>
      <w:r>
        <w:rPr>
          <w:rFonts w:ascii="Arial" w:cs="Arial" w:eastAsia="Arial" w:hAnsi="Arial"/>
          <w:sz w:val="22"/>
          <w:szCs w:val="22"/>
        </w:rPr>
        <w:t xml:space="preserve">A new supplier is being considered for nuclear work for the first time</w:t>
      </w:r>
    </w:p>
    <w:p>
      <w:pPr>
        <w:pStyle w:val="ListParagraph"/>
        <w:numPr>
          <w:ilvl w:val="0"/>
          <w:numId w:val="2"/>
        </w:numPr>
        <w:spacing w:after="40" w:before="40"/>
      </w:pPr>
      <w:r>
        <w:rPr>
          <w:rFonts w:ascii="Arial" w:cs="Arial" w:eastAsia="Arial" w:hAnsi="Arial"/>
          <w:sz w:val="22"/>
          <w:szCs w:val="22"/>
        </w:rPr>
        <w:t xml:space="preserve">An existing supplier is being considered for a significantly different scope of supply (for example, a materials supplier being asked to also provide machined components)</w:t>
      </w:r>
    </w:p>
    <w:p>
      <w:pPr>
        <w:pStyle w:val="ListParagraph"/>
        <w:numPr>
          <w:ilvl w:val="0"/>
          <w:numId w:val="2"/>
        </w:numPr>
        <w:spacing w:after="40" w:before="40"/>
      </w:pPr>
      <w:r>
        <w:rPr>
          <w:rFonts w:ascii="Arial" w:cs="Arial" w:eastAsia="Arial" w:hAnsi="Arial"/>
          <w:sz w:val="22"/>
          <w:szCs w:val="22"/>
        </w:rPr>
        <w:t xml:space="preserve">An existing approved supplier's approval period has expired and re-approval is required</w:t>
      </w:r>
    </w:p>
    <w:p>
      <w:pPr>
        <w:pStyle w:val="ListParagraph"/>
        <w:numPr>
          <w:ilvl w:val="0"/>
          <w:numId w:val="2"/>
        </w:numPr>
        <w:spacing w:after="40" w:before="40"/>
      </w:pPr>
      <w:r>
        <w:rPr>
          <w:rFonts w:ascii="Arial" w:cs="Arial" w:eastAsia="Arial" w:hAnsi="Arial"/>
          <w:sz w:val="22"/>
          <w:szCs w:val="22"/>
        </w:rPr>
        <w:t xml:space="preserve">A significant concern has been raised about a supplier's quality, safety culture or financial position that requires formal re-assessment</w:t>
      </w:r>
    </w:p>
    <w:p>
      <w:pPr>
        <w:pStyle w:val="ListParagraph"/>
        <w:numPr>
          <w:ilvl w:val="0"/>
          <w:numId w:val="2"/>
        </w:numPr>
        <w:spacing w:after="40" w:before="40"/>
      </w:pPr>
      <w:r>
        <w:rPr>
          <w:rFonts w:ascii="Arial" w:cs="Arial" w:eastAsia="Arial" w:hAnsi="Arial"/>
          <w:sz w:val="22"/>
          <w:szCs w:val="22"/>
        </w:rPr>
        <w:t xml:space="preserve">A buyer has instructed you to use a specific supplier and formal approval is required before use</w:t>
      </w:r>
    </w:p>
    <w:p>
      <w:r>
        <w:br w:type="page"/>
      </w:r>
    </w:p>
    <w:p>
      <w:pPr>
        <w:pStyle w:val="Heading1"/>
        <w:spacing w:after="120" w:before="300"/>
      </w:pPr>
      <w:r>
        <w:rPr>
          <w:rFonts w:ascii="Arial" w:cs="Arial" w:eastAsia="Arial" w:hAnsi="Arial"/>
          <w:b/>
          <w:bCs/>
          <w:color w:val="29ABE2"/>
          <w:sz w:val="32"/>
          <w:szCs w:val="32"/>
        </w:rPr>
        <w:t xml:space="preserve">3. Pre-Qualification Assessment</w:t>
      </w:r>
    </w:p>
    <w:p>
      <w:pPr>
        <w:pStyle w:val="Heading2"/>
        <w:spacing w:after="80" w:before="200"/>
      </w:pPr>
      <w:r>
        <w:rPr>
          <w:rFonts w:ascii="Arial" w:cs="Arial" w:eastAsia="Arial" w:hAnsi="Arial"/>
          <w:b/>
          <w:bCs/>
          <w:color w:val="7B2D8B"/>
          <w:sz w:val="26"/>
          <w:szCs w:val="26"/>
        </w:rPr>
        <w:t xml:space="preserve">3.1 The Supplier Questionnaire</w:t>
      </w:r>
    </w:p>
    <w:p>
      <w:pPr>
        <w:spacing w:after="60" w:before="60"/>
      </w:pPr>
      <w:r>
        <w:rPr>
          <w:rFonts w:ascii="Arial" w:cs="Arial" w:eastAsia="Arial" w:hAnsi="Arial"/>
          <w:b w:val="false"/>
          <w:bCs w:val="false"/>
          <w:i w:val="false"/>
          <w:iCs w:val="false"/>
          <w:color w:val="000000"/>
          <w:sz w:val="22"/>
          <w:szCs w:val="22"/>
        </w:rPr>
        <w:t xml:space="preserve">The pre-qualification process begins with a structured questionnaire that the potential supplier is required to complete. The questionnaire gathers objective information that allows an initial assessment of suitability before any investment in a site audit.</w:t>
      </w:r>
    </w:p>
    <w:p>
      <w:pPr>
        <w:spacing w:after="60" w:before="60"/>
      </w:pPr>
      <w:r>
        <w:rPr>
          <w:rFonts w:ascii="Arial" w:cs="Arial" w:eastAsia="Arial" w:hAnsi="Arial"/>
          <w:b w:val="false"/>
          <w:bCs w:val="false"/>
          <w:i w:val="false"/>
          <w:iCs w:val="false"/>
          <w:color w:val="000000"/>
          <w:sz w:val="22"/>
          <w:szCs w:val="22"/>
        </w:rPr>
        <w:t xml:space="preserve">The questionnaire should cover the following areas as a minimum:</w:t>
      </w:r>
    </w:p>
    <w:p>
      <w:pPr>
        <w:spacing w:after="60" w:before="160"/>
      </w:pPr>
      <w:r>
        <w:rPr>
          <w:rFonts w:ascii="Arial" w:cs="Arial" w:eastAsia="Arial" w:hAnsi="Arial"/>
          <w:b/>
          <w:bCs/>
          <w:color w:val="001E3C"/>
          <w:sz w:val="22"/>
          <w:szCs w:val="22"/>
        </w:rPr>
        <w:t xml:space="preserve">Company Information</w:t>
      </w:r>
    </w:p>
    <w:p>
      <w:pPr>
        <w:pStyle w:val="ListParagraph"/>
        <w:numPr>
          <w:ilvl w:val="0"/>
          <w:numId w:val="2"/>
        </w:numPr>
        <w:spacing w:after="40" w:before="40"/>
      </w:pPr>
      <w:r>
        <w:rPr>
          <w:rFonts w:ascii="Arial" w:cs="Arial" w:eastAsia="Arial" w:hAnsi="Arial"/>
          <w:sz w:val="22"/>
          <w:szCs w:val="22"/>
        </w:rPr>
        <w:t xml:space="preserve">Legal name, registered address, parent company structure and ownership</w:t>
      </w:r>
    </w:p>
    <w:p>
      <w:pPr>
        <w:pStyle w:val="ListParagraph"/>
        <w:numPr>
          <w:ilvl w:val="0"/>
          <w:numId w:val="2"/>
        </w:numPr>
        <w:spacing w:after="40" w:before="40"/>
      </w:pPr>
      <w:r>
        <w:rPr>
          <w:rFonts w:ascii="Arial" w:cs="Arial" w:eastAsia="Arial" w:hAnsi="Arial"/>
          <w:sz w:val="22"/>
          <w:szCs w:val="22"/>
        </w:rPr>
        <w:t xml:space="preserve">Key contacts including quality manager, managing director and supply chain lead</w:t>
      </w:r>
    </w:p>
    <w:p>
      <w:pPr>
        <w:pStyle w:val="ListParagraph"/>
        <w:numPr>
          <w:ilvl w:val="0"/>
          <w:numId w:val="2"/>
        </w:numPr>
        <w:spacing w:after="40" w:before="40"/>
      </w:pPr>
      <w:r>
        <w:rPr>
          <w:rFonts w:ascii="Arial" w:cs="Arial" w:eastAsia="Arial" w:hAnsi="Arial"/>
          <w:sz w:val="22"/>
          <w:szCs w:val="22"/>
        </w:rPr>
        <w:t xml:space="preserve">Number of employees and relevant site locations</w:t>
      </w:r>
    </w:p>
    <w:p>
      <w:pPr>
        <w:pStyle w:val="ListParagraph"/>
        <w:numPr>
          <w:ilvl w:val="0"/>
          <w:numId w:val="2"/>
        </w:numPr>
        <w:spacing w:after="40" w:before="40"/>
      </w:pPr>
      <w:r>
        <w:rPr>
          <w:rFonts w:ascii="Arial" w:cs="Arial" w:eastAsia="Arial" w:hAnsi="Arial"/>
          <w:sz w:val="22"/>
          <w:szCs w:val="22"/>
        </w:rPr>
        <w:t xml:space="preserve">Financial information: turnover for the last three years, current credit status</w:t>
      </w:r>
    </w:p>
    <w:p>
      <w:pPr>
        <w:spacing w:after="60" w:before="160"/>
      </w:pPr>
      <w:r>
        <w:rPr>
          <w:rFonts w:ascii="Arial" w:cs="Arial" w:eastAsia="Arial" w:hAnsi="Arial"/>
          <w:b/>
          <w:bCs/>
          <w:color w:val="001E3C"/>
          <w:sz w:val="22"/>
          <w:szCs w:val="22"/>
        </w:rPr>
        <w:t xml:space="preserve">Quality Management System</w:t>
      </w:r>
    </w:p>
    <w:p>
      <w:pPr>
        <w:pStyle w:val="ListParagraph"/>
        <w:numPr>
          <w:ilvl w:val="0"/>
          <w:numId w:val="2"/>
        </w:numPr>
        <w:spacing w:after="40" w:before="40"/>
      </w:pPr>
      <w:r>
        <w:rPr>
          <w:rFonts w:ascii="Arial" w:cs="Arial" w:eastAsia="Arial" w:hAnsi="Arial"/>
          <w:sz w:val="22"/>
          <w:szCs w:val="22"/>
        </w:rPr>
        <w:t xml:space="preserve">Current ISO 9001 or ISO 19443 certification (certificate number, scope, accreditation body, expiry date)</w:t>
      </w:r>
    </w:p>
    <w:p>
      <w:pPr>
        <w:pStyle w:val="ListParagraph"/>
        <w:numPr>
          <w:ilvl w:val="0"/>
          <w:numId w:val="2"/>
        </w:numPr>
        <w:spacing w:after="40" w:before="40"/>
      </w:pPr>
      <w:r>
        <w:rPr>
          <w:rFonts w:ascii="Arial" w:cs="Arial" w:eastAsia="Arial" w:hAnsi="Arial"/>
          <w:sz w:val="22"/>
          <w:szCs w:val="22"/>
        </w:rPr>
        <w:t xml:space="preserve">Whether the quality management system has been audited by a nuclear buyer in the last two years</w:t>
      </w:r>
    </w:p>
    <w:p>
      <w:pPr>
        <w:pStyle w:val="ListParagraph"/>
        <w:numPr>
          <w:ilvl w:val="0"/>
          <w:numId w:val="2"/>
        </w:numPr>
        <w:spacing w:after="40" w:before="40"/>
      </w:pPr>
      <w:r>
        <w:rPr>
          <w:rFonts w:ascii="Arial" w:cs="Arial" w:eastAsia="Arial" w:hAnsi="Arial"/>
          <w:sz w:val="22"/>
          <w:szCs w:val="22"/>
        </w:rPr>
        <w:t xml:space="preserve">Any open non-conformances from previous audits</w:t>
      </w:r>
    </w:p>
    <w:p>
      <w:pPr>
        <w:spacing w:after="60" w:before="160"/>
      </w:pPr>
      <w:r>
        <w:rPr>
          <w:rFonts w:ascii="Arial" w:cs="Arial" w:eastAsia="Arial" w:hAnsi="Arial"/>
          <w:b/>
          <w:bCs/>
          <w:color w:val="001E3C"/>
          <w:sz w:val="22"/>
          <w:szCs w:val="22"/>
        </w:rPr>
        <w:t xml:space="preserve">Technical Capability</w:t>
      </w:r>
    </w:p>
    <w:p>
      <w:pPr>
        <w:pStyle w:val="ListParagraph"/>
        <w:numPr>
          <w:ilvl w:val="0"/>
          <w:numId w:val="2"/>
        </w:numPr>
        <w:spacing w:after="40" w:before="40"/>
      </w:pPr>
      <w:r>
        <w:rPr>
          <w:rFonts w:ascii="Arial" w:cs="Arial" w:eastAsia="Arial" w:hAnsi="Arial"/>
          <w:sz w:val="22"/>
          <w:szCs w:val="22"/>
        </w:rPr>
        <w:t xml:space="preserve">Description of the products and services provided</w:t>
      </w:r>
    </w:p>
    <w:p>
      <w:pPr>
        <w:pStyle w:val="ListParagraph"/>
        <w:numPr>
          <w:ilvl w:val="0"/>
          <w:numId w:val="2"/>
        </w:numPr>
        <w:spacing w:after="40" w:before="40"/>
      </w:pPr>
      <w:r>
        <w:rPr>
          <w:rFonts w:ascii="Arial" w:cs="Arial" w:eastAsia="Arial" w:hAnsi="Arial"/>
          <w:sz w:val="22"/>
          <w:szCs w:val="22"/>
        </w:rPr>
        <w:t xml:space="preserve">Key equipment and facilities relevant to the proposed scope</w:t>
      </w:r>
    </w:p>
    <w:p>
      <w:pPr>
        <w:pStyle w:val="ListParagraph"/>
        <w:numPr>
          <w:ilvl w:val="0"/>
          <w:numId w:val="2"/>
        </w:numPr>
        <w:spacing w:after="40" w:before="40"/>
      </w:pPr>
      <w:r>
        <w:rPr>
          <w:rFonts w:ascii="Arial" w:cs="Arial" w:eastAsia="Arial" w:hAnsi="Arial"/>
          <w:sz w:val="22"/>
          <w:szCs w:val="22"/>
        </w:rPr>
        <w:t xml:space="preserve">Key processes and any special processes (welding, NDE, heat treatment)</w:t>
      </w:r>
    </w:p>
    <w:p>
      <w:pPr>
        <w:pStyle w:val="ListParagraph"/>
        <w:numPr>
          <w:ilvl w:val="0"/>
          <w:numId w:val="2"/>
        </w:numPr>
        <w:spacing w:after="40" w:before="40"/>
      </w:pPr>
      <w:r>
        <w:rPr>
          <w:rFonts w:ascii="Arial" w:cs="Arial" w:eastAsia="Arial" w:hAnsi="Arial"/>
          <w:sz w:val="22"/>
          <w:szCs w:val="22"/>
        </w:rPr>
        <w:t xml:space="preserve">Special process certifications held (for example, CSWIP, PCN, EN 1090)</w:t>
      </w:r>
    </w:p>
    <w:p>
      <w:pPr>
        <w:spacing w:after="60" w:before="160"/>
      </w:pPr>
      <w:r>
        <w:rPr>
          <w:rFonts w:ascii="Arial" w:cs="Arial" w:eastAsia="Arial" w:hAnsi="Arial"/>
          <w:b/>
          <w:bCs/>
          <w:color w:val="001E3C"/>
          <w:sz w:val="22"/>
          <w:szCs w:val="22"/>
        </w:rPr>
        <w:t xml:space="preserve">Nuclear Experience</w:t>
      </w:r>
    </w:p>
    <w:p>
      <w:pPr>
        <w:pStyle w:val="ListParagraph"/>
        <w:numPr>
          <w:ilvl w:val="0"/>
          <w:numId w:val="2"/>
        </w:numPr>
        <w:spacing w:after="40" w:before="40"/>
      </w:pPr>
      <w:r>
        <w:rPr>
          <w:rFonts w:ascii="Arial" w:cs="Arial" w:eastAsia="Arial" w:hAnsi="Arial"/>
          <w:sz w:val="22"/>
          <w:szCs w:val="22"/>
        </w:rPr>
        <w:t xml:space="preserve">Previous nuclear work, including the buyer, scope and approximate value</w:t>
      </w:r>
    </w:p>
    <w:p>
      <w:pPr>
        <w:pStyle w:val="ListParagraph"/>
        <w:numPr>
          <w:ilvl w:val="0"/>
          <w:numId w:val="2"/>
        </w:numPr>
        <w:spacing w:after="40" w:before="40"/>
      </w:pPr>
      <w:r>
        <w:rPr>
          <w:rFonts w:ascii="Arial" w:cs="Arial" w:eastAsia="Arial" w:hAnsi="Arial"/>
          <w:sz w:val="22"/>
          <w:szCs w:val="22"/>
        </w:rPr>
        <w:t xml:space="preserve">Whether the company holds or has held F4N status</w:t>
      </w:r>
    </w:p>
    <w:p>
      <w:pPr>
        <w:pStyle w:val="ListParagraph"/>
        <w:numPr>
          <w:ilvl w:val="0"/>
          <w:numId w:val="2"/>
        </w:numPr>
        <w:spacing w:after="40" w:before="40"/>
      </w:pPr>
      <w:r>
        <w:rPr>
          <w:rFonts w:ascii="Arial" w:cs="Arial" w:eastAsia="Arial" w:hAnsi="Arial"/>
          <w:sz w:val="22"/>
          <w:szCs w:val="22"/>
        </w:rPr>
        <w:t xml:space="preserve">Any experience working under a nuclear quality programme</w:t>
      </w:r>
    </w:p>
    <w:p>
      <w:pPr>
        <w:spacing w:after="60" w:before="160"/>
      </w:pPr>
      <w:r>
        <w:rPr>
          <w:rFonts w:ascii="Arial" w:cs="Arial" w:eastAsia="Arial" w:hAnsi="Arial"/>
          <w:b/>
          <w:bCs/>
          <w:color w:val="001E3C"/>
          <w:sz w:val="22"/>
          <w:szCs w:val="22"/>
        </w:rPr>
        <w:t xml:space="preserve">CFSI Controls</w:t>
      </w:r>
    </w:p>
    <w:p>
      <w:pPr>
        <w:pStyle w:val="ListParagraph"/>
        <w:numPr>
          <w:ilvl w:val="0"/>
          <w:numId w:val="2"/>
        </w:numPr>
        <w:spacing w:after="40" w:before="40"/>
      </w:pPr>
      <w:r>
        <w:rPr>
          <w:rFonts w:ascii="Arial" w:cs="Arial" w:eastAsia="Arial" w:hAnsi="Arial"/>
          <w:sz w:val="22"/>
          <w:szCs w:val="22"/>
        </w:rPr>
        <w:t xml:space="preserve">Whether the company has a documented CFSI procedure</w:t>
      </w:r>
    </w:p>
    <w:p>
      <w:pPr>
        <w:pStyle w:val="ListParagraph"/>
        <w:numPr>
          <w:ilvl w:val="0"/>
          <w:numId w:val="2"/>
        </w:numPr>
        <w:spacing w:after="40" w:before="40"/>
      </w:pPr>
      <w:r>
        <w:rPr>
          <w:rFonts w:ascii="Arial" w:cs="Arial" w:eastAsia="Arial" w:hAnsi="Arial"/>
          <w:sz w:val="22"/>
          <w:szCs w:val="22"/>
        </w:rPr>
        <w:t xml:space="preserve">Whether purchasing staff have been trained in CFSI identification and reporting</w:t>
      </w:r>
    </w:p>
    <w:p>
      <w:pPr>
        <w:spacing w:after="60" w:before="160"/>
      </w:pPr>
      <w:r>
        <w:rPr>
          <w:rFonts w:ascii="Arial" w:cs="Arial" w:eastAsia="Arial" w:hAnsi="Arial"/>
          <w:b/>
          <w:bCs/>
          <w:color w:val="001E3C"/>
          <w:sz w:val="22"/>
          <w:szCs w:val="22"/>
        </w:rPr>
        <w:t xml:space="preserve">Personnel</w:t>
      </w:r>
    </w:p>
    <w:p>
      <w:pPr>
        <w:pStyle w:val="ListParagraph"/>
        <w:numPr>
          <w:ilvl w:val="0"/>
          <w:numId w:val="2"/>
        </w:numPr>
        <w:spacing w:after="40" w:before="40"/>
      </w:pPr>
      <w:r>
        <w:rPr>
          <w:rFonts w:ascii="Arial" w:cs="Arial" w:eastAsia="Arial" w:hAnsi="Arial"/>
          <w:sz w:val="22"/>
          <w:szCs w:val="22"/>
        </w:rPr>
        <w:t xml:space="preserve">Whether the company has a documented competence management system</w:t>
      </w:r>
    </w:p>
    <w:p>
      <w:pPr>
        <w:pStyle w:val="ListParagraph"/>
        <w:numPr>
          <w:ilvl w:val="0"/>
          <w:numId w:val="2"/>
        </w:numPr>
        <w:spacing w:after="40" w:before="40"/>
      </w:pPr>
      <w:r>
        <w:rPr>
          <w:rFonts w:ascii="Arial" w:cs="Arial" w:eastAsia="Arial" w:hAnsi="Arial"/>
          <w:sz w:val="22"/>
          <w:szCs w:val="22"/>
        </w:rPr>
        <w:t xml:space="preserve">How SQEP status is assessed and maintained for key roles</w:t>
      </w:r>
    </w:p>
    <w:p>
      <w:pPr>
        <w:pStyle w:val="Heading2"/>
        <w:spacing w:after="80" w:before="200"/>
      </w:pPr>
      <w:r>
        <w:rPr>
          <w:rFonts w:ascii="Arial" w:cs="Arial" w:eastAsia="Arial" w:hAnsi="Arial"/>
          <w:b/>
          <w:bCs/>
          <w:color w:val="7B2D8B"/>
          <w:sz w:val="26"/>
          <w:szCs w:val="26"/>
        </w:rPr>
        <w:t xml:space="preserve">3.2 Evaluating the Questionnaire Response</w:t>
      </w:r>
    </w:p>
    <w:p>
      <w:pPr>
        <w:spacing w:after="60" w:before="60"/>
      </w:pPr>
      <w:r>
        <w:rPr>
          <w:rFonts w:ascii="Arial" w:cs="Arial" w:eastAsia="Arial" w:hAnsi="Arial"/>
          <w:b w:val="false"/>
          <w:bCs w:val="false"/>
          <w:i w:val="false"/>
          <w:iCs w:val="false"/>
          <w:color w:val="000000"/>
          <w:sz w:val="22"/>
          <w:szCs w:val="22"/>
        </w:rPr>
        <w:t xml:space="preserve">On receipt of the completed questionnaire, it should be reviewed by a technically competent person, typically the quality manager or a designated supply chain lead. The reviewer should:</w:t>
      </w:r>
    </w:p>
    <w:p>
      <w:pPr>
        <w:pStyle w:val="ListParagraph"/>
        <w:numPr>
          <w:ilvl w:val="0"/>
          <w:numId w:val="2"/>
        </w:numPr>
        <w:spacing w:after="40" w:before="40"/>
      </w:pPr>
      <w:r>
        <w:rPr>
          <w:rFonts w:ascii="Arial" w:cs="Arial" w:eastAsia="Arial" w:hAnsi="Arial"/>
          <w:sz w:val="22"/>
          <w:szCs w:val="22"/>
        </w:rPr>
        <w:t xml:space="preserve">Check that all questions have been answered and that responses are internally consistent</w:t>
      </w:r>
    </w:p>
    <w:p>
      <w:pPr>
        <w:pStyle w:val="ListParagraph"/>
        <w:numPr>
          <w:ilvl w:val="0"/>
          <w:numId w:val="2"/>
        </w:numPr>
        <w:spacing w:after="40" w:before="40"/>
      </w:pPr>
      <w:r>
        <w:rPr>
          <w:rFonts w:ascii="Arial" w:cs="Arial" w:eastAsia="Arial" w:hAnsi="Arial"/>
          <w:sz w:val="22"/>
          <w:szCs w:val="22"/>
        </w:rPr>
        <w:t xml:space="preserve">Verify certificate numbers and accreditation status independently (for example, through the UKAS register)</w:t>
      </w:r>
    </w:p>
    <w:p>
      <w:pPr>
        <w:pStyle w:val="ListParagraph"/>
        <w:numPr>
          <w:ilvl w:val="0"/>
          <w:numId w:val="2"/>
        </w:numPr>
        <w:spacing w:after="40" w:before="40"/>
      </w:pPr>
      <w:r>
        <w:rPr>
          <w:rFonts w:ascii="Arial" w:cs="Arial" w:eastAsia="Arial" w:hAnsi="Arial"/>
          <w:sz w:val="22"/>
          <w:szCs w:val="22"/>
        </w:rPr>
        <w:t xml:space="preserve">Identify any areas of concern that require further investigation or clarification</w:t>
      </w:r>
    </w:p>
    <w:p>
      <w:pPr>
        <w:pStyle w:val="ListParagraph"/>
        <w:numPr>
          <w:ilvl w:val="0"/>
          <w:numId w:val="2"/>
        </w:numPr>
        <w:spacing w:after="40" w:before="40"/>
      </w:pPr>
      <w:r>
        <w:rPr>
          <w:rFonts w:ascii="Arial" w:cs="Arial" w:eastAsia="Arial" w:hAnsi="Arial"/>
          <w:sz w:val="22"/>
          <w:szCs w:val="22"/>
        </w:rPr>
        <w:t xml:space="preserve">Document the review outcome with a recommendation to proceed to audit, seek clarification or decline</w:t>
      </w:r>
    </w:p>
    <w:p>
      <w:r>
        <w:br w:type="page"/>
      </w:r>
    </w:p>
    <w:p>
      <w:pPr>
        <w:pStyle w:val="Heading1"/>
        <w:spacing w:after="120" w:before="300"/>
      </w:pPr>
      <w:r>
        <w:rPr>
          <w:rFonts w:ascii="Arial" w:cs="Arial" w:eastAsia="Arial" w:hAnsi="Arial"/>
          <w:b/>
          <w:bCs/>
          <w:color w:val="29ABE2"/>
          <w:sz w:val="32"/>
          <w:szCs w:val="32"/>
        </w:rPr>
        <w:t xml:space="preserve">4. Supplier Audit</w:t>
      </w:r>
    </w:p>
    <w:p>
      <w:pPr>
        <w:pStyle w:val="Heading2"/>
        <w:spacing w:after="80" w:before="200"/>
      </w:pPr>
      <w:r>
        <w:rPr>
          <w:rFonts w:ascii="Arial" w:cs="Arial" w:eastAsia="Arial" w:hAnsi="Arial"/>
          <w:b/>
          <w:bCs/>
          <w:color w:val="7B2D8B"/>
          <w:sz w:val="26"/>
          <w:szCs w:val="26"/>
        </w:rPr>
        <w:t xml:space="preserve">4.1 Types of Nuclear Supplier Audit</w:t>
      </w:r>
    </w:p>
    <w:p>
      <w:pPr>
        <w:spacing w:after="60" w:before="60"/>
      </w:pPr>
      <w:r>
        <w:rPr>
          <w:rFonts w:ascii="Arial" w:cs="Arial" w:eastAsia="Arial" w:hAnsi="Arial"/>
          <w:b w:val="false"/>
          <w:bCs w:val="false"/>
          <w:i w:val="false"/>
          <w:iCs w:val="false"/>
          <w:color w:val="000000"/>
          <w:sz w:val="22"/>
          <w:szCs w:val="22"/>
        </w:rPr>
        <w:t xml:space="preserve">There are two main types of supplier audit conducted in nuclear procurement:</w:t>
      </w:r>
    </w:p>
    <w:p>
      <w:pPr>
        <w:spacing w:after="60" w:before="160"/>
      </w:pPr>
      <w:r>
        <w:rPr>
          <w:rFonts w:ascii="Arial" w:cs="Arial" w:eastAsia="Arial" w:hAnsi="Arial"/>
          <w:b/>
          <w:bCs/>
          <w:color w:val="001E3C"/>
          <w:sz w:val="22"/>
          <w:szCs w:val="22"/>
        </w:rPr>
        <w:t xml:space="preserve">First-Party Audit (Internal)</w:t>
      </w:r>
    </w:p>
    <w:p>
      <w:pPr>
        <w:spacing w:after="60" w:before="60"/>
      </w:pPr>
      <w:r>
        <w:rPr>
          <w:rFonts w:ascii="Arial" w:cs="Arial" w:eastAsia="Arial" w:hAnsi="Arial"/>
          <w:b w:val="false"/>
          <w:bCs w:val="false"/>
          <w:i w:val="false"/>
          <w:iCs w:val="false"/>
          <w:color w:val="000000"/>
          <w:sz w:val="22"/>
          <w:szCs w:val="22"/>
        </w:rPr>
        <w:t xml:space="preserve">An audit of your own processes and procedures to verify that your supplier management arrangements are being correctly applied. This is part of your internal audit programme and should be conducted at least annually.</w:t>
      </w:r>
    </w:p>
    <w:p>
      <w:pPr>
        <w:spacing w:after="60" w:before="160"/>
      </w:pPr>
      <w:r>
        <w:rPr>
          <w:rFonts w:ascii="Arial" w:cs="Arial" w:eastAsia="Arial" w:hAnsi="Arial"/>
          <w:b/>
          <w:bCs/>
          <w:color w:val="001E3C"/>
          <w:sz w:val="22"/>
          <w:szCs w:val="22"/>
        </w:rPr>
        <w:t xml:space="preserve">Second-Party Audit (Supplier Audit)</w:t>
      </w:r>
    </w:p>
    <w:p>
      <w:pPr>
        <w:spacing w:after="60" w:before="60"/>
      </w:pPr>
      <w:r>
        <w:rPr>
          <w:rFonts w:ascii="Arial" w:cs="Arial" w:eastAsia="Arial" w:hAnsi="Arial"/>
          <w:b w:val="false"/>
          <w:bCs w:val="false"/>
          <w:i w:val="false"/>
          <w:iCs w:val="false"/>
          <w:color w:val="000000"/>
          <w:sz w:val="22"/>
          <w:szCs w:val="22"/>
        </w:rPr>
        <w:t xml:space="preserve">An audit conducted by your organisation at a supplier's premises, or by your customer at your premises. This is the main mechanism by which nuclear suppliers are qualified and their ongoing performance is verified. Second-party audits give the auditing organisation direct visibility of the supplier's physical facilities, working practices and quality culture.</w:t>
      </w:r>
    </w:p>
    <w:p>
      <w:pPr>
        <w:spacing w:after="60" w:before="60"/>
      </w:pPr>
      <w:r>
        <w:rPr>
          <w:rFonts w:ascii="Arial" w:cs="Arial" w:eastAsia="Arial" w:hAnsi="Arial"/>
          <w:b w:val="false"/>
          <w:bCs w:val="false"/>
          <w:i w:val="false"/>
          <w:iCs w:val="false"/>
          <w:color w:val="000000"/>
          <w:sz w:val="22"/>
          <w:szCs w:val="22"/>
        </w:rPr>
        <w:t xml:space="preserve">Third-party audits are conducted by accreditation bodies and certification bodies. Your organisation may also be subject to audit by ONR inspectors, who have the right of access to any part of the nuclear supply chain.</w:t>
      </w:r>
    </w:p>
    <w:p>
      <w:pPr>
        <w:pStyle w:val="Heading2"/>
        <w:spacing w:after="80" w:before="200"/>
      </w:pPr>
      <w:r>
        <w:rPr>
          <w:rFonts w:ascii="Arial" w:cs="Arial" w:eastAsia="Arial" w:hAnsi="Arial"/>
          <w:b/>
          <w:bCs/>
          <w:color w:val="7B2D8B"/>
          <w:sz w:val="26"/>
          <w:szCs w:val="26"/>
        </w:rPr>
        <w:t xml:space="preserve">4.2 Planning a Supplier Audit</w:t>
      </w:r>
    </w:p>
    <w:p>
      <w:pPr>
        <w:spacing w:after="60" w:before="60"/>
      </w:pPr>
      <w:r>
        <w:rPr>
          <w:rFonts w:ascii="Arial" w:cs="Arial" w:eastAsia="Arial" w:hAnsi="Arial"/>
          <w:b w:val="false"/>
          <w:bCs w:val="false"/>
          <w:i w:val="false"/>
          <w:iCs w:val="false"/>
          <w:color w:val="000000"/>
          <w:sz w:val="22"/>
          <w:szCs w:val="22"/>
        </w:rPr>
        <w:t xml:space="preserve">A nuclear supplier audit must be planned before it is conducted. The audit plan should define:</w:t>
      </w:r>
    </w:p>
    <w:p>
      <w:pPr>
        <w:pStyle w:val="ListParagraph"/>
        <w:numPr>
          <w:ilvl w:val="0"/>
          <w:numId w:val="2"/>
        </w:numPr>
        <w:spacing w:after="40" w:before="40"/>
      </w:pPr>
      <w:r>
        <w:rPr>
          <w:rFonts w:ascii="Arial" w:cs="Arial" w:eastAsia="Arial" w:hAnsi="Arial"/>
          <w:sz w:val="22"/>
          <w:szCs w:val="22"/>
        </w:rPr>
        <w:t xml:space="preserve">The scope of the audit: the specific activities, processes and requirements that will be assessed</w:t>
      </w:r>
    </w:p>
    <w:p>
      <w:pPr>
        <w:pStyle w:val="ListParagraph"/>
        <w:numPr>
          <w:ilvl w:val="0"/>
          <w:numId w:val="2"/>
        </w:numPr>
        <w:spacing w:after="40" w:before="40"/>
      </w:pPr>
      <w:r>
        <w:rPr>
          <w:rFonts w:ascii="Arial" w:cs="Arial" w:eastAsia="Arial" w:hAnsi="Arial"/>
          <w:sz w:val="22"/>
          <w:szCs w:val="22"/>
        </w:rPr>
        <w:t xml:space="preserve">The audit criteria: the standards, procedures and contractual requirements against which the supplier will be assessed</w:t>
      </w:r>
    </w:p>
    <w:p>
      <w:pPr>
        <w:pStyle w:val="ListParagraph"/>
        <w:numPr>
          <w:ilvl w:val="0"/>
          <w:numId w:val="2"/>
        </w:numPr>
        <w:spacing w:after="40" w:before="40"/>
      </w:pPr>
      <w:r>
        <w:rPr>
          <w:rFonts w:ascii="Arial" w:cs="Arial" w:eastAsia="Arial" w:hAnsi="Arial"/>
          <w:sz w:val="22"/>
          <w:szCs w:val="22"/>
        </w:rPr>
        <w:t xml:space="preserve">The audit team: the lead auditor and any technical specialists required</w:t>
      </w:r>
    </w:p>
    <w:p>
      <w:pPr>
        <w:pStyle w:val="ListParagraph"/>
        <w:numPr>
          <w:ilvl w:val="0"/>
          <w:numId w:val="2"/>
        </w:numPr>
        <w:spacing w:after="40" w:before="40"/>
      </w:pPr>
      <w:r>
        <w:rPr>
          <w:rFonts w:ascii="Arial" w:cs="Arial" w:eastAsia="Arial" w:hAnsi="Arial"/>
          <w:sz w:val="22"/>
          <w:szCs w:val="22"/>
        </w:rPr>
        <w:t xml:space="preserve">The audit schedule: the date, duration and agenda</w:t>
      </w:r>
    </w:p>
    <w:p>
      <w:pPr>
        <w:pStyle w:val="ListParagraph"/>
        <w:numPr>
          <w:ilvl w:val="0"/>
          <w:numId w:val="2"/>
        </w:numPr>
        <w:spacing w:after="40" w:before="40"/>
      </w:pPr>
      <w:r>
        <w:rPr>
          <w:rFonts w:ascii="Arial" w:cs="Arial" w:eastAsia="Arial" w:hAnsi="Arial"/>
          <w:sz w:val="22"/>
          <w:szCs w:val="22"/>
        </w:rPr>
        <w:t xml:space="preserve">The opening and closing meeting arrangements</w:t>
      </w:r>
    </w:p>
    <w:p>
      <w:pPr>
        <w:spacing w:after="60" w:before="60"/>
      </w:pPr>
      <w:r>
        <w:rPr>
          <w:rFonts w:ascii="Arial" w:cs="Arial" w:eastAsia="Arial" w:hAnsi="Arial"/>
          <w:b w:val="false"/>
          <w:bCs w:val="false"/>
          <w:i w:val="false"/>
          <w:iCs w:val="false"/>
          <w:color w:val="000000"/>
          <w:sz w:val="22"/>
          <w:szCs w:val="22"/>
        </w:rPr>
        <w:t xml:space="preserve">The audit plan should be shared with the supplier at least five working days before the audit takes place, to allow the supplier to make relevant personnel and documentation available.</w:t>
      </w:r>
    </w:p>
    <w:p>
      <w:pPr>
        <w:pStyle w:val="Heading2"/>
        <w:spacing w:after="80" w:before="200"/>
      </w:pPr>
      <w:r>
        <w:rPr>
          <w:rFonts w:ascii="Arial" w:cs="Arial" w:eastAsia="Arial" w:hAnsi="Arial"/>
          <w:b/>
          <w:bCs/>
          <w:color w:val="7B2D8B"/>
          <w:sz w:val="26"/>
          <w:szCs w:val="26"/>
        </w:rPr>
        <w:t xml:space="preserve">4.3 Conducting the Audit</w:t>
      </w:r>
    </w:p>
    <w:p>
      <w:pPr>
        <w:spacing w:after="60" w:before="60"/>
      </w:pPr>
      <w:r>
        <w:rPr>
          <w:rFonts w:ascii="Arial" w:cs="Arial" w:eastAsia="Arial" w:hAnsi="Arial"/>
          <w:b w:val="false"/>
          <w:bCs w:val="false"/>
          <w:i w:val="false"/>
          <w:iCs w:val="false"/>
          <w:color w:val="000000"/>
          <w:sz w:val="22"/>
          <w:szCs w:val="22"/>
        </w:rPr>
        <w:t xml:space="preserve">A nuclear supplier audit typically consists of four activities:</w:t>
      </w:r>
    </w:p>
    <w:p>
      <w:pPr>
        <w:spacing w:after="60" w:before="160"/>
      </w:pPr>
      <w:r>
        <w:rPr>
          <w:rFonts w:ascii="Arial" w:cs="Arial" w:eastAsia="Arial" w:hAnsi="Arial"/>
          <w:b/>
          <w:bCs/>
          <w:color w:val="001E3C"/>
          <w:sz w:val="22"/>
          <w:szCs w:val="22"/>
        </w:rPr>
        <w:t xml:space="preserve">Opening Meeting</w:t>
      </w:r>
    </w:p>
    <w:p>
      <w:pPr>
        <w:spacing w:after="60" w:before="60"/>
      </w:pPr>
      <w:r>
        <w:rPr>
          <w:rFonts w:ascii="Arial" w:cs="Arial" w:eastAsia="Arial" w:hAnsi="Arial"/>
          <w:b w:val="false"/>
          <w:bCs w:val="false"/>
          <w:i w:val="false"/>
          <w:iCs w:val="false"/>
          <w:color w:val="000000"/>
          <w:sz w:val="22"/>
          <w:szCs w:val="22"/>
        </w:rPr>
        <w:t xml:space="preserve">Introduce the audit team, confirm the scope and schedule, confirm the supplier's availability of key personnel, and explain the audit methodology and how findings will be classified and reported.</w:t>
      </w:r>
    </w:p>
    <w:p>
      <w:pPr>
        <w:spacing w:after="60" w:before="160"/>
      </w:pPr>
      <w:r>
        <w:rPr>
          <w:rFonts w:ascii="Arial" w:cs="Arial" w:eastAsia="Arial" w:hAnsi="Arial"/>
          <w:b/>
          <w:bCs/>
          <w:color w:val="001E3C"/>
          <w:sz w:val="22"/>
          <w:szCs w:val="22"/>
        </w:rPr>
        <w:t xml:space="preserve">Document Review</w:t>
      </w:r>
    </w:p>
    <w:p>
      <w:pPr>
        <w:spacing w:after="60" w:before="60"/>
      </w:pPr>
      <w:r>
        <w:rPr>
          <w:rFonts w:ascii="Arial" w:cs="Arial" w:eastAsia="Arial" w:hAnsi="Arial"/>
          <w:b w:val="false"/>
          <w:bCs w:val="false"/>
          <w:i w:val="false"/>
          <w:iCs w:val="false"/>
          <w:color w:val="000000"/>
          <w:sz w:val="22"/>
          <w:szCs w:val="22"/>
        </w:rPr>
        <w:t xml:space="preserve">Review the supplier's quality management system documentation, procedures, records and certificates against the audit criteria. Look for gaps, inconsistencies or areas where documented intent does not match observed practice.</w:t>
      </w:r>
    </w:p>
    <w:p>
      <w:pPr>
        <w:spacing w:after="60" w:before="160"/>
      </w:pPr>
      <w:r>
        <w:rPr>
          <w:rFonts w:ascii="Arial" w:cs="Arial" w:eastAsia="Arial" w:hAnsi="Arial"/>
          <w:b/>
          <w:bCs/>
          <w:color w:val="001E3C"/>
          <w:sz w:val="22"/>
          <w:szCs w:val="22"/>
        </w:rPr>
        <w:t xml:space="preserve">Facility Walk-Through</w:t>
      </w:r>
    </w:p>
    <w:p>
      <w:pPr>
        <w:spacing w:after="60" w:before="60"/>
      </w:pPr>
      <w:r>
        <w:rPr>
          <w:rFonts w:ascii="Arial" w:cs="Arial" w:eastAsia="Arial" w:hAnsi="Arial"/>
          <w:b w:val="false"/>
          <w:bCs w:val="false"/>
          <w:i w:val="false"/>
          <w:iCs w:val="false"/>
          <w:color w:val="000000"/>
          <w:sz w:val="22"/>
          <w:szCs w:val="22"/>
        </w:rPr>
        <w:t xml:space="preserve">Inspect the supplier's physical facilities, equipment, storage areas and production areas. Look for evidence that procedures are being followed, that materials are correctly identified and segregated, and that the working environment supports quality.</w:t>
      </w:r>
    </w:p>
    <w:p>
      <w:pPr>
        <w:spacing w:after="60" w:before="160"/>
      </w:pPr>
      <w:r>
        <w:rPr>
          <w:rFonts w:ascii="Arial" w:cs="Arial" w:eastAsia="Arial" w:hAnsi="Arial"/>
          <w:b/>
          <w:bCs/>
          <w:color w:val="001E3C"/>
          <w:sz w:val="22"/>
          <w:szCs w:val="22"/>
        </w:rPr>
        <w:t xml:space="preserve">Interviews</w:t>
      </w:r>
    </w:p>
    <w:p>
      <w:pPr>
        <w:spacing w:after="60" w:before="60"/>
      </w:pPr>
      <w:r>
        <w:rPr>
          <w:rFonts w:ascii="Arial" w:cs="Arial" w:eastAsia="Arial" w:hAnsi="Arial"/>
          <w:b w:val="false"/>
          <w:bCs w:val="false"/>
          <w:i w:val="false"/>
          <w:iCs w:val="false"/>
          <w:color w:val="000000"/>
          <w:sz w:val="22"/>
          <w:szCs w:val="22"/>
        </w:rPr>
        <w:t xml:space="preserve">Talk with key personnel including the quality manager, purchasing manager and relevant technical staff. Interview questions should test understanding of nuclear requirements, not just the existence of procedures. Ask staff how they would handle scenarios such as receiving a suspect item, identifying a non-conformance or responding to a buyer's request for records.</w:t>
      </w:r>
    </w:p>
    <w:p>
      <w:pPr>
        <w:pStyle w:val="Heading2"/>
        <w:spacing w:after="80" w:before="200"/>
      </w:pPr>
      <w:r>
        <w:rPr>
          <w:rFonts w:ascii="Arial" w:cs="Arial" w:eastAsia="Arial" w:hAnsi="Arial"/>
          <w:b/>
          <w:bCs/>
          <w:color w:val="7B2D8B"/>
          <w:sz w:val="26"/>
          <w:szCs w:val="26"/>
        </w:rPr>
        <w:t xml:space="preserve">4.4 Classifying Audit Findings</w:t>
      </w:r>
    </w:p>
    <w:p>
      <w:pPr>
        <w:spacing w:after="60" w:before="60"/>
      </w:pPr>
      <w:r>
        <w:rPr>
          <w:rFonts w:ascii="Arial" w:cs="Arial" w:eastAsia="Arial" w:hAnsi="Arial"/>
          <w:b w:val="false"/>
          <w:bCs w:val="false"/>
          <w:i w:val="false"/>
          <w:iCs w:val="false"/>
          <w:color w:val="000000"/>
          <w:sz w:val="22"/>
          <w:szCs w:val="22"/>
        </w:rPr>
        <w:t xml:space="preserve">Audit findings must be classified by severity to ensure that the most significant issues receive appropriate attention and corrective action. The standard classification framework for nuclear supplier audits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3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Response</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Non-Conformance</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systemic failure of the quality management system, or a single significant finding that could directly affect nuclear safety or product quality</w:t>
            </w:r>
          </w:p>
        </w:tc>
        <w:tc>
          <w:tcPr>
            <w:tcW w:type="dxa" w:w="3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Corrective action required before approval can be granted. May trigger suspension of existing approval</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 Non-Conformance</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An isolated lapse in the quality management system that does not create immediate safety risk but represents a deviation from requirements</w:t>
            </w:r>
          </w:p>
        </w:tc>
        <w:tc>
          <w:tcPr>
            <w:tcW w:type="dxa" w:w="3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Corrective action required within an agreed timescale, with evidence of close-out required</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potential area of improvement identified that does not constitute a non-conformance, but that the auditor believes warrants attention</w:t>
            </w:r>
          </w:p>
        </w:tc>
        <w:tc>
          <w:tcPr>
            <w:tcW w:type="dxa" w:w="3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not mandatory but supplier is expected to consider the observation</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Practice</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An example of practice that exceeds the minimum requirements and may be worth sharing with other suppliers</w:t>
            </w:r>
          </w:p>
        </w:tc>
        <w:tc>
          <w:tcPr>
            <w:tcW w:type="dxa" w:w="3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Recorded for information and potential benchmarking</w:t>
            </w:r>
          </w:p>
        </w:tc>
      </w:tr>
    </w:tbl>
    <w:p>
      <w:pPr>
        <w:pStyle w:val="Heading2"/>
        <w:spacing w:after="80" w:before="200"/>
      </w:pPr>
      <w:r>
        <w:rPr>
          <w:rFonts w:ascii="Arial" w:cs="Arial" w:eastAsia="Arial" w:hAnsi="Arial"/>
          <w:b/>
          <w:bCs/>
          <w:color w:val="7B2D8B"/>
          <w:sz w:val="26"/>
          <w:szCs w:val="26"/>
        </w:rPr>
        <w:t xml:space="preserve">4.5 The Audit Report</w:t>
      </w:r>
    </w:p>
    <w:p>
      <w:pPr>
        <w:spacing w:after="60" w:before="60"/>
      </w:pPr>
      <w:r>
        <w:rPr>
          <w:rFonts w:ascii="Arial" w:cs="Arial" w:eastAsia="Arial" w:hAnsi="Arial"/>
          <w:b w:val="false"/>
          <w:bCs w:val="false"/>
          <w:i w:val="false"/>
          <w:iCs w:val="false"/>
          <w:color w:val="000000"/>
          <w:sz w:val="22"/>
          <w:szCs w:val="22"/>
        </w:rPr>
        <w:t xml:space="preserve">Every supplier audit must result in a written audit report. The report is a controlled document and forms part of the supplier's qualification record. It should include:</w:t>
      </w:r>
    </w:p>
    <w:p>
      <w:pPr>
        <w:pStyle w:val="ListParagraph"/>
        <w:numPr>
          <w:ilvl w:val="0"/>
          <w:numId w:val="2"/>
        </w:numPr>
        <w:spacing w:after="40" w:before="40"/>
      </w:pPr>
      <w:r>
        <w:rPr>
          <w:rFonts w:ascii="Arial" w:cs="Arial" w:eastAsia="Arial" w:hAnsi="Arial"/>
          <w:sz w:val="22"/>
          <w:szCs w:val="22"/>
        </w:rPr>
        <w:t xml:space="preserve">Audit reference number, date, supplier name and location</w:t>
      </w:r>
    </w:p>
    <w:p>
      <w:pPr>
        <w:pStyle w:val="ListParagraph"/>
        <w:numPr>
          <w:ilvl w:val="0"/>
          <w:numId w:val="2"/>
        </w:numPr>
        <w:spacing w:after="40" w:before="40"/>
      </w:pPr>
      <w:r>
        <w:rPr>
          <w:rFonts w:ascii="Arial" w:cs="Arial" w:eastAsia="Arial" w:hAnsi="Arial"/>
          <w:sz w:val="22"/>
          <w:szCs w:val="22"/>
        </w:rPr>
        <w:t xml:space="preserve">Audit scope, criteria and team members</w:t>
      </w:r>
    </w:p>
    <w:p>
      <w:pPr>
        <w:pStyle w:val="ListParagraph"/>
        <w:numPr>
          <w:ilvl w:val="0"/>
          <w:numId w:val="2"/>
        </w:numPr>
        <w:spacing w:after="40" w:before="40"/>
      </w:pPr>
      <w:r>
        <w:rPr>
          <w:rFonts w:ascii="Arial" w:cs="Arial" w:eastAsia="Arial" w:hAnsi="Arial"/>
          <w:sz w:val="22"/>
          <w:szCs w:val="22"/>
        </w:rPr>
        <w:t xml:space="preserve">Summary of findings by classification</w:t>
      </w:r>
    </w:p>
    <w:p>
      <w:pPr>
        <w:pStyle w:val="ListParagraph"/>
        <w:numPr>
          <w:ilvl w:val="0"/>
          <w:numId w:val="2"/>
        </w:numPr>
        <w:spacing w:after="40" w:before="40"/>
      </w:pPr>
      <w:r>
        <w:rPr>
          <w:rFonts w:ascii="Arial" w:cs="Arial" w:eastAsia="Arial" w:hAnsi="Arial"/>
          <w:sz w:val="22"/>
          <w:szCs w:val="22"/>
        </w:rPr>
        <w:t xml:space="preserve">Detailed description of each finding with objective evidence</w:t>
      </w:r>
    </w:p>
    <w:p>
      <w:pPr>
        <w:pStyle w:val="ListParagraph"/>
        <w:numPr>
          <w:ilvl w:val="0"/>
          <w:numId w:val="2"/>
        </w:numPr>
        <w:spacing w:after="40" w:before="40"/>
      </w:pPr>
      <w:r>
        <w:rPr>
          <w:rFonts w:ascii="Arial" w:cs="Arial" w:eastAsia="Arial" w:hAnsi="Arial"/>
          <w:sz w:val="22"/>
          <w:szCs w:val="22"/>
        </w:rPr>
        <w:t xml:space="preserve">Conclusion: recommended approval status</w:t>
      </w:r>
    </w:p>
    <w:p>
      <w:pPr>
        <w:pStyle w:val="ListParagraph"/>
        <w:numPr>
          <w:ilvl w:val="0"/>
          <w:numId w:val="2"/>
        </w:numPr>
        <w:spacing w:after="40" w:before="40"/>
      </w:pPr>
      <w:r>
        <w:rPr>
          <w:rFonts w:ascii="Arial" w:cs="Arial" w:eastAsia="Arial" w:hAnsi="Arial"/>
          <w:sz w:val="22"/>
          <w:szCs w:val="22"/>
        </w:rPr>
        <w:t xml:space="preserve">Required corrective actions with target dates</w:t>
      </w:r>
    </w:p>
    <w:p>
      <w:pPr>
        <w:spacing w:after="60" w:before="60"/>
      </w:pPr>
      <w:r>
        <w:rPr>
          <w:rFonts w:ascii="Arial" w:cs="Arial" w:eastAsia="Arial" w:hAnsi="Arial"/>
          <w:b w:val="false"/>
          <w:bCs w:val="false"/>
          <w:i w:val="false"/>
          <w:iCs w:val="false"/>
          <w:color w:val="000000"/>
          <w:sz w:val="22"/>
          <w:szCs w:val="22"/>
        </w:rPr>
        <w:t xml:space="preserve">The report should be issued to the supplier within ten working days of the closing meeting. The supplier is required to respond to non-conformances with a formal Corrective Action Plan (CAP).</w:t>
      </w:r>
    </w:p>
    <w:p>
      <w:r>
        <w:br w:type="page"/>
      </w:r>
    </w:p>
    <w:p>
      <w:pPr>
        <w:pStyle w:val="Heading1"/>
        <w:spacing w:after="120" w:before="300"/>
      </w:pPr>
      <w:r>
        <w:rPr>
          <w:rFonts w:ascii="Arial" w:cs="Arial" w:eastAsia="Arial" w:hAnsi="Arial"/>
          <w:b/>
          <w:bCs/>
          <w:color w:val="29ABE2"/>
          <w:sz w:val="32"/>
          <w:szCs w:val="32"/>
        </w:rPr>
        <w:t xml:space="preserve">5. Approval Decision and ASL Management</w:t>
      </w:r>
    </w:p>
    <w:p>
      <w:pPr>
        <w:pStyle w:val="Heading2"/>
        <w:spacing w:after="80" w:before="200"/>
      </w:pPr>
      <w:r>
        <w:rPr>
          <w:rFonts w:ascii="Arial" w:cs="Arial" w:eastAsia="Arial" w:hAnsi="Arial"/>
          <w:b/>
          <w:bCs/>
          <w:color w:val="7B2D8B"/>
          <w:sz w:val="26"/>
          <w:szCs w:val="26"/>
        </w:rPr>
        <w:t xml:space="preserve">5.1 The Approval Decision</w:t>
      </w:r>
    </w:p>
    <w:p>
      <w:pPr>
        <w:spacing w:after="60" w:before="60"/>
      </w:pPr>
      <w:r>
        <w:rPr>
          <w:rFonts w:ascii="Arial" w:cs="Arial" w:eastAsia="Arial" w:hAnsi="Arial"/>
          <w:b w:val="false"/>
          <w:bCs w:val="false"/>
          <w:i w:val="false"/>
          <w:iCs w:val="false"/>
          <w:color w:val="000000"/>
          <w:sz w:val="22"/>
          <w:szCs w:val="22"/>
        </w:rPr>
        <w:t xml:space="preserve">The audit report is reviewed by the quality authority, typically the quality manager or quality director, who makes a formal approval decision. The decision should be documented and may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Approval</w:t>
            </w:r>
          </w:p>
        </w:tc>
        <w:tc>
          <w:tcPr>
            <w:tcW w:type="dxa" w:w="6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major non-conformances. Minor non-conformances addressed or underway. Supplier added to ASL for the defined scope</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 Approval</w:t>
            </w:r>
          </w:p>
        </w:tc>
        <w:tc>
          <w:tcPr>
            <w:tcW w:type="dxa" w:w="6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 non-conformances remain open. Supplier may be used for low-risk work while corrective actions are completed, subject to enhanced oversight</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Provisional Approval</w:t>
            </w:r>
          </w:p>
        </w:tc>
        <w:tc>
          <w:tcPr>
            <w:tcW w:type="dxa" w:w="6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has not yet been audited but has been assessed via questionnaire and references. Limited use only, pending full audit</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Decline</w:t>
            </w:r>
          </w:p>
        </w:tc>
        <w:tc>
          <w:tcPr>
            <w:tcW w:type="dxa" w:w="6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non-conformances identified, or insufficient capability demonstrated. Supplier not added to ASL</w:t>
            </w:r>
          </w:p>
        </w:tc>
      </w:tr>
    </w:tbl>
    <w:p>
      <w:pPr>
        <w:pStyle w:val="Heading2"/>
        <w:spacing w:after="80" w:before="200"/>
      </w:pPr>
      <w:r>
        <w:rPr>
          <w:rFonts w:ascii="Arial" w:cs="Arial" w:eastAsia="Arial" w:hAnsi="Arial"/>
          <w:b/>
          <w:bCs/>
          <w:color w:val="7B2D8B"/>
          <w:sz w:val="26"/>
          <w:szCs w:val="26"/>
        </w:rPr>
        <w:t xml:space="preserve">5.2 ASL Entry Requirements</w:t>
      </w:r>
    </w:p>
    <w:p>
      <w:pPr>
        <w:spacing w:after="60" w:before="60"/>
      </w:pPr>
      <w:r>
        <w:rPr>
          <w:rFonts w:ascii="Arial" w:cs="Arial" w:eastAsia="Arial" w:hAnsi="Arial"/>
          <w:b w:val="false"/>
          <w:bCs w:val="false"/>
          <w:i w:val="false"/>
          <w:iCs w:val="false"/>
          <w:color w:val="000000"/>
          <w:sz w:val="22"/>
          <w:szCs w:val="22"/>
        </w:rPr>
        <w:t xml:space="preserve">When a supplier is approved and added to the ASL, the following information must be recorded:</w:t>
      </w:r>
    </w:p>
    <w:p>
      <w:pPr>
        <w:pStyle w:val="ListParagraph"/>
        <w:numPr>
          <w:ilvl w:val="0"/>
          <w:numId w:val="2"/>
        </w:numPr>
        <w:spacing w:after="40" w:before="40"/>
      </w:pPr>
      <w:r>
        <w:rPr>
          <w:rFonts w:ascii="Arial" w:cs="Arial" w:eastAsia="Arial" w:hAnsi="Arial"/>
          <w:sz w:val="22"/>
          <w:szCs w:val="22"/>
        </w:rPr>
        <w:t xml:space="preserve">Supplier name, address and key contacts</w:t>
      </w:r>
    </w:p>
    <w:p>
      <w:pPr>
        <w:pStyle w:val="ListParagraph"/>
        <w:numPr>
          <w:ilvl w:val="0"/>
          <w:numId w:val="2"/>
        </w:numPr>
        <w:spacing w:after="40" w:before="40"/>
      </w:pPr>
      <w:r>
        <w:rPr>
          <w:rFonts w:ascii="Arial" w:cs="Arial" w:eastAsia="Arial" w:hAnsi="Arial"/>
          <w:sz w:val="22"/>
          <w:szCs w:val="22"/>
        </w:rPr>
        <w:t xml:space="preserve">Date of approval and approval reference number</w:t>
      </w:r>
    </w:p>
    <w:p>
      <w:pPr>
        <w:pStyle w:val="ListParagraph"/>
        <w:numPr>
          <w:ilvl w:val="0"/>
          <w:numId w:val="2"/>
        </w:numPr>
        <w:spacing w:after="40" w:before="40"/>
      </w:pPr>
      <w:r>
        <w:rPr>
          <w:rFonts w:ascii="Arial" w:cs="Arial" w:eastAsia="Arial" w:hAnsi="Arial"/>
          <w:sz w:val="22"/>
          <w:szCs w:val="22"/>
        </w:rPr>
        <w:t xml:space="preserve">Scope of approval: the specific products or services the supplier is approved to provide</w:t>
      </w:r>
    </w:p>
    <w:p>
      <w:pPr>
        <w:pStyle w:val="ListParagraph"/>
        <w:numPr>
          <w:ilvl w:val="0"/>
          <w:numId w:val="2"/>
        </w:numPr>
        <w:spacing w:after="40" w:before="40"/>
      </w:pPr>
      <w:r>
        <w:rPr>
          <w:rFonts w:ascii="Arial" w:cs="Arial" w:eastAsia="Arial" w:hAnsi="Arial"/>
          <w:sz w:val="22"/>
          <w:szCs w:val="22"/>
        </w:rPr>
        <w:t xml:space="preserve">Grade of approval: the maximum nuclear safety class for which the supplier is approved</w:t>
      </w:r>
    </w:p>
    <w:p>
      <w:pPr>
        <w:pStyle w:val="ListParagraph"/>
        <w:numPr>
          <w:ilvl w:val="0"/>
          <w:numId w:val="2"/>
        </w:numPr>
        <w:spacing w:after="40" w:before="40"/>
      </w:pPr>
      <w:r>
        <w:rPr>
          <w:rFonts w:ascii="Arial" w:cs="Arial" w:eastAsia="Arial" w:hAnsi="Arial"/>
          <w:sz w:val="22"/>
          <w:szCs w:val="22"/>
        </w:rPr>
        <w:t xml:space="preserve">ISO certification details</w:t>
      </w:r>
    </w:p>
    <w:p>
      <w:pPr>
        <w:pStyle w:val="ListParagraph"/>
        <w:numPr>
          <w:ilvl w:val="0"/>
          <w:numId w:val="2"/>
        </w:numPr>
        <w:spacing w:after="40" w:before="40"/>
      </w:pPr>
      <w:r>
        <w:rPr>
          <w:rFonts w:ascii="Arial" w:cs="Arial" w:eastAsia="Arial" w:hAnsi="Arial"/>
          <w:sz w:val="22"/>
          <w:szCs w:val="22"/>
        </w:rPr>
        <w:t xml:space="preserve">Date of last audit and next scheduled audit</w:t>
      </w:r>
    </w:p>
    <w:p>
      <w:pPr>
        <w:pStyle w:val="ListParagraph"/>
        <w:numPr>
          <w:ilvl w:val="0"/>
          <w:numId w:val="2"/>
        </w:numPr>
        <w:spacing w:after="40" w:before="40"/>
      </w:pPr>
      <w:r>
        <w:rPr>
          <w:rFonts w:ascii="Arial" w:cs="Arial" w:eastAsia="Arial" w:hAnsi="Arial"/>
          <w:sz w:val="22"/>
          <w:szCs w:val="22"/>
        </w:rPr>
        <w:t xml:space="preserve">Any conditions attached to the approval</w:t>
      </w:r>
    </w:p>
    <w:p>
      <w:pPr>
        <w:pStyle w:val="ListParagraph"/>
        <w:numPr>
          <w:ilvl w:val="0"/>
          <w:numId w:val="2"/>
        </w:numPr>
        <w:spacing w:after="40" w:before="40"/>
      </w:pPr>
      <w:r>
        <w:rPr>
          <w:rFonts w:ascii="Arial" w:cs="Arial" w:eastAsia="Arial" w:hAnsi="Arial"/>
          <w:sz w:val="22"/>
          <w:szCs w:val="22"/>
        </w:rPr>
        <w:t xml:space="preserve">Performance rating (if available)</w:t>
      </w:r>
    </w:p>
    <w:p>
      <w:pPr>
        <w:pStyle w:val="Heading2"/>
        <w:spacing w:after="80" w:before="200"/>
      </w:pPr>
      <w:r>
        <w:rPr>
          <w:rFonts w:ascii="Arial" w:cs="Arial" w:eastAsia="Arial" w:hAnsi="Arial"/>
          <w:b/>
          <w:bCs/>
          <w:color w:val="7B2D8B"/>
          <w:sz w:val="26"/>
          <w:szCs w:val="26"/>
        </w:rPr>
        <w:t xml:space="preserve">5.3 Ongoing Monitoring and Re-Approval</w:t>
      </w:r>
    </w:p>
    <w:p>
      <w:pPr>
        <w:spacing w:after="60" w:before="60"/>
      </w:pPr>
      <w:r>
        <w:rPr>
          <w:rFonts w:ascii="Arial" w:cs="Arial" w:eastAsia="Arial" w:hAnsi="Arial"/>
          <w:b w:val="false"/>
          <w:bCs w:val="false"/>
          <w:i w:val="false"/>
          <w:iCs w:val="false"/>
          <w:color w:val="000000"/>
          <w:sz w:val="22"/>
          <w:szCs w:val="22"/>
        </w:rPr>
        <w:t xml:space="preserve">Approved supplier status must be actively maintained. The following activities are required:</w:t>
      </w:r>
    </w:p>
    <w:p>
      <w:pPr>
        <w:pStyle w:val="ListParagraph"/>
        <w:numPr>
          <w:ilvl w:val="0"/>
          <w:numId w:val="2"/>
        </w:numPr>
        <w:spacing w:after="40" w:before="40"/>
      </w:pPr>
      <w:r>
        <w:rPr>
          <w:rFonts w:ascii="Arial" w:cs="Arial" w:eastAsia="Arial" w:hAnsi="Arial"/>
          <w:sz w:val="22"/>
          <w:szCs w:val="22"/>
        </w:rPr>
        <w:t xml:space="preserve">Annual review of ISO certification status: if certification lapses, approval should be suspended pending renewal</w:t>
      </w:r>
    </w:p>
    <w:p>
      <w:pPr>
        <w:pStyle w:val="ListParagraph"/>
        <w:numPr>
          <w:ilvl w:val="0"/>
          <w:numId w:val="2"/>
        </w:numPr>
        <w:spacing w:after="40" w:before="40"/>
      </w:pPr>
      <w:r>
        <w:rPr>
          <w:rFonts w:ascii="Arial" w:cs="Arial" w:eastAsia="Arial" w:hAnsi="Arial"/>
          <w:sz w:val="22"/>
          <w:szCs w:val="22"/>
        </w:rPr>
        <w:t xml:space="preserve">Performance data collection and quarterly review against defined performance indicators</w:t>
      </w:r>
    </w:p>
    <w:p>
      <w:pPr>
        <w:pStyle w:val="ListParagraph"/>
        <w:numPr>
          <w:ilvl w:val="0"/>
          <w:numId w:val="2"/>
        </w:numPr>
        <w:spacing w:after="40" w:before="40"/>
      </w:pPr>
      <w:r>
        <w:rPr>
          <w:rFonts w:ascii="Arial" w:cs="Arial" w:eastAsia="Arial" w:hAnsi="Arial"/>
          <w:sz w:val="22"/>
          <w:szCs w:val="22"/>
        </w:rPr>
        <w:t xml:space="preserve">Full re-audit at a frequency determined by the supplier's grade and risk profile, typically one to three years for nuclear-grade suppliers</w:t>
      </w:r>
    </w:p>
    <w:p>
      <w:pPr>
        <w:pStyle w:val="ListParagraph"/>
        <w:numPr>
          <w:ilvl w:val="0"/>
          <w:numId w:val="2"/>
        </w:numPr>
        <w:spacing w:after="40" w:before="40"/>
      </w:pPr>
      <w:r>
        <w:rPr>
          <w:rFonts w:ascii="Arial" w:cs="Arial" w:eastAsia="Arial" w:hAnsi="Arial"/>
          <w:sz w:val="22"/>
          <w:szCs w:val="22"/>
        </w:rPr>
        <w:t xml:space="preserve">Triggered re-review in response to significant quality events, changes in ownership, financial concerns or safety culture concerns</w:t>
      </w:r>
    </w:p>
    <w:p>
      <w:pPr>
        <w:spacing w:after="100" w:before="100"/>
        <w:ind w:left="360"/>
      </w:pPr>
      <w:r>
        <w:rPr>
          <w:rFonts w:ascii="Arial" w:cs="Arial" w:eastAsia="Arial" w:hAnsi="Arial"/>
          <w:i/>
          <w:iCs/>
          <w:color w:val="83348F"/>
          <w:sz w:val="22"/>
          <w:szCs w:val="22"/>
        </w:rPr>
        <w:t xml:space="preserve">An approved supplier that is not performing should not simply be tolerated. Sustained underperformance is a risk to your own delivery and to your customers. Escalate early and engage with the supplier's leadership, not just their quality team.</w:t>
      </w:r>
    </w:p>
    <w:p>
      <w:r>
        <w:br w:type="page"/>
      </w:r>
    </w:p>
    <w:p>
      <w:pPr>
        <w:pStyle w:val="Heading1"/>
        <w:spacing w:after="120" w:before="300"/>
      </w:pPr>
      <w:r>
        <w:rPr>
          <w:rFonts w:ascii="Arial" w:cs="Arial" w:eastAsia="Arial" w:hAnsi="Arial"/>
          <w:b/>
          <w:bCs/>
          <w:color w:val="29ABE2"/>
          <w:sz w:val="32"/>
          <w:szCs w:val="32"/>
        </w:rPr>
        <w:t xml:space="preserve">6. Managing Non-Performing Suppliers</w:t>
      </w:r>
    </w:p>
    <w:p>
      <w:pPr>
        <w:pStyle w:val="Heading2"/>
        <w:spacing w:after="80" w:before="200"/>
      </w:pPr>
      <w:r>
        <w:rPr>
          <w:rFonts w:ascii="Arial" w:cs="Arial" w:eastAsia="Arial" w:hAnsi="Arial"/>
          <w:b/>
          <w:bCs/>
          <w:color w:val="7B2D8B"/>
          <w:sz w:val="26"/>
          <w:szCs w:val="26"/>
        </w:rPr>
        <w:t xml:space="preserve">6.1 Identifying Underperformance</w:t>
      </w:r>
    </w:p>
    <w:p>
      <w:pPr>
        <w:spacing w:after="60" w:before="60"/>
      </w:pPr>
      <w:r>
        <w:rPr>
          <w:rFonts w:ascii="Arial" w:cs="Arial" w:eastAsia="Arial" w:hAnsi="Arial"/>
          <w:b w:val="false"/>
          <w:bCs w:val="false"/>
          <w:i w:val="false"/>
          <w:iCs w:val="false"/>
          <w:color w:val="000000"/>
          <w:sz w:val="22"/>
          <w:szCs w:val="22"/>
        </w:rPr>
        <w:t xml:space="preserve">Supplier underperformance can manifest in a number of ways. Early indicators include:</w:t>
      </w:r>
    </w:p>
    <w:p>
      <w:pPr>
        <w:pStyle w:val="ListParagraph"/>
        <w:numPr>
          <w:ilvl w:val="0"/>
          <w:numId w:val="2"/>
        </w:numPr>
        <w:spacing w:after="40" w:before="40"/>
      </w:pPr>
      <w:r>
        <w:rPr>
          <w:rFonts w:ascii="Arial" w:cs="Arial" w:eastAsia="Arial" w:hAnsi="Arial"/>
          <w:sz w:val="22"/>
          <w:szCs w:val="22"/>
        </w:rPr>
        <w:t xml:space="preserve">Recurring delivery delays or late responses to requests for information</w:t>
      </w:r>
    </w:p>
    <w:p>
      <w:pPr>
        <w:pStyle w:val="ListParagraph"/>
        <w:numPr>
          <w:ilvl w:val="0"/>
          <w:numId w:val="2"/>
        </w:numPr>
        <w:spacing w:after="40" w:before="40"/>
      </w:pPr>
      <w:r>
        <w:rPr>
          <w:rFonts w:ascii="Arial" w:cs="Arial" w:eastAsia="Arial" w:hAnsi="Arial"/>
          <w:sz w:val="22"/>
          <w:szCs w:val="22"/>
        </w:rPr>
        <w:t xml:space="preserve">Increasing non-conformance rates against inspection criteria</w:t>
      </w:r>
    </w:p>
    <w:p>
      <w:pPr>
        <w:pStyle w:val="ListParagraph"/>
        <w:numPr>
          <w:ilvl w:val="0"/>
          <w:numId w:val="2"/>
        </w:numPr>
        <w:spacing w:after="40" w:before="40"/>
      </w:pPr>
      <w:r>
        <w:rPr>
          <w:rFonts w:ascii="Arial" w:cs="Arial" w:eastAsia="Arial" w:hAnsi="Arial"/>
          <w:sz w:val="22"/>
          <w:szCs w:val="22"/>
        </w:rPr>
        <w:t xml:space="preserve">Poor quality of documentation submitted with deliveries</w:t>
      </w:r>
    </w:p>
    <w:p>
      <w:pPr>
        <w:pStyle w:val="ListParagraph"/>
        <w:numPr>
          <w:ilvl w:val="0"/>
          <w:numId w:val="2"/>
        </w:numPr>
        <w:spacing w:after="40" w:before="40"/>
      </w:pPr>
      <w:r>
        <w:rPr>
          <w:rFonts w:ascii="Arial" w:cs="Arial" w:eastAsia="Arial" w:hAnsi="Arial"/>
          <w:sz w:val="22"/>
          <w:szCs w:val="22"/>
        </w:rPr>
        <w:t xml:space="preserve">Failure to maintain ISO certification</w:t>
      </w:r>
    </w:p>
    <w:p>
      <w:pPr>
        <w:pStyle w:val="ListParagraph"/>
        <w:numPr>
          <w:ilvl w:val="0"/>
          <w:numId w:val="2"/>
        </w:numPr>
        <w:spacing w:after="40" w:before="40"/>
      </w:pPr>
      <w:r>
        <w:rPr>
          <w:rFonts w:ascii="Arial" w:cs="Arial" w:eastAsia="Arial" w:hAnsi="Arial"/>
          <w:sz w:val="22"/>
          <w:szCs w:val="22"/>
        </w:rPr>
        <w:t xml:space="preserve">Reluctance to allow audit or surveillance access</w:t>
      </w:r>
    </w:p>
    <w:p>
      <w:pPr>
        <w:pStyle w:val="ListParagraph"/>
        <w:numPr>
          <w:ilvl w:val="0"/>
          <w:numId w:val="2"/>
        </w:numPr>
        <w:spacing w:after="40" w:before="40"/>
      </w:pPr>
      <w:r>
        <w:rPr>
          <w:rFonts w:ascii="Arial" w:cs="Arial" w:eastAsia="Arial" w:hAnsi="Arial"/>
          <w:sz w:val="22"/>
          <w:szCs w:val="22"/>
        </w:rPr>
        <w:t xml:space="preserve">High staff turnover in key quality and technical roles</w:t>
      </w:r>
    </w:p>
    <w:p>
      <w:pPr>
        <w:pStyle w:val="ListParagraph"/>
        <w:numPr>
          <w:ilvl w:val="0"/>
          <w:numId w:val="2"/>
        </w:numPr>
        <w:spacing w:after="40" w:before="40"/>
      </w:pPr>
      <w:r>
        <w:rPr>
          <w:rFonts w:ascii="Arial" w:cs="Arial" w:eastAsia="Arial" w:hAnsi="Arial"/>
          <w:sz w:val="22"/>
          <w:szCs w:val="22"/>
        </w:rPr>
        <w:t xml:space="preserve">Adverse feedback from other buyers or industry contacts</w:t>
      </w:r>
    </w:p>
    <w:p>
      <w:pPr>
        <w:pStyle w:val="Heading2"/>
        <w:spacing w:after="80" w:before="200"/>
      </w:pPr>
      <w:r>
        <w:rPr>
          <w:rFonts w:ascii="Arial" w:cs="Arial" w:eastAsia="Arial" w:hAnsi="Arial"/>
          <w:b/>
          <w:bCs/>
          <w:color w:val="7B2D8B"/>
          <w:sz w:val="26"/>
          <w:szCs w:val="26"/>
        </w:rPr>
        <w:t xml:space="preserve">6.2 The Escalation Process</w:t>
      </w:r>
    </w:p>
    <w:p>
      <w:pPr>
        <w:spacing w:after="60" w:before="60"/>
      </w:pPr>
      <w:r>
        <w:rPr>
          <w:rFonts w:ascii="Arial" w:cs="Arial" w:eastAsia="Arial" w:hAnsi="Arial"/>
          <w:b w:val="false"/>
          <w:bCs w:val="false"/>
          <w:i w:val="false"/>
          <w:iCs w:val="false"/>
          <w:color w:val="000000"/>
          <w:sz w:val="22"/>
          <w:szCs w:val="22"/>
        </w:rPr>
        <w:t xml:space="preserve">When underperformance is identified, a structured escalation process should be followed:</w:t>
      </w:r>
    </w:p>
    <w:p>
      <w:pPr>
        <w:pStyle w:val="ListParagraph"/>
        <w:numPr>
          <w:ilvl w:val="0"/>
          <w:numId w:val="3"/>
        </w:numPr>
        <w:spacing w:after="40" w:before="40"/>
      </w:pPr>
      <w:r>
        <w:rPr>
          <w:rFonts w:ascii="Arial" w:cs="Arial" w:eastAsia="Arial" w:hAnsi="Arial"/>
          <w:sz w:val="22"/>
          <w:szCs w:val="22"/>
        </w:rPr>
        <w:t xml:space="preserve">Raise the concern directly with the supplier quality manager and request an explanation and corrective action plan</w:t>
      </w:r>
    </w:p>
    <w:p>
      <w:pPr>
        <w:pStyle w:val="ListParagraph"/>
        <w:numPr>
          <w:ilvl w:val="0"/>
          <w:numId w:val="3"/>
        </w:numPr>
        <w:spacing w:after="40" w:before="40"/>
      </w:pPr>
      <w:r>
        <w:rPr>
          <w:rFonts w:ascii="Arial" w:cs="Arial" w:eastAsia="Arial" w:hAnsi="Arial"/>
          <w:sz w:val="22"/>
          <w:szCs w:val="22"/>
        </w:rPr>
        <w:t xml:space="preserve">If the response is inadequate or the issue persists, escalate to the supplier's senior management</w:t>
      </w:r>
    </w:p>
    <w:p>
      <w:pPr>
        <w:pStyle w:val="ListParagraph"/>
        <w:numPr>
          <w:ilvl w:val="0"/>
          <w:numId w:val="3"/>
        </w:numPr>
        <w:spacing w:after="40" w:before="40"/>
      </w:pPr>
      <w:r>
        <w:rPr>
          <w:rFonts w:ascii="Arial" w:cs="Arial" w:eastAsia="Arial" w:hAnsi="Arial"/>
          <w:sz w:val="22"/>
          <w:szCs w:val="22"/>
        </w:rPr>
        <w:t xml:space="preserve">If escalation fails to produce improvement, initiate a formal Supplier Improvement Notice and set a defined improvement period with measurable targets</w:t>
      </w:r>
    </w:p>
    <w:p>
      <w:pPr>
        <w:pStyle w:val="ListParagraph"/>
        <w:numPr>
          <w:ilvl w:val="0"/>
          <w:numId w:val="3"/>
        </w:numPr>
        <w:spacing w:after="40" w:before="40"/>
      </w:pPr>
      <w:r>
        <w:rPr>
          <w:rFonts w:ascii="Arial" w:cs="Arial" w:eastAsia="Arial" w:hAnsi="Arial"/>
          <w:sz w:val="22"/>
          <w:szCs w:val="22"/>
        </w:rPr>
        <w:t xml:space="preserve">Conduct a special audit or surveillance visit to assess progress</w:t>
      </w:r>
    </w:p>
    <w:p>
      <w:pPr>
        <w:pStyle w:val="ListParagraph"/>
        <w:numPr>
          <w:ilvl w:val="0"/>
          <w:numId w:val="3"/>
        </w:numPr>
        <w:spacing w:after="40" w:before="40"/>
      </w:pPr>
      <w:r>
        <w:rPr>
          <w:rFonts w:ascii="Arial" w:cs="Arial" w:eastAsia="Arial" w:hAnsi="Arial"/>
          <w:sz w:val="22"/>
          <w:szCs w:val="22"/>
        </w:rPr>
        <w:t xml:space="preserve">If the improvement period concludes without adequate improvement, escalate to suspension or removal from the ASL</w:t>
      </w:r>
    </w:p>
    <w:p>
      <w:pPr>
        <w:spacing w:after="60" w:before="60"/>
      </w:pPr>
      <w:r>
        <w:rPr>
          <w:rFonts w:ascii="Arial" w:cs="Arial" w:eastAsia="Arial" w:hAnsi="Arial"/>
          <w:b w:val="false"/>
          <w:bCs w:val="false"/>
          <w:i w:val="false"/>
          <w:iCs w:val="false"/>
          <w:color w:val="000000"/>
          <w:sz w:val="22"/>
          <w:szCs w:val="22"/>
        </w:rPr>
        <w:t xml:space="preserve">All escalation actions must be documented. If a supplier is suspended or removed, the reason must be recorded and the decision communicated to the supplier in writing.</w:t>
      </w:r>
    </w:p>
    <w:p>
      <w:pPr>
        <w:pStyle w:val="Heading2"/>
        <w:spacing w:after="80" w:before="200"/>
      </w:pPr>
      <w:r>
        <w:rPr>
          <w:rFonts w:ascii="Arial" w:cs="Arial" w:eastAsia="Arial" w:hAnsi="Arial"/>
          <w:b/>
          <w:bCs/>
          <w:color w:val="7B2D8B"/>
          <w:sz w:val="26"/>
          <w:szCs w:val="26"/>
        </w:rPr>
        <w:t xml:space="preserve">6.3 Reporting to Buyers</w:t>
      </w:r>
    </w:p>
    <w:p>
      <w:pPr>
        <w:spacing w:after="60" w:before="60"/>
      </w:pPr>
      <w:r>
        <w:rPr>
          <w:rFonts w:ascii="Arial" w:cs="Arial" w:eastAsia="Arial" w:hAnsi="Arial"/>
          <w:b w:val="false"/>
          <w:bCs w:val="false"/>
          <w:i w:val="false"/>
          <w:iCs w:val="false"/>
          <w:color w:val="000000"/>
          <w:sz w:val="22"/>
          <w:szCs w:val="22"/>
        </w:rPr>
        <w:t xml:space="preserve">If supplier non-performance affects a contract with a nuclear buyer, you are obliged to notify the buyer promptly. Do not attempt to manage the situation internally without informing the buyer if it creates any risk to delivery or quality. Nuclear buyers expect transparency and will respond much better to early notification than to discovering issues at inspection or handover.</w:t>
      </w:r>
    </w:p>
    <w:p>
      <w:r>
        <w:br w:type="page"/>
      </w:r>
    </w:p>
    <w:p>
      <w:pPr>
        <w:pStyle w:val="Heading1"/>
        <w:spacing w:after="120" w:before="300"/>
      </w:pPr>
      <w:r>
        <w:rPr>
          <w:rFonts w:ascii="Arial" w:cs="Arial" w:eastAsia="Arial" w:hAnsi="Arial"/>
          <w:b/>
          <w:bCs/>
          <w:color w:val="29ABE2"/>
          <w:sz w:val="32"/>
          <w:szCs w:val="32"/>
        </w:rPr>
        <w:t xml:space="preserve">7. Supplier Development</w:t>
      </w:r>
    </w:p>
    <w:p>
      <w:pPr>
        <w:pStyle w:val="Heading2"/>
        <w:spacing w:after="80" w:before="200"/>
      </w:pPr>
      <w:r>
        <w:rPr>
          <w:rFonts w:ascii="Arial" w:cs="Arial" w:eastAsia="Arial" w:hAnsi="Arial"/>
          <w:b/>
          <w:bCs/>
          <w:color w:val="7B2D8B"/>
          <w:sz w:val="26"/>
          <w:szCs w:val="26"/>
        </w:rPr>
        <w:t xml:space="preserve">7.1 Supporting Suppliers in Meeting Nuclear Requirements</w:t>
      </w:r>
    </w:p>
    <w:p>
      <w:pPr>
        <w:spacing w:after="60" w:before="60"/>
      </w:pPr>
      <w:r>
        <w:rPr>
          <w:rFonts w:ascii="Arial" w:cs="Arial" w:eastAsia="Arial" w:hAnsi="Arial"/>
          <w:b w:val="false"/>
          <w:bCs w:val="false"/>
          <w:i w:val="false"/>
          <w:iCs w:val="false"/>
          <w:color w:val="000000"/>
          <w:sz w:val="22"/>
          <w:szCs w:val="22"/>
        </w:rPr>
        <w:t xml:space="preserve">Not every supplier that you wish to use will initially meet the full requirements for nuclear approval. Where a supplier has genuine capability and willingness to develop, it may be worth investing in a structured development programme rather than simply declining to use them.</w:t>
      </w:r>
    </w:p>
    <w:p>
      <w:pPr>
        <w:spacing w:after="60" w:before="60"/>
      </w:pPr>
      <w:r>
        <w:rPr>
          <w:rFonts w:ascii="Arial" w:cs="Arial" w:eastAsia="Arial" w:hAnsi="Arial"/>
          <w:b w:val="false"/>
          <w:bCs w:val="false"/>
          <w:i w:val="false"/>
          <w:iCs w:val="false"/>
          <w:color w:val="000000"/>
          <w:sz w:val="22"/>
          <w:szCs w:val="22"/>
        </w:rPr>
        <w:t xml:space="preserve">Supplier development activities might include:</w:t>
      </w:r>
    </w:p>
    <w:p>
      <w:pPr>
        <w:pStyle w:val="ListParagraph"/>
        <w:numPr>
          <w:ilvl w:val="0"/>
          <w:numId w:val="2"/>
        </w:numPr>
        <w:spacing w:after="40" w:before="40"/>
      </w:pPr>
      <w:r>
        <w:rPr>
          <w:rFonts w:ascii="Arial" w:cs="Arial" w:eastAsia="Arial" w:hAnsi="Arial"/>
          <w:sz w:val="22"/>
          <w:szCs w:val="22"/>
        </w:rPr>
        <w:t xml:space="preserve">Sharing the audit findings and qualification criteria in detail, so the supplier understands exactly what is needed</w:t>
      </w:r>
    </w:p>
    <w:p>
      <w:pPr>
        <w:pStyle w:val="ListParagraph"/>
        <w:numPr>
          <w:ilvl w:val="0"/>
          <w:numId w:val="2"/>
        </w:numPr>
        <w:spacing w:after="40" w:before="40"/>
      </w:pPr>
      <w:r>
        <w:rPr>
          <w:rFonts w:ascii="Arial" w:cs="Arial" w:eastAsia="Arial" w:hAnsi="Arial"/>
          <w:sz w:val="22"/>
          <w:szCs w:val="22"/>
        </w:rPr>
        <w:t xml:space="preserve">Providing access to training resources, including nuclear safety culture and quality management programmes</w:t>
      </w:r>
    </w:p>
    <w:p>
      <w:pPr>
        <w:pStyle w:val="ListParagraph"/>
        <w:numPr>
          <w:ilvl w:val="0"/>
          <w:numId w:val="2"/>
        </w:numPr>
        <w:spacing w:after="40" w:before="40"/>
      </w:pPr>
      <w:r>
        <w:rPr>
          <w:rFonts w:ascii="Arial" w:cs="Arial" w:eastAsia="Arial" w:hAnsi="Arial"/>
          <w:sz w:val="22"/>
          <w:szCs w:val="22"/>
        </w:rPr>
        <w:t xml:space="preserve">Offering a follow-up pre-audit to assess progress before a formal qualification audit is conducted</w:t>
      </w:r>
    </w:p>
    <w:p>
      <w:pPr>
        <w:pStyle w:val="ListParagraph"/>
        <w:numPr>
          <w:ilvl w:val="0"/>
          <w:numId w:val="2"/>
        </w:numPr>
        <w:spacing w:after="40" w:before="40"/>
      </w:pPr>
      <w:r>
        <w:rPr>
          <w:rFonts w:ascii="Arial" w:cs="Arial" w:eastAsia="Arial" w:hAnsi="Arial"/>
          <w:sz w:val="22"/>
          <w:szCs w:val="22"/>
        </w:rPr>
        <w:t xml:space="preserve">Facilitating introductions to industry organisations and training providers</w:t>
      </w:r>
    </w:p>
    <w:p>
      <w:pPr>
        <w:spacing w:after="60" w:before="60"/>
      </w:pPr>
      <w:r>
        <w:rPr>
          <w:rFonts w:ascii="Arial" w:cs="Arial" w:eastAsia="Arial" w:hAnsi="Arial"/>
          <w:b w:val="false"/>
          <w:bCs w:val="false"/>
          <w:i w:val="false"/>
          <w:iCs w:val="false"/>
          <w:color w:val="000000"/>
          <w:sz w:val="22"/>
          <w:szCs w:val="22"/>
        </w:rPr>
        <w:t xml:space="preserve">Supplier development requires an investment of time and resource, and should be prioritised for suppliers who are strategically important to your business. It should not be used as a reason to continue using non-approved suppliers on nuclear work.</w:t>
      </w:r>
    </w:p>
    <w:p>
      <w:pPr>
        <w:pStyle w:val="Heading2"/>
        <w:spacing w:after="80" w:before="200"/>
      </w:pPr>
      <w:r>
        <w:rPr>
          <w:rFonts w:ascii="Arial" w:cs="Arial" w:eastAsia="Arial" w:hAnsi="Arial"/>
          <w:b/>
          <w:bCs/>
          <w:color w:val="7B2D8B"/>
          <w:sz w:val="26"/>
          <w:szCs w:val="26"/>
        </w:rPr>
        <w:t xml:space="preserve">7.2 Collaborative Improvement</w:t>
      </w:r>
    </w:p>
    <w:p>
      <w:pPr>
        <w:spacing w:after="60" w:before="60"/>
      </w:pPr>
      <w:r>
        <w:rPr>
          <w:rFonts w:ascii="Arial" w:cs="Arial" w:eastAsia="Arial" w:hAnsi="Arial"/>
          <w:b w:val="false"/>
          <w:bCs w:val="false"/>
          <w:i w:val="false"/>
          <w:iCs w:val="false"/>
          <w:color w:val="000000"/>
          <w:sz w:val="22"/>
          <w:szCs w:val="22"/>
        </w:rPr>
        <w:t xml:space="preserve">The most mature approach to nuclear supply chain management involves genuine collaboration with approved suppliers on shared improvement goals. This might include:</w:t>
      </w:r>
    </w:p>
    <w:p>
      <w:pPr>
        <w:pStyle w:val="ListParagraph"/>
        <w:numPr>
          <w:ilvl w:val="0"/>
          <w:numId w:val="2"/>
        </w:numPr>
        <w:spacing w:after="40" w:before="40"/>
      </w:pPr>
      <w:r>
        <w:rPr>
          <w:rFonts w:ascii="Arial" w:cs="Arial" w:eastAsia="Arial" w:hAnsi="Arial"/>
          <w:sz w:val="22"/>
          <w:szCs w:val="22"/>
        </w:rPr>
        <w:t xml:space="preserve">Joint problem-solving on recurring quality issues</w:t>
      </w:r>
    </w:p>
    <w:p>
      <w:pPr>
        <w:pStyle w:val="ListParagraph"/>
        <w:numPr>
          <w:ilvl w:val="0"/>
          <w:numId w:val="2"/>
        </w:numPr>
        <w:spacing w:after="40" w:before="40"/>
      </w:pPr>
      <w:r>
        <w:rPr>
          <w:rFonts w:ascii="Arial" w:cs="Arial" w:eastAsia="Arial" w:hAnsi="Arial"/>
          <w:sz w:val="22"/>
          <w:szCs w:val="22"/>
        </w:rPr>
        <w:t xml:space="preserve">Shared investment in new inspection or testing capability</w:t>
      </w:r>
    </w:p>
    <w:p>
      <w:pPr>
        <w:pStyle w:val="ListParagraph"/>
        <w:numPr>
          <w:ilvl w:val="0"/>
          <w:numId w:val="2"/>
        </w:numPr>
        <w:spacing w:after="40" w:before="40"/>
      </w:pPr>
      <w:r>
        <w:rPr>
          <w:rFonts w:ascii="Arial" w:cs="Arial" w:eastAsia="Arial" w:hAnsi="Arial"/>
          <w:sz w:val="22"/>
          <w:szCs w:val="22"/>
        </w:rPr>
        <w:t xml:space="preserve">Participation in nuclear industry working groups and operational experience sharing</w:t>
      </w:r>
    </w:p>
    <w:p>
      <w:pPr>
        <w:pStyle w:val="ListParagraph"/>
        <w:numPr>
          <w:ilvl w:val="0"/>
          <w:numId w:val="2"/>
        </w:numPr>
        <w:spacing w:after="40" w:before="40"/>
      </w:pPr>
      <w:r>
        <w:rPr>
          <w:rFonts w:ascii="Arial" w:cs="Arial" w:eastAsia="Arial" w:hAnsi="Arial"/>
          <w:sz w:val="22"/>
          <w:szCs w:val="22"/>
        </w:rPr>
        <w:t xml:space="preserve">Regular joint reviews of supply chain risk and resilience</w:t>
      </w:r>
    </w:p>
    <w:p>
      <w:pPr>
        <w:spacing w:after="60" w:before="60"/>
      </w:pPr>
      <w:r>
        <w:rPr>
          <w:rFonts w:ascii="Arial" w:cs="Arial" w:eastAsia="Arial" w:hAnsi="Arial"/>
          <w:b w:val="false"/>
          <w:bCs w:val="false"/>
          <w:i w:val="false"/>
          <w:iCs w:val="false"/>
          <w:color w:val="000000"/>
          <w:sz w:val="22"/>
          <w:szCs w:val="22"/>
        </w:rPr>
        <w:t xml:space="preserve">Collaboration creates more resilient supply chains and stronger supplier relationships that are able to withstand the pressures of complex nuclear projects.</w:t>
      </w:r>
    </w:p>
    <w:p>
      <w:r>
        <w:br w:type="page"/>
      </w:r>
    </w:p>
    <w:p>
      <w:pPr>
        <w:pStyle w:val="Heading1"/>
        <w:spacing w:after="120" w:before="300"/>
      </w:pPr>
      <w:r>
        <w:rPr>
          <w:rFonts w:ascii="Arial" w:cs="Arial" w:eastAsia="Arial" w:hAnsi="Arial"/>
          <w:b/>
          <w:bCs/>
          <w:color w:val="29ABE2"/>
          <w:sz w:val="32"/>
          <w:szCs w:val="32"/>
        </w:rPr>
        <w:t xml:space="preserve">8. Audit Competence Requirements</w:t>
      </w:r>
    </w:p>
    <w:p>
      <w:pPr>
        <w:spacing w:after="60" w:before="60"/>
      </w:pPr>
      <w:r>
        <w:rPr>
          <w:rFonts w:ascii="Arial" w:cs="Arial" w:eastAsia="Arial" w:hAnsi="Arial"/>
          <w:b w:val="false"/>
          <w:bCs w:val="false"/>
          <w:i w:val="false"/>
          <w:iCs w:val="false"/>
          <w:color w:val="000000"/>
          <w:sz w:val="22"/>
          <w:szCs w:val="22"/>
        </w:rPr>
        <w:t xml:space="preserve">Lead auditors conducting nuclear supplier audits must be suitably qualified and experienced. As a minimum, a nuclear supplier audit lead should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audit qualification</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auditor trained to ISO 19011 or equivalent, from an accredited training provider</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management system knowledge</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Thorough knowledge of ISO 9001 and preferably ISO 19443</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sector knowledge</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of nuclear safety culture, quality grading, CFSI controls and regulatory framework</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knowledge</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Sufficient technical knowledge of the processes being audited to evaluate whether they are adequate</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Practical experience</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Experience of conducting at least five audits as lead auditor before auditing nuclear suppliers independently</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 development</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continuing professional development to maintain knowledge of regulatory and industry developments</w:t>
            </w:r>
          </w:p>
        </w:tc>
      </w:tr>
    </w:tbl>
    <w:p>
      <w:pPr>
        <w:spacing w:after="60" w:before="60"/>
      </w:pPr>
      <w:r>
        <w:rPr>
          <w:rFonts w:ascii="Arial" w:cs="Arial" w:eastAsia="Arial" w:hAnsi="Arial"/>
          <w:b w:val="false"/>
          <w:bCs w:val="false"/>
          <w:i w:val="false"/>
          <w:iCs w:val="false"/>
          <w:color w:val="000000"/>
          <w:sz w:val="22"/>
          <w:szCs w:val="22"/>
        </w:rPr>
        <w:t xml:space="preserve">Audit competence should be formally assessed and recorded as part of your competence management system. Audit records should identify the lead auditor by name and qualification level.</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2eda31393aae68c5235126f9b3475deb69620a6c.jpg"/></Relationships>
</file>

<file path=word/_rels/header1.xml.rels><?xml version='1.0' encoding='UTF-8' standalone='yes'?>
<Relationships xmlns="http://schemas.openxmlformats.org/package/2006/relationships"><Relationship Id="rId0" Type="http://schemas.openxmlformats.org/officeDocument/2006/relationships/image" Target="media/18ce91d465f61e78c90e8fc0e18af39cf6d62cef.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D599FC-9478-49DE-A5FF-02E633CF6234}"/>
</file>

<file path=customXml/itemProps2.xml><?xml version="1.0" encoding="utf-8"?>
<ds:datastoreItem xmlns:ds="http://schemas.openxmlformats.org/officeDocument/2006/customXml" ds:itemID="{C115B3DE-B4E2-48B4-AF15-C489E67130FD}"/>
</file>

<file path=customXml/itemProps3.xml><?xml version="1.0" encoding="utf-8"?>
<ds:datastoreItem xmlns:ds="http://schemas.openxmlformats.org/officeDocument/2006/customXml" ds:itemID="{F8DD0DC8-EFE2-41F8-8AE6-D54DB3D06A7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NSS-06-TG-02 Supplier Qualification and Audit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