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jc w:val="center"/>
        <w:spacing w:before="600"/>
      </w:pPr>
      <w:r>
        <w:rPr>
          <w:rFonts w:ascii="Arial" w:hAnsi="Arial"/>
          <w:b/>
          <w:color w:val="009FE3"/>
          <w:sz w:val="44"/>
        </w:rPr>
        <w:t xml:space="preserve">FLOW-DOWN OF NUCLEAR REQUIREMENTS</w:t>
      </w:r>
    </w:p>
    <w:p>
      <w:pPr>
        <w:jc w:val="center"/>
      </w:pPr>
      <w:r>
        <w:rPr>
          <w:rFonts w:ascii="Arial" w:hAnsi="Arial"/>
          <w:color w:val="83348F"/>
          <w:sz w:val="24"/>
        </w:rPr>
        <w:t xml:space="preserve">Managing Subcontractor Compliance in the Nuclear Supply Chain</w:t>
      </w:r>
    </w:p>
    <w:p>
      <w:pPr>
        <w:jc w:val="center"/>
      </w:pPr>
      <w:r>
        <w:rPr>
          <w:rFonts w:ascii="Arial" w:hAnsi="Arial"/>
          <w:color w:val="5B595A"/>
          <w:sz w:val="20"/>
        </w:rPr>
        <w:t xml:space="preserve">A working guide to ensuring nuclear requirements are effectively communicated and controlled throughout all tiers of the supply chain</w:t>
      </w:r>
    </w:p>
    <w:p>
      <w:pPr>
        <w:jc w:val="center"/>
      </w:pPr>
      <w:r>
        <w:rPr>
          <w:rFonts w:ascii="Arial" w:hAnsi="Arial"/>
          <w:color w:val="5B595A"/>
          <w:sz w:val="24"/>
        </w:rPr>
        <w:t xml:space="preserve">[Company Name]  |  NSS-06-TG-03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Document Control</w:t>
      </w:r>
    </w:p>
    <w:tbl>
      <w:tblPr>
        <w:tblW w:type="auto" w:w="0"/>
      </w:tblPr>
      <w:tblGrid>
        <w:gridCol w:w="1200"/>
        <w:gridCol w:w="1800"/>
        <w:gridCol w:w="2400"/>
        <w:gridCol w:w="4354"/>
      </w:tblGrid>
      <w:tr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Author</w:t>
            </w:r>
          </w:p>
        </w:tc>
        <w:tc>
          <w:tcPr>
            <w:tcW w:type="dxa" w:w="43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29/06/2026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[Company Name]</w:t>
            </w:r>
          </w:p>
        </w:tc>
        <w:tc>
          <w:tcPr>
            <w:tcW w:type="dxa" w:w="43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Initial issue</w:t>
            </w:r>
          </w:p>
        </w:tc>
      </w:tr>
    </w:tbl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1.  Introduction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In nuclear projects, responsibility for quality and safety does not stop at your organisation's boundary. If you use subcontractors to perform work that contributes to a nuclear delivery, you are responsible for ensuring that they understand and apply the same nuclear requirements that your customer has placed on you.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This is the principle of requirements flow-down: the systematic communication and verification of nuclear requirements from the top-tier buyer, through each tier of the supply chain, to every organisation that performs work or supplies materials that contribute to the final nuclear product or service.</w:t>
      </w:r>
    </w:p>
    <w:p>
      <w:pPr>
        <w:spacing w:before="0" w:after="80"/>
      </w:pPr>
      <w:r>
        <w:rPr>
          <w:rFonts w:ascii="Arial" w:hAnsi="Arial"/>
          <w:b/>
          <w:color w:val="1F2D40"/>
          <w:sz w:val="20"/>
        </w:rPr>
        <w:t xml:space="preserve">Responsibility for nuclear safety in the supply chain is not diluted by subcontracting. If you subcontract a nuclear activity, you remain accountable for the quality and safety of the work delivered.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This guide explains what effective flow-down looks like in practice, how to structure purchase orders and subcontracts to communicate requirements, how to verify that subcontractors are applying them, and how to manage changes and deviations.</w:t>
      </w:r>
    </w:p>
    <w:p>
      <w:pPr>
        <w:spacing w:before="0" w:after="0"/>
      </w:pPr>
    </w:p>
    <w:p>
      <w:pPr>
        <w:spacing w:before="160" w:after="60"/>
      </w:pPr>
      <w:r>
        <w:rPr>
          <w:rFonts w:ascii="Arial" w:hAnsi="Arial"/>
          <w:b/>
          <w:color w:val="83348F"/>
          <w:sz w:val="22"/>
        </w:rPr>
        <w:t xml:space="preserve">1.1  Why Flow-Down Fails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In practice, flow-down breaks down for predictable reasons: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Nuclear requirements are stated in high-level contracts but not translated into the subcontractor's purchase order.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Subcontractors are assumed to know nuclear requirements because they hold ISO 9001 or have worked in the sector before.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Requirements are communicated verbally rather than in writing.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Purchase orders reference general quality requirements but not the specific nuclear grade, applicable codes or documentation expectations.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Changes to requirements made during the project are not communicated to subcontractors in time.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These failures can result in non-conformances discovered late in the manufacturing process, delays to inspection and testing, and, in the worst cases, items delivered to site that do not meet the safety case requirements.</w:t>
      </w:r>
    </w:p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2.  What Must Be Flowed Down</w:t>
      </w:r>
    </w:p>
    <w:p>
      <w:pPr>
        <w:spacing w:before="160" w:after="60"/>
      </w:pPr>
      <w:r>
        <w:rPr>
          <w:rFonts w:ascii="Arial" w:hAnsi="Arial"/>
          <w:b/>
          <w:color w:val="83348F"/>
          <w:sz w:val="22"/>
        </w:rPr>
        <w:t xml:space="preserve">2.1  Mandatory Flow-Down Elements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For any subcontract that involves nuclear-grade work, the following elements must be communicated in writing, either in the purchase order or an attached technical specification:</w:t>
      </w:r>
    </w:p>
    <w:tbl>
      <w:tblPr>
        <w:tblW w:type="auto" w:w="0"/>
      </w:tblPr>
      <w:tblGrid>
        <w:gridCol w:w="3000"/>
        <w:gridCol w:w="3500"/>
        <w:gridCol w:w="3254"/>
      </w:tblGrid>
      <w:tr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Element</w:t>
            </w:r>
          </w:p>
        </w:tc>
        <w:tc>
          <w:tcPr>
            <w:tcW w:type="dxa" w:w="3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Why It Must Be Communicated</w:t>
            </w:r>
          </w:p>
        </w:tc>
        <w:tc>
          <w:tcPr>
            <w:tcW w:type="dxa" w:w="3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How It Is Typically Communicated</w:t>
            </w:r>
          </w:p>
        </w:tc>
      </w:tr>
      <w:tr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Nuclear safety classification</w:t>
            </w:r>
          </w:p>
        </w:tc>
        <w:tc>
          <w:tcPr>
            <w:tcW w:type="dxa" w:w="3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The subcontractor must know the grade of the item to apply the correct quality programme.</w:t>
            </w:r>
          </w:p>
        </w:tc>
        <w:tc>
          <w:tcPr>
            <w:tcW w:type="dxa" w:w="3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Specification clause or purchase order condition</w:t>
            </w:r>
          </w:p>
        </w:tc>
      </w:tr>
      <w:tr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Applicable codes and standards</w:t>
            </w:r>
          </w:p>
        </w:tc>
        <w:tc>
          <w:tcPr>
            <w:tcW w:type="dxa" w:w="3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The subcontractor must know which technical standards govern their work.</w:t>
            </w:r>
          </w:p>
        </w:tc>
        <w:tc>
          <w:tcPr>
            <w:tcW w:type="dxa" w:w="3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Purchase order or appended specification</w:t>
            </w:r>
          </w:p>
        </w:tc>
      </w:tr>
      <w:tr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Quality plan requirement</w:t>
            </w:r>
          </w:p>
        </w:tc>
        <w:tc>
          <w:tcPr>
            <w:tcW w:type="dxa" w:w="3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Where a quality plan is required, the subcontractor must know this before work starts.</w:t>
            </w:r>
          </w:p>
        </w:tc>
        <w:tc>
          <w:tcPr>
            <w:tcW w:type="dxa" w:w="3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Purchase order condition with approval route defined</w:t>
            </w:r>
          </w:p>
        </w:tc>
      </w:tr>
      <w:tr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ITP and hold / witness points</w:t>
            </w:r>
          </w:p>
        </w:tc>
        <w:tc>
          <w:tcPr>
            <w:tcW w:type="dxa" w:w="3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The subcontractor must submit an ITP and not pass hold points without your sign-off or waiver.</w:t>
            </w:r>
          </w:p>
        </w:tc>
        <w:tc>
          <w:tcPr>
            <w:tcW w:type="dxa" w:w="3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ITP requirement stated in PO; hold points defined</w:t>
            </w:r>
          </w:p>
        </w:tc>
      </w:tr>
      <w:tr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CFSI requirements</w:t>
            </w:r>
          </w:p>
        </w:tc>
        <w:tc>
          <w:tcPr>
            <w:tcW w:type="dxa" w:w="3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The subcontractor must source from approved channels and maintain material traceability.</w:t>
            </w:r>
          </w:p>
        </w:tc>
        <w:tc>
          <w:tcPr>
            <w:tcW w:type="dxa" w:w="3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CFSI clause in purchase order terms and conditions</w:t>
            </w:r>
          </w:p>
        </w:tc>
      </w:tr>
      <w:tr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Right of access</w:t>
            </w:r>
          </w:p>
        </w:tc>
        <w:tc>
          <w:tcPr>
            <w:tcW w:type="dxa" w:w="3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You must retain the right to inspect and audit the subcontractor's premises and any sub-tier suppliers.</w:t>
            </w:r>
          </w:p>
        </w:tc>
        <w:tc>
          <w:tcPr>
            <w:tcW w:type="dxa" w:w="3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Standard purchase order condition</w:t>
            </w:r>
          </w:p>
        </w:tc>
      </w:tr>
      <w:tr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Documentation requirements</w:t>
            </w:r>
          </w:p>
        </w:tc>
        <w:tc>
          <w:tcPr>
            <w:tcW w:type="dxa" w:w="3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The subcontractor must know exactly what records to deliver with the item.</w:t>
            </w:r>
          </w:p>
        </w:tc>
        <w:tc>
          <w:tcPr>
            <w:tcW w:type="dxa" w:w="3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Appended documentation register or PO schedule</w:t>
            </w:r>
          </w:p>
        </w:tc>
      </w:tr>
      <w:tr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Non-conformance reporting</w:t>
            </w:r>
          </w:p>
        </w:tc>
        <w:tc>
          <w:tcPr>
            <w:tcW w:type="dxa" w:w="3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The subcontractor must notify you of any non-conformance before proceeding.</w:t>
            </w:r>
          </w:p>
        </w:tc>
        <w:tc>
          <w:tcPr>
            <w:tcW w:type="dxa" w:w="3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Purchase order condition; NCR procedure reference</w:t>
            </w:r>
          </w:p>
        </w:tc>
      </w:tr>
      <w:tr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Change control</w:t>
            </w:r>
          </w:p>
        </w:tc>
        <w:tc>
          <w:tcPr>
            <w:tcW w:type="dxa" w:w="3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Any proposed changes to materials, processes or design must be notified and approved before implementation.</w:t>
            </w:r>
          </w:p>
        </w:tc>
        <w:tc>
          <w:tcPr>
            <w:tcW w:type="dxa" w:w="3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Purchase order condition; reference to change control procedure</w:t>
            </w:r>
          </w:p>
        </w:tc>
      </w:tr>
      <w:tr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Retention period for records</w:t>
            </w:r>
          </w:p>
        </w:tc>
        <w:tc>
          <w:tcPr>
            <w:tcW w:type="dxa" w:w="3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The subcontractor must retain records for the required period.</w:t>
            </w:r>
          </w:p>
        </w:tc>
        <w:tc>
          <w:tcPr>
            <w:tcW w:type="dxa" w:w="3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Purchase order condition — typically "life of plant plus 30 years" for safety-significant items</w:t>
            </w:r>
          </w:p>
        </w:tc>
      </w:tr>
    </w:tbl>
    <w:p>
      <w:pPr>
        <w:spacing w:before="0" w:after="0"/>
      </w:pPr>
    </w:p>
    <w:p>
      <w:pPr>
        <w:spacing w:before="160" w:after="60"/>
      </w:pPr>
      <w:r>
        <w:rPr>
          <w:rFonts w:ascii="Arial" w:hAnsi="Arial"/>
          <w:b/>
          <w:color w:val="83348F"/>
          <w:sz w:val="22"/>
        </w:rPr>
        <w:t xml:space="preserve">2.2  Proportionality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Not all subcontracts require the same level of flow-down detail. The depth and formality of flow-down should be proportionate to: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The nuclear safety classification of the item or service.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The complexity of the work being subcontracted.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The subcontractor's experience and track record in nuclear work.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The level of risk associated with the procurement (including CFSI risk).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A subcontract for a safety-class pressure vessel requires a very different flow-down regime from a subcontract for general consumables used in non-nuclear activities on the same site.</w:t>
      </w:r>
    </w:p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3.  Structuring the Purchase Order</w:t>
      </w:r>
    </w:p>
    <w:p>
      <w:pPr>
        <w:spacing w:before="160" w:after="60"/>
      </w:pPr>
      <w:r>
        <w:rPr>
          <w:rFonts w:ascii="Arial" w:hAnsi="Arial"/>
          <w:b/>
          <w:color w:val="83348F"/>
          <w:sz w:val="22"/>
        </w:rPr>
        <w:t xml:space="preserve">3.1  Nuclear Purchase Order Structure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A nuclear purchase order is more than a commercial document. It is the mechanism by which requirements are formally communicated and contractually binding. A well-structured nuclear purchase order should contain the following parts:</w:t>
      </w:r>
    </w:p>
    <w:p>
      <w:pPr>
        <w:spacing w:before="160" w:after="60"/>
      </w:pPr>
      <w:r>
        <w:rPr>
          <w:rFonts w:ascii="Arial" w:hAnsi="Arial"/>
          <w:b/>
          <w:color w:val="83348F"/>
          <w:sz w:val="22"/>
        </w:rPr>
        <w:t xml:space="preserve">Part 1: Commercial Terms</w:t>
      </w:r>
    </w:p>
    <w:p>
      <w:pPr>
        <w:spacing w:before="0" w:after="60"/>
      </w:pPr>
      <w:r>
        <w:rPr>
          <w:rFonts w:ascii="Arial" w:hAnsi="Arial"/>
          <w:color w:val="5B595A"/>
          <w:sz w:val="20"/>
        </w:rPr>
        <w:t xml:space="preserve">Standard commercial terms including price, delivery, payment terms and warranty provisions. Any nuclear-specific commercial conditions — such as the right to suspend work if a hold point is not released — should be included here.</w:t>
      </w:r>
    </w:p>
    <w:p>
      <w:pPr>
        <w:spacing w:before="160" w:after="60"/>
      </w:pPr>
      <w:r>
        <w:rPr>
          <w:rFonts w:ascii="Arial" w:hAnsi="Arial"/>
          <w:b/>
          <w:color w:val="83348F"/>
          <w:sz w:val="22"/>
        </w:rPr>
        <w:t xml:space="preserve">Part 2: Technical Specification</w:t>
      </w:r>
    </w:p>
    <w:p>
      <w:pPr>
        <w:spacing w:before="0" w:after="60"/>
      </w:pPr>
      <w:r>
        <w:rPr>
          <w:rFonts w:ascii="Arial" w:hAnsi="Arial"/>
          <w:color w:val="5B595A"/>
          <w:sz w:val="20"/>
        </w:rPr>
        <w:t xml:space="preserve">The technical requirements including item description, dimensions, materials, performance requirements, applicable codes and standards (with issue numbers), and nuclear safety classification.</w:t>
      </w:r>
    </w:p>
    <w:p>
      <w:pPr>
        <w:spacing w:before="160" w:after="60"/>
      </w:pPr>
      <w:r>
        <w:rPr>
          <w:rFonts w:ascii="Arial" w:hAnsi="Arial"/>
          <w:b/>
          <w:color w:val="83348F"/>
          <w:sz w:val="22"/>
        </w:rPr>
        <w:t xml:space="preserve">Part 3: Quality Requirements</w:t>
      </w:r>
    </w:p>
    <w:p>
      <w:pPr>
        <w:spacing w:before="0" w:after="60"/>
      </w:pPr>
      <w:r>
        <w:rPr>
          <w:rFonts w:ascii="Arial" w:hAnsi="Arial"/>
          <w:color w:val="5B595A"/>
          <w:sz w:val="20"/>
        </w:rPr>
        <w:t xml:space="preserve">The quality programme requirements including the grade of quality plan required, ITP requirements, hold and witness points, SQEP requirements, and any special process qualifications needed.</w:t>
      </w:r>
    </w:p>
    <w:p>
      <w:pPr>
        <w:spacing w:before="160" w:after="60"/>
      </w:pPr>
      <w:r>
        <w:rPr>
          <w:rFonts w:ascii="Arial" w:hAnsi="Arial"/>
          <w:b/>
          <w:color w:val="83348F"/>
          <w:sz w:val="22"/>
        </w:rPr>
        <w:t xml:space="preserve">Part 4: Documentation Requirements</w:t>
      </w:r>
    </w:p>
    <w:p>
      <w:pPr>
        <w:spacing w:before="0" w:after="60"/>
      </w:pPr>
      <w:r>
        <w:rPr>
          <w:rFonts w:ascii="Arial" w:hAnsi="Arial"/>
          <w:color w:val="5B595A"/>
          <w:sz w:val="20"/>
        </w:rPr>
        <w:t xml:space="preserve">A complete list of the documents and records that must be delivered with the item. This should be specific — do not use phrases like "full documentation pack" without defining what this means.</w:t>
      </w:r>
    </w:p>
    <w:p>
      <w:pPr>
        <w:spacing w:before="160" w:after="60"/>
      </w:pPr>
      <w:r>
        <w:rPr>
          <w:rFonts w:ascii="Arial" w:hAnsi="Arial"/>
          <w:b/>
          <w:color w:val="83348F"/>
          <w:sz w:val="22"/>
        </w:rPr>
        <w:t xml:space="preserve">Part 5: CFSI and Traceability Requirements</w:t>
      </w:r>
    </w:p>
    <w:p>
      <w:pPr>
        <w:spacing w:before="0" w:after="60"/>
      </w:pPr>
      <w:r>
        <w:rPr>
          <w:rFonts w:ascii="Arial" w:hAnsi="Arial"/>
          <w:color w:val="5B595A"/>
          <w:sz w:val="20"/>
        </w:rPr>
        <w:t xml:space="preserve">Requirements for sourcing from approved channels, material traceability documentation, and enhanced inspection and testing for CFSI-risk items.</w:t>
      </w:r>
    </w:p>
    <w:p>
      <w:pPr>
        <w:spacing w:before="0" w:after="0"/>
      </w:pPr>
    </w:p>
    <w:p>
      <w:pPr>
        <w:spacing w:before="160" w:after="60"/>
      </w:pPr>
      <w:r>
        <w:rPr>
          <w:rFonts w:ascii="Arial" w:hAnsi="Arial"/>
          <w:b/>
          <w:color w:val="83348F"/>
          <w:sz w:val="22"/>
        </w:rPr>
        <w:t xml:space="preserve">3.2  Common Mistakes in Nuclear Purchase Orders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Avoid the following common mistakes when drafting nuclear purchase orders: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Referencing standards without specifying the issue number or date, allowing the subcontractor to apply the wrong version.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Stating that "nuclear quality requirements apply" without defining what this means for the specific item or service.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Failing to include the right of access clause, which may prevent you from auditing sub-tier suppliers.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Attaching a generic quality requirements schedule that is not tailored to the specific item or service being procured.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Not defining who the responsible person is for approving the quality plan and ITP.</w:t>
      </w:r>
    </w:p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4.  Verifying Flow-Down Effectiveness</w:t>
      </w:r>
    </w:p>
    <w:p>
      <w:pPr>
        <w:spacing w:before="160" w:after="60"/>
      </w:pPr>
      <w:r>
        <w:rPr>
          <w:rFonts w:ascii="Arial" w:hAnsi="Arial"/>
          <w:b/>
          <w:color w:val="83348F"/>
          <w:sz w:val="22"/>
        </w:rPr>
        <w:t xml:space="preserve">4.1  Quality Plan Review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Where a quality plan is required, it is the primary document through which the subcontractor demonstrates their understanding of the requirements. When reviewing a subcontractor's quality plan, check the following: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Has the subcontractor correctly identified the nuclear safety classification of the item?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Have all applicable codes and standards been referenced?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Have all the hold and witness points specified in the purchase order been included in the ITP?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Has the subcontractor included the CFSI controls required by the purchase order?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Has the documentation schedule been correctly reproduced and any additional documents identified?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Are the personnel identified as responsible for key activities confirmed as SQEP for those activities?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If the quality plan does not adequately reflect the purchase order requirements, it must be returned to the subcontractor for revision before work starts.</w:t>
      </w:r>
    </w:p>
    <w:p>
      <w:pPr>
        <w:spacing w:before="0" w:after="0"/>
      </w:pPr>
    </w:p>
    <w:p>
      <w:pPr>
        <w:spacing w:before="160" w:after="60"/>
      </w:pPr>
      <w:r>
        <w:rPr>
          <w:rFonts w:ascii="Arial" w:hAnsi="Arial"/>
          <w:b/>
          <w:color w:val="83348F"/>
          <w:sz w:val="22"/>
        </w:rPr>
        <w:t xml:space="preserve">4.2  ITP Review and Hold Point Management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The Inspection and Test Plan (ITP) defines every inspection and test activity to be performed during manufacture or service delivery. Each hold and witness point you have specified must be: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Clearly identified in the ITP with your organisation's role (e.g. "customer review required" or "hold — customer sign-off required before proceed").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Communicated to the subcontractor in advance so they can plan inspection notification timescales into their programme.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Formally released in writing (typically by signing the ITP record) before the subcontractor proceeds.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Witness points are similar to hold points but allow the subcontractor to proceed if you give notice that you will not attend. Hold points are absolute stops — the subcontractor cannot proceed without your written release regardless of programme pressure.</w:t>
      </w:r>
    </w:p>
    <w:p>
      <w:pPr>
        <w:spacing w:before="0" w:after="0"/>
      </w:pPr>
    </w:p>
    <w:p>
      <w:pPr>
        <w:spacing w:before="160" w:after="60"/>
      </w:pPr>
      <w:r>
        <w:rPr>
          <w:rFonts w:ascii="Arial" w:hAnsi="Arial"/>
          <w:b/>
          <w:color w:val="83348F"/>
          <w:sz w:val="22"/>
        </w:rPr>
        <w:t xml:space="preserve">4.3  Records Review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At delivery, carry out a systematic review of the documentation package submitted by the subcontractor against the documentation requirements in the purchase order. Do not accept delivery until the documentation package is complete and verified.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Incomplete or incorrect documentation is a non-conformance and should be treated as such. Do not accept items into your facility or onto site with outstanding documentation — the documentation is as much a part of the nuclear deliverable as the physical item.</w:t>
      </w:r>
    </w:p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5.  Managing Changes and Deviations</w:t>
      </w:r>
    </w:p>
    <w:p>
      <w:pPr>
        <w:spacing w:before="160" w:after="60"/>
      </w:pPr>
      <w:r>
        <w:rPr>
          <w:rFonts w:ascii="Arial" w:hAnsi="Arial"/>
          <w:b/>
          <w:color w:val="83348F"/>
          <w:sz w:val="22"/>
        </w:rPr>
        <w:t xml:space="preserve">5.1  Change Control in Nuclear Subcontracts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Nuclear requirements are based on safety cases and design specifications that are fixed at the point of procurement. Any change to the agreed scope of work, materials, processes or sub-tier suppliers must therefore be controlled.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The change control requirement must be stated in the purchase order. The subcontractor must be required to notify you — and obtain written approval — before making any change to: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Materials (including any substitution of specified materials).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Manufacturing processes (including changes to welding procedures, heat treatment, or special processes).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Sub-tier suppliers used in the manufacture of the item.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Personnel performing safety-significant activities.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The design of the item, where the subcontractor has design responsibility.</w:t>
      </w:r>
    </w:p>
    <w:p>
      <w:pPr>
        <w:spacing w:before="0" w:after="0"/>
      </w:pPr>
    </w:p>
    <w:p>
      <w:pPr>
        <w:spacing w:before="160" w:after="60"/>
      </w:pPr>
      <w:r>
        <w:rPr>
          <w:rFonts w:ascii="Arial" w:hAnsi="Arial"/>
          <w:b/>
          <w:color w:val="83348F"/>
          <w:sz w:val="22"/>
        </w:rPr>
        <w:t xml:space="preserve">5.2  Non-Conformance Management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Despite the best controls, non-conformances will occur. What matters is that they are identified, reported, controlled and dispositioned correctly. A non-conformance is any departure from a specified requirement.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The non-conformance management process for nuclear subcontracts should follow these steps: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The non-conformance is recorded on a formal NCR with a unique reference number.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The item or area affected is quarantined to prevent inadvertent use or further processing.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The NCR is submitted to you for review and disposition decision.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You determine the disposition: repair, rework, use-as-is (with engineering justification), or reject.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If the disposition affects the design intent or safety case, it must be referred to the design authority or licensee.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The agreed disposition is implemented and the NCR record is updated to reflect the close-out evidence.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Use-as-is dispositions require particular care. They must be supported by a documented engineering justification demonstrating that the non-conforming item still meets its functional and safety requirements.</w:t>
      </w:r>
    </w:p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6.  Sub-Tier Supplier Oversight</w:t>
      </w:r>
    </w:p>
    <w:p>
      <w:pPr>
        <w:spacing w:before="160" w:after="60"/>
      </w:pPr>
      <w:r>
        <w:rPr>
          <w:rFonts w:ascii="Arial" w:hAnsi="Arial"/>
          <w:b/>
          <w:color w:val="83348F"/>
          <w:sz w:val="22"/>
        </w:rPr>
        <w:t xml:space="preserve">6.1  Your Responsibility for Sub-Tier Suppliers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If your subcontractor uses their own sub-tier suppliers to perform part of the work, your responsibility for the nuclear requirements does not end at the first tier. Your purchase order must therefore require your subcontractor to: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Apply the same flow-down requirements to their own suppliers as you have applied to them.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Maintain an approved supplier list (ASL) for nuclear work that you have the right to review.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Obtain your approval before using a sub-tier supplier for safety-significant activities.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Grant you the right of access to any sub-tier supplier's premises.</w:t>
      </w:r>
    </w:p>
    <w:p>
      <w:pPr>
        <w:spacing w:before="0" w:after="0"/>
      </w:pPr>
    </w:p>
    <w:p>
      <w:pPr>
        <w:spacing w:before="160" w:after="60"/>
      </w:pPr>
      <w:r>
        <w:rPr>
          <w:rFonts w:ascii="Arial" w:hAnsi="Arial"/>
          <w:b/>
          <w:color w:val="83348F"/>
          <w:sz w:val="22"/>
        </w:rPr>
        <w:t xml:space="preserve">6.2  Assessing Sub-Tier Compliance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Assessing whether sub-tier flow-down is actually effective is challenging, particularly in complex multi-tier supply chains. Practical approaches include: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Requiring the subcontractor to submit their sub-tier purchase orders for your review on request.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Including sub-tier supplier oversight as part of your audit of the subcontractor.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Conducting direct surveillance visits at sub-tier supplier premises where the risk level warrants it.</w:t>
      </w:r>
    </w:p>
    <w:p>
      <w:pPr>
        <w:ind w:left="360" w:hanging="180"/>
        <w:spacing w:before="0" w:after="60"/>
      </w:pPr>
      <w:r>
        <w:rPr>
          <w:rFonts w:ascii="Arial" w:hAnsi="Arial"/>
          <w:color w:val="5B595A"/>
          <w:sz w:val="20"/>
        </w:rPr>
        <w:t xml:space="preserve">•  Requiring the subcontractor to provide sub-tier quality plan and ITP records as part of the final documentation package.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The complexity of a nuclear supply chain does not reduce the requirement for compliance at every tier. Your nuclear customer will hold you accountable for the performance of your entire supply chain.</w:t>
      </w:r>
    </w:p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7.  Quick Reference: Flow-Down Checklist</w:t>
      </w:r>
    </w:p>
    <w:p>
      <w:pPr>
        <w:spacing w:before="0" w:after="80"/>
      </w:pPr>
      <w:r>
        <w:rPr>
          <w:rFonts w:ascii="Arial" w:hAnsi="Arial"/>
          <w:color w:val="5B595A"/>
          <w:sz w:val="20"/>
        </w:rPr>
        <w:t xml:space="preserve">Use this checklist for every nuclear subcontract to verify that flow-down is complete before placing the purchase order.</w:t>
      </w:r>
    </w:p>
    <w:tbl>
      <w:tblPr>
        <w:tblW w:type="auto" w:w="0"/>
      </w:tblPr>
      <w:tblGrid>
        <w:gridCol w:w="5400"/>
        <w:gridCol w:w="1600"/>
        <w:gridCol w:w="2754"/>
      </w:tblGrid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Included in PO?</w:t>
            </w:r>
          </w:p>
        </w:tc>
        <w:tc>
          <w:tcPr>
            <w:tcW w:type="dxa" w:w="27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Reference</w:t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Nuclear safety classification stated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 Yes   ☐ No</w:t>
            </w:r>
          </w:p>
        </w:tc>
        <w:tc>
          <w:tcPr>
            <w:tcW w:type="dxa" w:w="27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Applicable codes and standards listed with issue numbers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 Yes   ☐ No</w:t>
            </w:r>
          </w:p>
        </w:tc>
        <w:tc>
          <w:tcPr>
            <w:tcW w:type="dxa" w:w="27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Quality plan requirement stated (with approval route)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 Yes   ☐ No</w:t>
            </w:r>
          </w:p>
        </w:tc>
        <w:tc>
          <w:tcPr>
            <w:tcW w:type="dxa" w:w="27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ITP requirement stated (hold and witness points defined)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 Yes   ☐ No</w:t>
            </w:r>
          </w:p>
        </w:tc>
        <w:tc>
          <w:tcPr>
            <w:tcW w:type="dxa" w:w="27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CFSI clause included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 Yes   ☐ No</w:t>
            </w:r>
          </w:p>
        </w:tc>
        <w:tc>
          <w:tcPr>
            <w:tcW w:type="dxa" w:w="27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Material traceability requirement stated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 Yes   ☐ No</w:t>
            </w:r>
          </w:p>
        </w:tc>
        <w:tc>
          <w:tcPr>
            <w:tcW w:type="dxa" w:w="27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Right of access clause included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 Yes   ☐ No</w:t>
            </w:r>
          </w:p>
        </w:tc>
        <w:tc>
          <w:tcPr>
            <w:tcW w:type="dxa" w:w="27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Non-conformance reporting requirement stated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 Yes   ☐ No</w:t>
            </w:r>
          </w:p>
        </w:tc>
        <w:tc>
          <w:tcPr>
            <w:tcW w:type="dxa" w:w="27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Change control requirement stated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 Yes   ☐ No</w:t>
            </w:r>
          </w:p>
        </w:tc>
        <w:tc>
          <w:tcPr>
            <w:tcW w:type="dxa" w:w="27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Documentation and records schedule appended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 Yes   ☐ No</w:t>
            </w:r>
          </w:p>
        </w:tc>
        <w:tc>
          <w:tcPr>
            <w:tcW w:type="dxa" w:w="27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Records retention period stated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 Yes   ☐ No</w:t>
            </w:r>
          </w:p>
        </w:tc>
        <w:tc>
          <w:tcPr>
            <w:tcW w:type="dxa" w:w="27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Sub-tier flow-down requirement stated</w:t>
            </w:r>
          </w:p>
        </w:tc>
        <w:tc>
          <w:tcPr>
            <w:tcW w:type="dxa" w:w="1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 Yes   ☐ No</w:t>
            </w:r>
          </w:p>
        </w:tc>
        <w:tc>
          <w:tcPr>
            <w:tcW w:type="dxa" w:w="27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NSS-06-TG-03  |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9ABE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2D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9ABE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D84AC3-4581-4317-AC5C-5F8DD649E695}"/>
</file>

<file path=customXml/itemProps3.xml><?xml version="1.0" encoding="utf-8"?>
<ds:datastoreItem xmlns:ds="http://schemas.openxmlformats.org/officeDocument/2006/customXml" ds:itemID="{6C056511-E40B-41BB-87A3-BCE7528B489F}"/>
</file>

<file path=customXml/itemProps4.xml><?xml version="1.0" encoding="utf-8"?>
<ds:datastoreItem xmlns:ds="http://schemas.openxmlformats.org/officeDocument/2006/customXml" ds:itemID="{BA32F9FD-5926-461A-B86C-59B05090757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NSS-06-TG-03 Flow Down of Nuclear Requirements</dc:title>
  <dc:creator>John Hilton-Brammer</dc:creator>
  <cp:lastModifiedBy>John Hilton-Brammer</cp:lastModifiedBy>
  <dcterms:created xsi:type="dcterms:W3CDTF">2026-07-01T07:57:33Z</dcterms:created>
  <dcterms:modified xsi:type="dcterms:W3CDTF">2026-07-01T07:57:33Z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