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drawing>
          <wp:inline distT="0" distB="0" distL="0" distR="0">
            <wp:extent cx="1905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571500"/>
                    </a:xfrm>
                    <a:prstGeom prst="rect">
                      <a:avLst/>
                    </a:prstGeom>
                  </pic:spPr>
                </pic:pic>
              </a:graphicData>
            </a:graphic>
          </wp:inline>
        </w:drawing>
      </w:r>
    </w:p>
    <w:p>
      <w:pPr>
        <w:spacing w:after="240" w:before="480"/>
        <w:jc w:val="center"/>
      </w:pPr>
      <w:r>
        <w:rPr>
          <w:rFonts w:ascii="Arial" w:cs="Arial" w:eastAsia="Arial" w:hAnsi="Arial"/>
          <w:b/>
          <w:bCs/>
          <w:color w:val="009FE3"/>
          <w:sz w:val="56"/>
          <w:szCs w:val="56"/>
        </w:rPr>
        <w:t xml:space="preserve">Supplier Inspection and Surveillance</w:t>
      </w:r>
    </w:p>
    <w:p>
      <w:pPr>
        <w:spacing w:after="240" w:before="0"/>
        <w:jc w:val="center"/>
      </w:pPr>
      <w:r>
        <w:rPr>
          <w:rFonts w:ascii="Arial" w:cs="Arial" w:eastAsia="Arial" w:hAnsi="Arial"/>
          <w:b/>
          <w:bCs/>
          <w:color w:val="83348F"/>
          <w:sz w:val="36"/>
          <w:szCs w:val="36"/>
        </w:rPr>
        <w:t xml:space="preserve">A Practical Guide for Nuclear Supply Chain Organisations</w:t>
      </w:r>
    </w:p>
    <w:p>
      <w:pPr>
        <w:spacing w:after="480" w:before="240"/>
        <w:jc w:val="center"/>
      </w:pPr>
      <w:r>
        <w:rPr>
          <w:rFonts w:ascii="Arial" w:cs="Arial" w:eastAsia="Arial" w:hAnsi="Arial"/>
          <w:i/>
          <w:iCs/>
          <w:color w:val="5B595A"/>
          <w:sz w:val="24"/>
          <w:szCs w:val="24"/>
        </w:rPr>
        <w:t xml:space="preserve">Planning and conducting effective in-process inspection and surveillance visits to verify supplier conformance</w:t>
      </w:r>
    </w:p>
    <w:p>
      <w:pPr>
        <w:jc w:val="center"/>
      </w:pPr>
      <w:r>
        <w:rPr>
          <w:rFonts w:ascii="Arial" w:cs="Arial" w:eastAsia="Arial" w:hAnsi="Arial"/>
          <w:color w:val="5B595A"/>
          <w:sz w:val="20"/>
          <w:szCs w:val="20"/>
        </w:rPr>
        <w:t xml:space="preserve">NSS-06-TG-04 | Nuclear Sector Specific | Supply Chain Readiness</w:t>
      </w:r>
    </w:p>
    <w:p>
      <w:r>
        <w:br w:type="page"/>
      </w:r>
    </w:p>
    <w:p>
      <w:pPr>
        <w:pStyle w:val="Heading1"/>
        <w:spacing w:after="120" w:before="300"/>
      </w:pPr>
      <w:r>
        <w:rPr>
          <w:rFonts w:ascii="Arial" w:cs="Arial" w:eastAsia="Arial" w:hAnsi="Arial"/>
          <w:b/>
          <w:bCs/>
          <w:color w:val="29ABE2"/>
          <w:sz w:val="32"/>
          <w:szCs w:val="32"/>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2726"/>
      </w:tblGrid>
      <w:tr>
        <w:tc>
          <w:tcPr>
            <w:tcW w:type="dxa" w:w="18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27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29/06/2026</w:t>
            </w:r>
          </w:p>
        </w:tc>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[Company Name]</w:t>
            </w:r>
          </w:p>
        </w:tc>
        <w:tc>
          <w:tcPr>
            <w:tcW w:type="dxa" w:w="27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issue</w:t>
            </w:r>
          </w:p>
        </w:tc>
      </w:tr>
    </w:tbl>
    <w:p>
      <w:r>
        <w:br w:type="page"/>
      </w:r>
    </w:p>
    <w:p>
      <w:pPr>
        <w:pStyle w:val="Heading1"/>
        <w:spacing w:after="120" w:before="300"/>
      </w:pPr>
      <w:r>
        <w:rPr>
          <w:rFonts w:ascii="Arial" w:cs="Arial" w:eastAsia="Arial" w:hAnsi="Arial"/>
          <w:b/>
          <w:bCs/>
          <w:color w:val="29ABE2"/>
          <w:sz w:val="32"/>
          <w:szCs w:val="32"/>
        </w:rPr>
        <w:t xml:space="preserve">1. Introduction</w:t>
      </w:r>
    </w:p>
    <w:p>
      <w:pPr>
        <w:spacing w:after="60" w:before="60"/>
      </w:pPr>
      <w:r>
        <w:rPr>
          <w:rFonts w:ascii="Arial" w:cs="Arial" w:eastAsia="Arial" w:hAnsi="Arial"/>
          <w:b w:val="false"/>
          <w:bCs w:val="false"/>
          <w:i w:val="false"/>
          <w:iCs w:val="false"/>
          <w:color w:val="000000"/>
          <w:sz w:val="22"/>
          <w:szCs w:val="22"/>
        </w:rPr>
        <w:t xml:space="preserve">Supplier inspection and surveillance are the active, in-process verification activities through which a nuclear purchasing organisation confirms that a supplier is meeting the requirements of the contract. They are distinct from audit, which assesses the quality management system. Inspection and surveillance look at the work itself.</w:t>
      </w:r>
    </w:p>
    <w:p>
      <w:pPr>
        <w:spacing w:after="60" w:before="60"/>
      </w:pPr>
      <w:r>
        <w:rPr>
          <w:rFonts w:ascii="Arial" w:cs="Arial" w:eastAsia="Arial" w:hAnsi="Arial"/>
          <w:b w:val="false"/>
          <w:bCs w:val="false"/>
          <w:i w:val="false"/>
          <w:iCs w:val="false"/>
          <w:color w:val="000000"/>
          <w:sz w:val="22"/>
          <w:szCs w:val="22"/>
        </w:rPr>
        <w:t xml:space="preserve">In nuclear procurement, inspection and surveillance serve several essential functions:</w:t>
      </w:r>
    </w:p>
    <w:p>
      <w:pPr>
        <w:pStyle w:val="ListParagraph"/>
        <w:numPr>
          <w:ilvl w:val="0"/>
          <w:numId w:val="2"/>
        </w:numPr>
        <w:spacing w:after="40" w:before="40"/>
      </w:pPr>
      <w:r>
        <w:rPr>
          <w:rFonts w:ascii="Arial" w:cs="Arial" w:eastAsia="Arial" w:hAnsi="Arial"/>
          <w:sz w:val="22"/>
          <w:szCs w:val="22"/>
        </w:rPr>
        <w:t xml:space="preserve">They provide objective evidence that nuclear requirements are being applied in practice, not just documented in procedures</w:t>
      </w:r>
    </w:p>
    <w:p>
      <w:pPr>
        <w:pStyle w:val="ListParagraph"/>
        <w:numPr>
          <w:ilvl w:val="0"/>
          <w:numId w:val="2"/>
        </w:numPr>
        <w:spacing w:after="40" w:before="40"/>
      </w:pPr>
      <w:r>
        <w:rPr>
          <w:rFonts w:ascii="Arial" w:cs="Arial" w:eastAsia="Arial" w:hAnsi="Arial"/>
          <w:sz w:val="22"/>
          <w:szCs w:val="22"/>
        </w:rPr>
        <w:t xml:space="preserve">They allow non-conformances to be identified and corrected before the item is completed, when the cost and programme impact are lowest</w:t>
      </w:r>
    </w:p>
    <w:p>
      <w:pPr>
        <w:pStyle w:val="ListParagraph"/>
        <w:numPr>
          <w:ilvl w:val="0"/>
          <w:numId w:val="2"/>
        </w:numPr>
        <w:spacing w:after="40" w:before="40"/>
      </w:pPr>
      <w:r>
        <w:rPr>
          <w:rFonts w:ascii="Arial" w:cs="Arial" w:eastAsia="Arial" w:hAnsi="Arial"/>
          <w:sz w:val="22"/>
          <w:szCs w:val="22"/>
        </w:rPr>
        <w:t xml:space="preserve">They provide the purchasing organisation with direct visibility of the supplier's capability and quality culture</w:t>
      </w:r>
    </w:p>
    <w:p>
      <w:pPr>
        <w:pStyle w:val="ListParagraph"/>
        <w:numPr>
          <w:ilvl w:val="0"/>
          <w:numId w:val="2"/>
        </w:numPr>
        <w:spacing w:after="40" w:before="40"/>
      </w:pPr>
      <w:r>
        <w:rPr>
          <w:rFonts w:ascii="Arial" w:cs="Arial" w:eastAsia="Arial" w:hAnsi="Arial"/>
          <w:sz w:val="22"/>
          <w:szCs w:val="22"/>
        </w:rPr>
        <w:t xml:space="preserve">They create a contemporaneous record that supports the nuclear safety case</w:t>
      </w:r>
    </w:p>
    <w:p>
      <w:pPr>
        <w:spacing w:after="100" w:before="100"/>
        <w:ind w:left="360"/>
      </w:pPr>
      <w:r>
        <w:rPr>
          <w:rFonts w:ascii="Arial" w:cs="Arial" w:eastAsia="Arial" w:hAnsi="Arial"/>
          <w:i/>
          <w:iCs/>
          <w:color w:val="83348F"/>
          <w:sz w:val="22"/>
          <w:szCs w:val="22"/>
        </w:rPr>
        <w:t xml:space="preserve">Inspection and surveillance are not expressions of distrust. They are a professional obligation. Even the most capable and trusted supplier should be subject to appropriate inspection because the records that result are an essential part of the item's quality evidence package.</w:t>
      </w:r>
    </w:p>
    <w:p>
      <w:pPr>
        <w:pStyle w:val="Heading2"/>
        <w:spacing w:after="80" w:before="200"/>
      </w:pPr>
      <w:r>
        <w:rPr>
          <w:rFonts w:ascii="Arial" w:cs="Arial" w:eastAsia="Arial" w:hAnsi="Arial"/>
          <w:b/>
          <w:bCs/>
          <w:color w:val="7B2D8B"/>
          <w:sz w:val="26"/>
          <w:szCs w:val="26"/>
        </w:rPr>
        <w:t xml:space="preserve">1.1 Regulatory and Industry Context</w:t>
      </w:r>
    </w:p>
    <w:p>
      <w:pPr>
        <w:spacing w:after="60" w:before="60"/>
      </w:pPr>
      <w:r>
        <w:rPr>
          <w:rFonts w:ascii="Arial" w:cs="Arial" w:eastAsia="Arial" w:hAnsi="Arial"/>
          <w:b w:val="false"/>
          <w:bCs w:val="false"/>
          <w:i w:val="false"/>
          <w:iCs w:val="false"/>
          <w:color w:val="000000"/>
          <w:sz w:val="22"/>
          <w:szCs w:val="22"/>
        </w:rPr>
        <w:t xml:space="preserve">The requirement for inspection and surveillance in nuclear procurement derives from several sources:</w:t>
      </w:r>
    </w:p>
    <w:p>
      <w:pPr>
        <w:pStyle w:val="ListParagraph"/>
        <w:numPr>
          <w:ilvl w:val="0"/>
          <w:numId w:val="2"/>
        </w:numPr>
        <w:spacing w:after="40" w:before="40"/>
      </w:pPr>
      <w:r>
        <w:rPr>
          <w:rFonts w:ascii="Arial" w:cs="Arial" w:eastAsia="Arial" w:hAnsi="Arial"/>
          <w:sz w:val="22"/>
          <w:szCs w:val="22"/>
        </w:rPr>
        <w:t xml:space="preserve">TAG 77 (Section 5.2.7) requires the purchaser to conduct effective oversight and assurance of the supply chain, including the acceptance of items and services for work with nuclear safety significance</w:t>
      </w:r>
    </w:p>
    <w:p>
      <w:pPr>
        <w:pStyle w:val="ListParagraph"/>
        <w:numPr>
          <w:ilvl w:val="0"/>
          <w:numId w:val="2"/>
        </w:numPr>
        <w:spacing w:after="40" w:before="40"/>
      </w:pPr>
      <w:r>
        <w:rPr>
          <w:rFonts w:ascii="Arial" w:cs="Arial" w:eastAsia="Arial" w:hAnsi="Arial"/>
          <w:sz w:val="22"/>
          <w:szCs w:val="22"/>
        </w:rPr>
        <w:t xml:space="preserve">The UK Nuclear Industry Good Practice Guide to Supply Chain Quality Requirements describes the inspection activities expected at each stage of the procurement cycle</w:t>
      </w:r>
    </w:p>
    <w:p>
      <w:pPr>
        <w:pStyle w:val="ListParagraph"/>
        <w:numPr>
          <w:ilvl w:val="0"/>
          <w:numId w:val="2"/>
        </w:numPr>
        <w:spacing w:after="40" w:before="40"/>
      </w:pPr>
      <w:r>
        <w:rPr>
          <w:rFonts w:ascii="Arial" w:cs="Arial" w:eastAsia="Arial" w:hAnsi="Arial"/>
          <w:sz w:val="22"/>
          <w:szCs w:val="22"/>
        </w:rPr>
        <w:t xml:space="preserve">ISO 19443 requires organisations to determine, plan, implement and maintain processes for monitoring, measurement, analysis and evaluation relevant to nuclear safety</w:t>
      </w:r>
    </w:p>
    <w:p>
      <w:pPr>
        <w:pStyle w:val="ListParagraph"/>
        <w:numPr>
          <w:ilvl w:val="0"/>
          <w:numId w:val="2"/>
        </w:numPr>
        <w:spacing w:after="40" w:before="40"/>
      </w:pPr>
      <w:r>
        <w:rPr>
          <w:rFonts w:ascii="Arial" w:cs="Arial" w:eastAsia="Arial" w:hAnsi="Arial"/>
          <w:sz w:val="22"/>
          <w:szCs w:val="22"/>
        </w:rPr>
        <w:t xml:space="preserve">Individual buyer organisations (licensees) may have specific inspection and surveillance requirements stated in their supply chain management procedures that flow down to their suppliers through the contract</w:t>
      </w:r>
    </w:p>
    <w:p>
      <w:r>
        <w:br w:type="page"/>
      </w:r>
    </w:p>
    <w:p>
      <w:pPr>
        <w:pStyle w:val="Heading1"/>
        <w:spacing w:after="120" w:before="300"/>
      </w:pPr>
      <w:r>
        <w:rPr>
          <w:rFonts w:ascii="Arial" w:cs="Arial" w:eastAsia="Arial" w:hAnsi="Arial"/>
          <w:b/>
          <w:bCs/>
          <w:color w:val="29ABE2"/>
          <w:sz w:val="32"/>
          <w:szCs w:val="32"/>
        </w:rPr>
        <w:t xml:space="preserve">2. Types of Inspection and Surveillance Activity</w:t>
      </w:r>
    </w:p>
    <w:p>
      <w:pPr>
        <w:pStyle w:val="Heading2"/>
        <w:spacing w:after="80" w:before="200"/>
      </w:pPr>
      <w:r>
        <w:rPr>
          <w:rFonts w:ascii="Arial" w:cs="Arial" w:eastAsia="Arial" w:hAnsi="Arial"/>
          <w:b/>
          <w:bCs/>
          <w:color w:val="7B2D8B"/>
          <w:sz w:val="26"/>
          <w:szCs w:val="26"/>
        </w:rPr>
        <w:t xml:space="preserve">2.1 Overview</w:t>
      </w:r>
    </w:p>
    <w:p>
      <w:pPr>
        <w:spacing w:after="60" w:before="60"/>
      </w:pPr>
      <w:r>
        <w:rPr>
          <w:rFonts w:ascii="Arial" w:cs="Arial" w:eastAsia="Arial" w:hAnsi="Arial"/>
          <w:b w:val="false"/>
          <w:bCs w:val="false"/>
          <w:i w:val="false"/>
          <w:iCs w:val="false"/>
          <w:color w:val="000000"/>
          <w:sz w:val="22"/>
          <w:szCs w:val="22"/>
        </w:rPr>
        <w:t xml:space="preserve">Nuclear supplier oversight encompasses several distinct types of activity, each serving a different purpose and occurring at different points in the procurement and manufacturing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 Type</w:t>
            </w:r>
          </w:p>
        </w:tc>
        <w:tc>
          <w:tcPr>
            <w:tcW w:type="dxa" w:w="3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0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Conducted</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Hold Point Inspection</w:t>
            </w:r>
          </w:p>
        </w:tc>
        <w:tc>
          <w:tcPr>
            <w:tcW w:type="dxa" w:w="3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conformance at a defined critical stage before work proceeds. Mandatory: work must stop until the hold point is formally released</w:t>
            </w:r>
          </w:p>
        </w:tc>
        <w:tc>
          <w:tcPr>
            <w:tcW w:type="dxa" w:w="3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During manufacture at defined ITP stages</w:t>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Witness Point Inspection</w:t>
            </w:r>
          </w:p>
        </w:tc>
        <w:tc>
          <w:tcPr>
            <w:tcW w:type="dxa" w:w="3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Observe a defined activity. Supplier may proceed if purchaser declines to attend, but must give advance notification</w:t>
            </w:r>
          </w:p>
        </w:tc>
        <w:tc>
          <w:tcPr>
            <w:tcW w:type="dxa" w:w="3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During manufacture at defined ITP stages</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Point (Document Review)</w:t>
            </w:r>
          </w:p>
        </w:tc>
        <w:tc>
          <w:tcPr>
            <w:tcW w:type="dxa" w:w="3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and approve a document (quality plan, procedure, drawing) before a defined activity can commence</w:t>
            </w:r>
          </w:p>
        </w:tc>
        <w:tc>
          <w:tcPr>
            <w:tcW w:type="dxa" w:w="3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manufacture or before specific operations</w:t>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Surveillance Visit</w:t>
            </w:r>
          </w:p>
        </w:tc>
        <w:tc>
          <w:tcPr>
            <w:tcW w:type="dxa" w:w="3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An unscheduled or semi-scheduled visit to observe the supplier's general working practices and the status of the contract</w:t>
            </w:r>
          </w:p>
        </w:tc>
        <w:tc>
          <w:tcPr>
            <w:tcW w:type="dxa" w:w="3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During manufacture, at the purchaser's discretion</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Goods Receipt Inspection</w:t>
            </w:r>
          </w:p>
        </w:tc>
        <w:tc>
          <w:tcPr>
            <w:tcW w:type="dxa" w:w="3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Systematic inspection of delivered items and documentation against the purchase order and specification before acceptance</w:t>
            </w:r>
          </w:p>
        </w:tc>
        <w:tc>
          <w:tcPr>
            <w:tcW w:type="dxa" w:w="3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delivery to the purchaser's premises</w:t>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Inspection</w:t>
            </w:r>
          </w:p>
        </w:tc>
        <w:tc>
          <w:tcPr>
            <w:tcW w:type="dxa" w:w="3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inspection carried out at the supplier's premises prior to despatch, resulting in a despatch release</w:t>
            </w:r>
          </w:p>
        </w:tc>
        <w:tc>
          <w:tcPr>
            <w:tcW w:type="dxa" w:w="3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to despatch for high-grade items</w:t>
            </w:r>
          </w:p>
        </w:tc>
      </w:tr>
    </w:tbl>
    <w:p>
      <w:pPr>
        <w:pStyle w:val="Heading2"/>
        <w:spacing w:after="80" w:before="200"/>
      </w:pPr>
      <w:r>
        <w:rPr>
          <w:rFonts w:ascii="Arial" w:cs="Arial" w:eastAsia="Arial" w:hAnsi="Arial"/>
          <w:b/>
          <w:bCs/>
          <w:color w:val="7B2D8B"/>
          <w:sz w:val="26"/>
          <w:szCs w:val="26"/>
        </w:rPr>
        <w:t xml:space="preserve">2.2 Selecting the Right Level of Inspection</w:t>
      </w:r>
    </w:p>
    <w:p>
      <w:pPr>
        <w:spacing w:after="60" w:before="60"/>
      </w:pPr>
      <w:r>
        <w:rPr>
          <w:rFonts w:ascii="Arial" w:cs="Arial" w:eastAsia="Arial" w:hAnsi="Arial"/>
          <w:b w:val="false"/>
          <w:bCs w:val="false"/>
          <w:i w:val="false"/>
          <w:iCs w:val="false"/>
          <w:color w:val="000000"/>
          <w:sz w:val="22"/>
          <w:szCs w:val="22"/>
        </w:rPr>
        <w:t xml:space="preserve">The level of inspection applied to a given procurement should be proportional to its nuclear safety significance, complexity and associated risk. The following guidance is a starting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Nuclear Grade</w:t>
            </w:r>
          </w:p>
        </w:tc>
        <w:tc>
          <w:tcPr>
            <w:tcW w:type="dxa" w:w="60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Minimum Inspection Level</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NSC1 (Highest Safety Significance)</w:t>
            </w:r>
          </w:p>
        </w:tc>
        <w:tc>
          <w:tcPr>
            <w:tcW w:type="dxa" w:w="6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plan mandatory. Full ITP with multiple hold points. Third-party inspection at critical stages. Source inspection prior to despatch. Comprehensive goods receipt inspection</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NSC2</w:t>
            </w:r>
          </w:p>
        </w:tc>
        <w:tc>
          <w:tcPr>
            <w:tcW w:type="dxa" w:w="6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plan required. ITP with defined hold and witness points. Purchaser witness or hold at pressure test and final inspection. Goods receipt inspection</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NSC3</w:t>
            </w:r>
          </w:p>
        </w:tc>
        <w:tc>
          <w:tcPr>
            <w:tcW w:type="dxa" w:w="6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ITP or equivalent inspection record required. One or more witness points at key stages. Goods receipt inspection</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Conventional / Non-Nuclear</w:t>
            </w:r>
          </w:p>
        </w:tc>
        <w:tc>
          <w:tcPr>
            <w:tcW w:type="dxa" w:w="6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Supplier's standard quality control records. Basic goods receipt check against delivery note and purchase order</w:t>
            </w:r>
          </w:p>
        </w:tc>
      </w:tr>
    </w:tbl>
    <w:p>
      <w:r>
        <w:br w:type="page"/>
      </w:r>
    </w:p>
    <w:p>
      <w:pPr>
        <w:pStyle w:val="Heading1"/>
        <w:spacing w:after="120" w:before="300"/>
      </w:pPr>
      <w:r>
        <w:rPr>
          <w:rFonts w:ascii="Arial" w:cs="Arial" w:eastAsia="Arial" w:hAnsi="Arial"/>
          <w:b/>
          <w:bCs/>
          <w:color w:val="29ABE2"/>
          <w:sz w:val="32"/>
          <w:szCs w:val="32"/>
        </w:rPr>
        <w:t xml:space="preserve">3. Planning the Inspection and Surveillance Programme</w:t>
      </w:r>
    </w:p>
    <w:p>
      <w:pPr>
        <w:pStyle w:val="Heading2"/>
        <w:spacing w:after="80" w:before="200"/>
      </w:pPr>
      <w:r>
        <w:rPr>
          <w:rFonts w:ascii="Arial" w:cs="Arial" w:eastAsia="Arial" w:hAnsi="Arial"/>
          <w:b/>
          <w:bCs/>
          <w:color w:val="7B2D8B"/>
          <w:sz w:val="26"/>
          <w:szCs w:val="26"/>
        </w:rPr>
        <w:t xml:space="preserve">3.1 The ITP as the Planning Document</w:t>
      </w:r>
    </w:p>
    <w:p>
      <w:pPr>
        <w:spacing w:after="60" w:before="60"/>
      </w:pPr>
      <w:r>
        <w:rPr>
          <w:rFonts w:ascii="Arial" w:cs="Arial" w:eastAsia="Arial" w:hAnsi="Arial"/>
          <w:b w:val="false"/>
          <w:bCs w:val="false"/>
          <w:i w:val="false"/>
          <w:iCs w:val="false"/>
          <w:color w:val="000000"/>
          <w:sz w:val="22"/>
          <w:szCs w:val="22"/>
        </w:rPr>
        <w:t xml:space="preserve">The Inspection and Test Plan (ITP) is the master document that defines all inspection and test activities for a contract. It is typically prepared by the supplier and reviewed and approved by the purchaser before manufacturing commences.</w:t>
      </w:r>
    </w:p>
    <w:p>
      <w:pPr>
        <w:spacing w:after="60" w:before="60"/>
      </w:pPr>
      <w:r>
        <w:rPr>
          <w:rFonts w:ascii="Arial" w:cs="Arial" w:eastAsia="Arial" w:hAnsi="Arial"/>
          <w:b w:val="false"/>
          <w:bCs w:val="false"/>
          <w:i w:val="false"/>
          <w:iCs w:val="false"/>
          <w:color w:val="000000"/>
          <w:sz w:val="22"/>
          <w:szCs w:val="22"/>
        </w:rPr>
        <w:t xml:space="preserve">A well-constructed ITP should contain the following for every identified activity:</w:t>
      </w:r>
    </w:p>
    <w:p>
      <w:pPr>
        <w:pStyle w:val="ListParagraph"/>
        <w:numPr>
          <w:ilvl w:val="0"/>
          <w:numId w:val="2"/>
        </w:numPr>
        <w:spacing w:after="40" w:before="40"/>
      </w:pPr>
      <w:r>
        <w:rPr>
          <w:rFonts w:ascii="Arial" w:cs="Arial" w:eastAsia="Arial" w:hAnsi="Arial"/>
          <w:sz w:val="22"/>
          <w:szCs w:val="22"/>
        </w:rPr>
        <w:t xml:space="preserve">Activity reference number and description</w:t>
      </w:r>
    </w:p>
    <w:p>
      <w:pPr>
        <w:pStyle w:val="ListParagraph"/>
        <w:numPr>
          <w:ilvl w:val="0"/>
          <w:numId w:val="2"/>
        </w:numPr>
        <w:spacing w:after="40" w:before="40"/>
      </w:pPr>
      <w:r>
        <w:rPr>
          <w:rFonts w:ascii="Arial" w:cs="Arial" w:eastAsia="Arial" w:hAnsi="Arial"/>
          <w:sz w:val="22"/>
          <w:szCs w:val="22"/>
        </w:rPr>
        <w:t xml:space="preserve">The specification or standard clause that governs the activity</w:t>
      </w:r>
    </w:p>
    <w:p>
      <w:pPr>
        <w:pStyle w:val="ListParagraph"/>
        <w:numPr>
          <w:ilvl w:val="0"/>
          <w:numId w:val="2"/>
        </w:numPr>
        <w:spacing w:after="40" w:before="40"/>
      </w:pPr>
      <w:r>
        <w:rPr>
          <w:rFonts w:ascii="Arial" w:cs="Arial" w:eastAsia="Arial" w:hAnsi="Arial"/>
          <w:sz w:val="22"/>
          <w:szCs w:val="22"/>
        </w:rPr>
        <w:t xml:space="preserve">Who is responsible for performing the activity (supplier, purchaser, third party)</w:t>
      </w:r>
    </w:p>
    <w:p>
      <w:pPr>
        <w:pStyle w:val="ListParagraph"/>
        <w:numPr>
          <w:ilvl w:val="0"/>
          <w:numId w:val="2"/>
        </w:numPr>
        <w:spacing w:after="40" w:before="40"/>
      </w:pPr>
      <w:r>
        <w:rPr>
          <w:rFonts w:ascii="Arial" w:cs="Arial" w:eastAsia="Arial" w:hAnsi="Arial"/>
          <w:sz w:val="22"/>
          <w:szCs w:val="22"/>
        </w:rPr>
        <w:t xml:space="preserve">The type of activity (hold point, witness point, review point, or supplier record only)</w:t>
      </w:r>
    </w:p>
    <w:p>
      <w:pPr>
        <w:pStyle w:val="ListParagraph"/>
        <w:numPr>
          <w:ilvl w:val="0"/>
          <w:numId w:val="2"/>
        </w:numPr>
        <w:spacing w:after="40" w:before="40"/>
      </w:pPr>
      <w:r>
        <w:rPr>
          <w:rFonts w:ascii="Arial" w:cs="Arial" w:eastAsia="Arial" w:hAnsi="Arial"/>
          <w:sz w:val="22"/>
          <w:szCs w:val="22"/>
        </w:rPr>
        <w:t xml:space="preserve">The acceptance criteria that must be met</w:t>
      </w:r>
    </w:p>
    <w:p>
      <w:pPr>
        <w:pStyle w:val="ListParagraph"/>
        <w:numPr>
          <w:ilvl w:val="0"/>
          <w:numId w:val="2"/>
        </w:numPr>
        <w:spacing w:after="40" w:before="40"/>
      </w:pPr>
      <w:r>
        <w:rPr>
          <w:rFonts w:ascii="Arial" w:cs="Arial" w:eastAsia="Arial" w:hAnsi="Arial"/>
          <w:sz w:val="22"/>
          <w:szCs w:val="22"/>
        </w:rPr>
        <w:t xml:space="preserve">The record that will be generated as evidence of completion</w:t>
      </w:r>
    </w:p>
    <w:p>
      <w:pPr>
        <w:spacing w:after="60" w:before="60"/>
      </w:pPr>
      <w:r>
        <w:rPr>
          <w:rFonts w:ascii="Arial" w:cs="Arial" w:eastAsia="Arial" w:hAnsi="Arial"/>
          <w:b w:val="false"/>
          <w:bCs w:val="false"/>
          <w:i w:val="false"/>
          <w:iCs w:val="false"/>
          <w:color w:val="000000"/>
          <w:sz w:val="22"/>
          <w:szCs w:val="22"/>
        </w:rPr>
        <w:t xml:space="preserve">When reviewing a supplier's ITP before approval, verify that:</w:t>
      </w:r>
    </w:p>
    <w:p>
      <w:pPr>
        <w:pStyle w:val="ListParagraph"/>
        <w:numPr>
          <w:ilvl w:val="0"/>
          <w:numId w:val="2"/>
        </w:numPr>
        <w:spacing w:after="40" w:before="40"/>
      </w:pPr>
      <w:r>
        <w:rPr>
          <w:rFonts w:ascii="Arial" w:cs="Arial" w:eastAsia="Arial" w:hAnsi="Arial"/>
          <w:sz w:val="22"/>
          <w:szCs w:val="22"/>
        </w:rPr>
        <w:t xml:space="preserve">All hold and witness points required by the purchase order have been included</w:t>
      </w:r>
    </w:p>
    <w:p>
      <w:pPr>
        <w:pStyle w:val="ListParagraph"/>
        <w:numPr>
          <w:ilvl w:val="0"/>
          <w:numId w:val="2"/>
        </w:numPr>
        <w:spacing w:after="40" w:before="40"/>
      </w:pPr>
      <w:r>
        <w:rPr>
          <w:rFonts w:ascii="Arial" w:cs="Arial" w:eastAsia="Arial" w:hAnsi="Arial"/>
          <w:sz w:val="22"/>
          <w:szCs w:val="22"/>
        </w:rPr>
        <w:t xml:space="preserve">The activities are sequenced correctly and reflect the actual manufacturing process</w:t>
      </w:r>
    </w:p>
    <w:p>
      <w:pPr>
        <w:pStyle w:val="ListParagraph"/>
        <w:numPr>
          <w:ilvl w:val="0"/>
          <w:numId w:val="2"/>
        </w:numPr>
        <w:spacing w:after="40" w:before="40"/>
      </w:pPr>
      <w:r>
        <w:rPr>
          <w:rFonts w:ascii="Arial" w:cs="Arial" w:eastAsia="Arial" w:hAnsi="Arial"/>
          <w:sz w:val="22"/>
          <w:szCs w:val="22"/>
        </w:rPr>
        <w:t xml:space="preserve">The acceptance criteria are based on the specification, not on the supplier's own standards</w:t>
      </w:r>
    </w:p>
    <w:p>
      <w:pPr>
        <w:pStyle w:val="ListParagraph"/>
        <w:numPr>
          <w:ilvl w:val="0"/>
          <w:numId w:val="2"/>
        </w:numPr>
        <w:spacing w:after="40" w:before="40"/>
      </w:pPr>
      <w:r>
        <w:rPr>
          <w:rFonts w:ascii="Arial" w:cs="Arial" w:eastAsia="Arial" w:hAnsi="Arial"/>
          <w:sz w:val="22"/>
          <w:szCs w:val="22"/>
        </w:rPr>
        <w:t xml:space="preserve">The records specified are sufficient to demonstrate conformance to the nuclear requirements</w:t>
      </w:r>
    </w:p>
    <w:p>
      <w:pPr>
        <w:pStyle w:val="Heading2"/>
        <w:spacing w:after="80" w:before="200"/>
      </w:pPr>
      <w:r>
        <w:rPr>
          <w:rFonts w:ascii="Arial" w:cs="Arial" w:eastAsia="Arial" w:hAnsi="Arial"/>
          <w:b/>
          <w:bCs/>
          <w:color w:val="7B2D8B"/>
          <w:sz w:val="26"/>
          <w:szCs w:val="26"/>
        </w:rPr>
        <w:t xml:space="preserve">3.2 Inspection Notification Requirements</w:t>
      </w:r>
    </w:p>
    <w:p>
      <w:pPr>
        <w:spacing w:after="60" w:before="60"/>
      </w:pPr>
      <w:r>
        <w:rPr>
          <w:rFonts w:ascii="Arial" w:cs="Arial" w:eastAsia="Arial" w:hAnsi="Arial"/>
          <w:b w:val="false"/>
          <w:bCs w:val="false"/>
          <w:i w:val="false"/>
          <w:iCs w:val="false"/>
          <w:color w:val="000000"/>
          <w:sz w:val="22"/>
          <w:szCs w:val="22"/>
        </w:rPr>
        <w:t xml:space="preserve">Suppliers must be required to give adequate advance notice before conducting activities at which you have hold or witness points. Typical notification requirements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 Type</w:t>
            </w:r>
          </w:p>
        </w:tc>
        <w:tc>
          <w:tcPr>
            <w:tcW w:type="dxa" w:w="45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Notice Period</w:t>
            </w:r>
          </w:p>
        </w:tc>
      </w:tr>
      <w:tr>
        <w:tc>
          <w:tcPr>
            <w:tcW w:type="dxa" w:w="4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Hold Point (Purchaser Inspection Required)</w:t>
            </w:r>
          </w:p>
        </w:tc>
        <w:tc>
          <w:tcPr>
            <w:tcW w:type="dxa" w:w="4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working days minimum</w:t>
            </w:r>
          </w:p>
        </w:tc>
      </w:tr>
      <w:tr>
        <w:tc>
          <w:tcPr>
            <w:tcW w:type="dxa" w:w="4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Witness Point (Purchaser to Attend if Available)</w:t>
            </w:r>
          </w:p>
        </w:tc>
        <w:tc>
          <w:tcPr>
            <w:tcW w:type="dxa" w:w="4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3 working days minimum</w:t>
            </w:r>
          </w:p>
        </w:tc>
      </w:tr>
      <w:tr>
        <w:tc>
          <w:tcPr>
            <w:tcW w:type="dxa" w:w="4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Inspection (Full Pre-Despatch Inspection)</w:t>
            </w:r>
          </w:p>
        </w:tc>
        <w:tc>
          <w:tcPr>
            <w:tcW w:type="dxa" w:w="4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 minimum</w:t>
            </w:r>
          </w:p>
        </w:tc>
      </w:tr>
      <w:tr>
        <w:tc>
          <w:tcPr>
            <w:tcW w:type="dxa" w:w="4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Surveillance Visit (Purchaser-Initiated)</w:t>
            </w:r>
          </w:p>
        </w:tc>
        <w:tc>
          <w:tcPr>
            <w:tcW w:type="dxa" w:w="4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At purchaser's discretion; typically 2 working days courtesy notice</w:t>
            </w:r>
          </w:p>
        </w:tc>
      </w:tr>
    </w:tbl>
    <w:p>
      <w:pPr>
        <w:spacing w:after="60" w:before="60"/>
      </w:pPr>
      <w:r>
        <w:rPr>
          <w:rFonts w:ascii="Arial" w:cs="Arial" w:eastAsia="Arial" w:hAnsi="Arial"/>
          <w:b w:val="false"/>
          <w:bCs w:val="false"/>
          <w:i w:val="false"/>
          <w:iCs w:val="false"/>
          <w:color w:val="000000"/>
          <w:sz w:val="22"/>
          <w:szCs w:val="22"/>
        </w:rPr>
        <w:t xml:space="preserve">These notification requirements must be stated in the purchase order or in the ITP approval. Failure to provide adequate notice is a non-conformance and should be recorded as such.</w:t>
      </w:r>
    </w:p>
    <w:p>
      <w:r>
        <w:br w:type="page"/>
      </w:r>
    </w:p>
    <w:p>
      <w:pPr>
        <w:pStyle w:val="Heading1"/>
        <w:spacing w:after="120" w:before="300"/>
      </w:pPr>
      <w:r>
        <w:rPr>
          <w:rFonts w:ascii="Arial" w:cs="Arial" w:eastAsia="Arial" w:hAnsi="Arial"/>
          <w:b/>
          <w:bCs/>
          <w:color w:val="29ABE2"/>
          <w:sz w:val="32"/>
          <w:szCs w:val="32"/>
        </w:rPr>
        <w:t xml:space="preserve">4. Conducting an Inspection Visit</w:t>
      </w:r>
    </w:p>
    <w:p>
      <w:pPr>
        <w:pStyle w:val="Heading2"/>
        <w:spacing w:after="80" w:before="200"/>
      </w:pPr>
      <w:r>
        <w:rPr>
          <w:rFonts w:ascii="Arial" w:cs="Arial" w:eastAsia="Arial" w:hAnsi="Arial"/>
          <w:b/>
          <w:bCs/>
          <w:color w:val="7B2D8B"/>
          <w:sz w:val="26"/>
          <w:szCs w:val="26"/>
        </w:rPr>
        <w:t xml:space="preserve">4.1 Preparation</w:t>
      </w:r>
    </w:p>
    <w:p>
      <w:pPr>
        <w:spacing w:after="60" w:before="60"/>
      </w:pPr>
      <w:r>
        <w:rPr>
          <w:rFonts w:ascii="Arial" w:cs="Arial" w:eastAsia="Arial" w:hAnsi="Arial"/>
          <w:b w:val="false"/>
          <w:bCs w:val="false"/>
          <w:i w:val="false"/>
          <w:iCs w:val="false"/>
          <w:color w:val="000000"/>
          <w:sz w:val="22"/>
          <w:szCs w:val="22"/>
        </w:rPr>
        <w:t xml:space="preserve">Before attending an inspection at a supplier's premises, the inspector should:</w:t>
      </w:r>
    </w:p>
    <w:p>
      <w:pPr>
        <w:pStyle w:val="ListParagraph"/>
        <w:numPr>
          <w:ilvl w:val="0"/>
          <w:numId w:val="2"/>
        </w:numPr>
        <w:spacing w:after="40" w:before="40"/>
      </w:pPr>
      <w:r>
        <w:rPr>
          <w:rFonts w:ascii="Arial" w:cs="Arial" w:eastAsia="Arial" w:hAnsi="Arial"/>
          <w:sz w:val="22"/>
          <w:szCs w:val="22"/>
        </w:rPr>
        <w:t xml:space="preserve">Review the purchase order, specification and approved quality plan to understand what the supplier is required to deliver</w:t>
      </w:r>
    </w:p>
    <w:p>
      <w:pPr>
        <w:pStyle w:val="ListParagraph"/>
        <w:numPr>
          <w:ilvl w:val="0"/>
          <w:numId w:val="2"/>
        </w:numPr>
        <w:spacing w:after="40" w:before="40"/>
      </w:pPr>
      <w:r>
        <w:rPr>
          <w:rFonts w:ascii="Arial" w:cs="Arial" w:eastAsia="Arial" w:hAnsi="Arial"/>
          <w:sz w:val="22"/>
          <w:szCs w:val="22"/>
        </w:rPr>
        <w:t xml:space="preserve">Review the ITP to understand what activities are being inspected and what the acceptance criteria are</w:t>
      </w:r>
    </w:p>
    <w:p>
      <w:pPr>
        <w:pStyle w:val="ListParagraph"/>
        <w:numPr>
          <w:ilvl w:val="0"/>
          <w:numId w:val="2"/>
        </w:numPr>
        <w:spacing w:after="40" w:before="40"/>
      </w:pPr>
      <w:r>
        <w:rPr>
          <w:rFonts w:ascii="Arial" w:cs="Arial" w:eastAsia="Arial" w:hAnsi="Arial"/>
          <w:sz w:val="22"/>
          <w:szCs w:val="22"/>
        </w:rPr>
        <w:t xml:space="preserve">Review any previous inspection records and non-conformance reports for this contract to understand the history</w:t>
      </w:r>
    </w:p>
    <w:p>
      <w:pPr>
        <w:pStyle w:val="ListParagraph"/>
        <w:numPr>
          <w:ilvl w:val="0"/>
          <w:numId w:val="2"/>
        </w:numPr>
        <w:spacing w:after="40" w:before="40"/>
      </w:pPr>
      <w:r>
        <w:rPr>
          <w:rFonts w:ascii="Arial" w:cs="Arial" w:eastAsia="Arial" w:hAnsi="Arial"/>
          <w:sz w:val="22"/>
          <w:szCs w:val="22"/>
        </w:rPr>
        <w:t xml:space="preserve">Prepare the relevant inspection forms, measuring equipment (calibrated and within calibration date) and personal protective equipment</w:t>
      </w:r>
    </w:p>
    <w:p>
      <w:pPr>
        <w:pStyle w:val="ListParagraph"/>
        <w:numPr>
          <w:ilvl w:val="0"/>
          <w:numId w:val="2"/>
        </w:numPr>
        <w:spacing w:after="40" w:before="40"/>
      </w:pPr>
      <w:r>
        <w:rPr>
          <w:rFonts w:ascii="Arial" w:cs="Arial" w:eastAsia="Arial" w:hAnsi="Arial"/>
          <w:sz w:val="22"/>
          <w:szCs w:val="22"/>
        </w:rPr>
        <w:t xml:space="preserve">Confirm the inspection arrangements with the supplier: who the contact is, where to report, and what areas will be visited</w:t>
      </w:r>
    </w:p>
    <w:p>
      <w:pPr>
        <w:spacing w:after="60" w:before="60"/>
      </w:pPr>
      <w:r>
        <w:rPr>
          <w:rFonts w:ascii="Arial" w:cs="Arial" w:eastAsia="Arial" w:hAnsi="Arial"/>
          <w:b w:val="false"/>
          <w:bCs w:val="false"/>
          <w:i w:val="false"/>
          <w:iCs w:val="false"/>
          <w:color w:val="000000"/>
          <w:sz w:val="22"/>
          <w:szCs w:val="22"/>
        </w:rPr>
        <w:t xml:space="preserve">An inspector who arrives at a supplier's premises unprepared will be less effective and will not command the confidence of the supplier's team. Preparation is a professional obligation.</w:t>
      </w:r>
    </w:p>
    <w:p>
      <w:pPr>
        <w:pStyle w:val="Heading2"/>
        <w:spacing w:after="80" w:before="200"/>
      </w:pPr>
      <w:r>
        <w:rPr>
          <w:rFonts w:ascii="Arial" w:cs="Arial" w:eastAsia="Arial" w:hAnsi="Arial"/>
          <w:b/>
          <w:bCs/>
          <w:color w:val="7B2D8B"/>
          <w:sz w:val="26"/>
          <w:szCs w:val="26"/>
        </w:rPr>
        <w:t xml:space="preserve">4.2 During the Inspection</w:t>
      </w:r>
    </w:p>
    <w:p>
      <w:pPr>
        <w:spacing w:after="60" w:before="60"/>
      </w:pPr>
      <w:r>
        <w:rPr>
          <w:rFonts w:ascii="Arial" w:cs="Arial" w:eastAsia="Arial" w:hAnsi="Arial"/>
          <w:b w:val="false"/>
          <w:bCs w:val="false"/>
          <w:i w:val="false"/>
          <w:iCs w:val="false"/>
          <w:color w:val="000000"/>
          <w:sz w:val="22"/>
          <w:szCs w:val="22"/>
        </w:rPr>
        <w:t xml:space="preserve">At the start of the visit, meet with the supplier's quality representative and confirm the scope of the inspection and any areas of the facility that will be visited. Maintain a professional and objective approach throughout.</w:t>
      </w:r>
    </w:p>
    <w:p>
      <w:pPr>
        <w:spacing w:after="60" w:before="160"/>
      </w:pPr>
      <w:r>
        <w:rPr>
          <w:rFonts w:ascii="Arial" w:cs="Arial" w:eastAsia="Arial" w:hAnsi="Arial"/>
          <w:b/>
          <w:bCs/>
          <w:color w:val="001E3C"/>
          <w:sz w:val="22"/>
          <w:szCs w:val="22"/>
        </w:rPr>
        <w:t xml:space="preserve">Dimensional and Visual Inspection</w:t>
      </w:r>
    </w:p>
    <w:p>
      <w:pPr>
        <w:spacing w:after="60" w:before="60"/>
      </w:pPr>
      <w:r>
        <w:rPr>
          <w:rFonts w:ascii="Arial" w:cs="Arial" w:eastAsia="Arial" w:hAnsi="Arial"/>
          <w:b w:val="false"/>
          <w:bCs w:val="false"/>
          <w:i w:val="false"/>
          <w:iCs w:val="false"/>
          <w:color w:val="000000"/>
          <w:sz w:val="22"/>
          <w:szCs w:val="22"/>
        </w:rPr>
        <w:t xml:space="preserve">Verify dimensions, surface condition, cleanliness and marking against the drawing and specification. Use calibrated measuring equipment and record readings, not just pass/fail decisions. If a dimension is at the limit of tolerance, record the actual measurement.</w:t>
      </w:r>
    </w:p>
    <w:p>
      <w:pPr>
        <w:spacing w:after="60" w:before="160"/>
      </w:pPr>
      <w:r>
        <w:rPr>
          <w:rFonts w:ascii="Arial" w:cs="Arial" w:eastAsia="Arial" w:hAnsi="Arial"/>
          <w:b/>
          <w:bCs/>
          <w:color w:val="001E3C"/>
          <w:sz w:val="22"/>
          <w:szCs w:val="22"/>
        </w:rPr>
        <w:t xml:space="preserve">Document Review</w:t>
      </w:r>
    </w:p>
    <w:p>
      <w:pPr>
        <w:spacing w:after="60" w:before="60"/>
      </w:pPr>
      <w:r>
        <w:rPr>
          <w:rFonts w:ascii="Arial" w:cs="Arial" w:eastAsia="Arial" w:hAnsi="Arial"/>
          <w:b w:val="false"/>
          <w:bCs w:val="false"/>
          <w:i w:val="false"/>
          <w:iCs w:val="false"/>
          <w:color w:val="000000"/>
          <w:sz w:val="22"/>
          <w:szCs w:val="22"/>
        </w:rPr>
        <w:t xml:space="preserve">At each inspection point, review the relevant documentation: the procedure under which the work was performed, the calibration records for equipment used, the personnel certifications for operatives who performed special processes, and any intermediate inspection records.</w:t>
      </w:r>
    </w:p>
    <w:p>
      <w:pPr>
        <w:spacing w:after="60" w:before="160"/>
      </w:pPr>
      <w:r>
        <w:rPr>
          <w:rFonts w:ascii="Arial" w:cs="Arial" w:eastAsia="Arial" w:hAnsi="Arial"/>
          <w:b/>
          <w:bCs/>
          <w:color w:val="001E3C"/>
          <w:sz w:val="22"/>
          <w:szCs w:val="22"/>
        </w:rPr>
        <w:t xml:space="preserve">Process Observation</w:t>
      </w:r>
    </w:p>
    <w:p>
      <w:pPr>
        <w:spacing w:after="60" w:before="60"/>
      </w:pPr>
      <w:r>
        <w:rPr>
          <w:rFonts w:ascii="Arial" w:cs="Arial" w:eastAsia="Arial" w:hAnsi="Arial"/>
          <w:b w:val="false"/>
          <w:bCs w:val="false"/>
          <w:i w:val="false"/>
          <w:iCs w:val="false"/>
          <w:color w:val="000000"/>
          <w:sz w:val="22"/>
          <w:szCs w:val="22"/>
        </w:rPr>
        <w:t xml:space="preserve">At witness points for processes such as welding, NDE or pressure testing, observe the process being performed and confirm that it is being carried out in accordance with the approved procedure. Check that the operative is certified and that the procedure revision is current.</w:t>
      </w:r>
    </w:p>
    <w:p>
      <w:pPr>
        <w:spacing w:after="60" w:before="160"/>
      </w:pPr>
      <w:r>
        <w:rPr>
          <w:rFonts w:ascii="Arial" w:cs="Arial" w:eastAsia="Arial" w:hAnsi="Arial"/>
          <w:b/>
          <w:bCs/>
          <w:color w:val="001E3C"/>
          <w:sz w:val="22"/>
          <w:szCs w:val="22"/>
        </w:rPr>
        <w:t xml:space="preserve">Questioning</w:t>
      </w:r>
    </w:p>
    <w:p>
      <w:pPr>
        <w:spacing w:after="60" w:before="60"/>
      </w:pPr>
      <w:r>
        <w:rPr>
          <w:rFonts w:ascii="Arial" w:cs="Arial" w:eastAsia="Arial" w:hAnsi="Arial"/>
          <w:b w:val="false"/>
          <w:bCs w:val="false"/>
          <w:i w:val="false"/>
          <w:iCs w:val="false"/>
          <w:color w:val="000000"/>
          <w:sz w:val="22"/>
          <w:szCs w:val="22"/>
        </w:rPr>
        <w:t xml:space="preserve">Do not hesitate to ask questions. Ask operatives to explain what they are doing and why. Ask the quality team how they would handle a non-conformance at this stage. A supplier with a strong quality culture will welcome these questions. A supplier who is evasive or uncomfortable should prompt further investigation.</w:t>
      </w:r>
    </w:p>
    <w:p>
      <w:pPr>
        <w:pStyle w:val="Heading2"/>
        <w:spacing w:after="80" w:before="200"/>
      </w:pPr>
      <w:r>
        <w:rPr>
          <w:rFonts w:ascii="Arial" w:cs="Arial" w:eastAsia="Arial" w:hAnsi="Arial"/>
          <w:b/>
          <w:bCs/>
          <w:color w:val="7B2D8B"/>
          <w:sz w:val="26"/>
          <w:szCs w:val="26"/>
        </w:rPr>
        <w:t xml:space="preserve">4.3 Inspection Records</w:t>
      </w:r>
    </w:p>
    <w:p>
      <w:pPr>
        <w:spacing w:after="60" w:before="60"/>
      </w:pPr>
      <w:r>
        <w:rPr>
          <w:rFonts w:ascii="Arial" w:cs="Arial" w:eastAsia="Arial" w:hAnsi="Arial"/>
          <w:b w:val="false"/>
          <w:bCs w:val="false"/>
          <w:i w:val="false"/>
          <w:iCs w:val="false"/>
          <w:color w:val="000000"/>
          <w:sz w:val="22"/>
          <w:szCs w:val="22"/>
        </w:rPr>
        <w:t xml:space="preserve">Every inspection activity must generate a documented record. The inspection record should include:</w:t>
      </w:r>
    </w:p>
    <w:p>
      <w:pPr>
        <w:pStyle w:val="ListParagraph"/>
        <w:numPr>
          <w:ilvl w:val="0"/>
          <w:numId w:val="2"/>
        </w:numPr>
        <w:spacing w:after="40" w:before="40"/>
      </w:pPr>
      <w:r>
        <w:rPr>
          <w:rFonts w:ascii="Arial" w:cs="Arial" w:eastAsia="Arial" w:hAnsi="Arial"/>
          <w:sz w:val="22"/>
          <w:szCs w:val="22"/>
        </w:rPr>
        <w:t xml:space="preserve">Contract and purchase order reference</w:t>
      </w:r>
    </w:p>
    <w:p>
      <w:pPr>
        <w:pStyle w:val="ListParagraph"/>
        <w:numPr>
          <w:ilvl w:val="0"/>
          <w:numId w:val="2"/>
        </w:numPr>
        <w:spacing w:after="40" w:before="40"/>
      </w:pPr>
      <w:r>
        <w:rPr>
          <w:rFonts w:ascii="Arial" w:cs="Arial" w:eastAsia="Arial" w:hAnsi="Arial"/>
          <w:sz w:val="22"/>
          <w:szCs w:val="22"/>
        </w:rPr>
        <w:t xml:space="preserve">Item description and unique identifier or serial number</w:t>
      </w:r>
    </w:p>
    <w:p>
      <w:pPr>
        <w:pStyle w:val="ListParagraph"/>
        <w:numPr>
          <w:ilvl w:val="0"/>
          <w:numId w:val="2"/>
        </w:numPr>
        <w:spacing w:after="40" w:before="40"/>
      </w:pPr>
      <w:r>
        <w:rPr>
          <w:rFonts w:ascii="Arial" w:cs="Arial" w:eastAsia="Arial" w:hAnsi="Arial"/>
          <w:sz w:val="22"/>
          <w:szCs w:val="22"/>
        </w:rPr>
        <w:t xml:space="preserve">ITP activity reference and description</w:t>
      </w:r>
    </w:p>
    <w:p>
      <w:pPr>
        <w:pStyle w:val="ListParagraph"/>
        <w:numPr>
          <w:ilvl w:val="0"/>
          <w:numId w:val="2"/>
        </w:numPr>
        <w:spacing w:after="40" w:before="40"/>
      </w:pPr>
      <w:r>
        <w:rPr>
          <w:rFonts w:ascii="Arial" w:cs="Arial" w:eastAsia="Arial" w:hAnsi="Arial"/>
          <w:sz w:val="22"/>
          <w:szCs w:val="22"/>
        </w:rPr>
        <w:t xml:space="preserve">Date and location of inspection</w:t>
      </w:r>
    </w:p>
    <w:p>
      <w:pPr>
        <w:pStyle w:val="ListParagraph"/>
        <w:numPr>
          <w:ilvl w:val="0"/>
          <w:numId w:val="2"/>
        </w:numPr>
        <w:spacing w:after="40" w:before="40"/>
      </w:pPr>
      <w:r>
        <w:rPr>
          <w:rFonts w:ascii="Arial" w:cs="Arial" w:eastAsia="Arial" w:hAnsi="Arial"/>
          <w:sz w:val="22"/>
          <w:szCs w:val="22"/>
        </w:rPr>
        <w:t xml:space="preserve">Inspector name and qualification</w:t>
      </w:r>
    </w:p>
    <w:p>
      <w:pPr>
        <w:pStyle w:val="ListParagraph"/>
        <w:numPr>
          <w:ilvl w:val="0"/>
          <w:numId w:val="2"/>
        </w:numPr>
        <w:spacing w:after="40" w:before="40"/>
      </w:pPr>
      <w:r>
        <w:rPr>
          <w:rFonts w:ascii="Arial" w:cs="Arial" w:eastAsia="Arial" w:hAnsi="Arial"/>
          <w:sz w:val="22"/>
          <w:szCs w:val="22"/>
        </w:rPr>
        <w:t xml:space="preserve">Actual measurements and observations recorded</w:t>
      </w:r>
    </w:p>
    <w:p>
      <w:pPr>
        <w:pStyle w:val="ListParagraph"/>
        <w:numPr>
          <w:ilvl w:val="0"/>
          <w:numId w:val="2"/>
        </w:numPr>
        <w:spacing w:after="40" w:before="40"/>
      </w:pPr>
      <w:r>
        <w:rPr>
          <w:rFonts w:ascii="Arial" w:cs="Arial" w:eastAsia="Arial" w:hAnsi="Arial"/>
          <w:sz w:val="22"/>
          <w:szCs w:val="22"/>
        </w:rPr>
        <w:t xml:space="preserve">Outcome: accepted, rejected or conditional (with conditions stated)</w:t>
      </w:r>
    </w:p>
    <w:p>
      <w:pPr>
        <w:pStyle w:val="ListParagraph"/>
        <w:numPr>
          <w:ilvl w:val="0"/>
          <w:numId w:val="2"/>
        </w:numPr>
        <w:spacing w:after="40" w:before="40"/>
      </w:pPr>
      <w:r>
        <w:rPr>
          <w:rFonts w:ascii="Arial" w:cs="Arial" w:eastAsia="Arial" w:hAnsi="Arial"/>
          <w:sz w:val="22"/>
          <w:szCs w:val="22"/>
        </w:rPr>
        <w:t xml:space="preserve">Inspector signature</w:t>
      </w:r>
    </w:p>
    <w:p>
      <w:pPr>
        <w:spacing w:after="60" w:before="60"/>
      </w:pPr>
      <w:r>
        <w:rPr>
          <w:rFonts w:ascii="Arial" w:cs="Arial" w:eastAsia="Arial" w:hAnsi="Arial"/>
          <w:b w:val="false"/>
          <w:bCs w:val="false"/>
          <w:i w:val="false"/>
          <w:iCs w:val="false"/>
          <w:color w:val="000000"/>
          <w:sz w:val="22"/>
          <w:szCs w:val="22"/>
        </w:rPr>
        <w:t xml:space="preserve">The completed inspection record must be retained as part of the contract quality record and, for nuclear safety-significant items, forms part of the lifetime record for the item.</w:t>
      </w:r>
    </w:p>
    <w:p>
      <w:pPr>
        <w:pStyle w:val="Heading2"/>
        <w:spacing w:after="80" w:before="200"/>
      </w:pPr>
      <w:r>
        <w:rPr>
          <w:rFonts w:ascii="Arial" w:cs="Arial" w:eastAsia="Arial" w:hAnsi="Arial"/>
          <w:b/>
          <w:bCs/>
          <w:color w:val="7B2D8B"/>
          <w:sz w:val="26"/>
          <w:szCs w:val="26"/>
        </w:rPr>
        <w:t xml:space="preserve">4.4 Releasing a Hold Point</w:t>
      </w:r>
    </w:p>
    <w:p>
      <w:pPr>
        <w:spacing w:after="60" w:before="60"/>
      </w:pPr>
      <w:r>
        <w:rPr>
          <w:rFonts w:ascii="Arial" w:cs="Arial" w:eastAsia="Arial" w:hAnsi="Arial"/>
          <w:b w:val="false"/>
          <w:bCs w:val="false"/>
          <w:i w:val="false"/>
          <w:iCs w:val="false"/>
          <w:color w:val="000000"/>
          <w:sz w:val="22"/>
          <w:szCs w:val="22"/>
        </w:rPr>
        <w:t xml:space="preserve">A hold point is only released by a formal, signed release on the ITP record. This act has legal and safety significance: it represents the purchaser's confirmation that the activity has been completed to the required standard and that the supplier may proceed to the next stage.</w:t>
      </w:r>
    </w:p>
    <w:p>
      <w:pPr>
        <w:spacing w:after="60" w:before="60"/>
      </w:pPr>
      <w:r>
        <w:rPr>
          <w:rFonts w:ascii="Arial" w:cs="Arial" w:eastAsia="Arial" w:hAnsi="Arial"/>
          <w:b w:val="false"/>
          <w:bCs w:val="false"/>
          <w:i w:val="false"/>
          <w:iCs w:val="false"/>
          <w:color w:val="000000"/>
          <w:sz w:val="22"/>
          <w:szCs w:val="22"/>
        </w:rPr>
        <w:t xml:space="preserve">Never release a hold point orally or by email without a formal ITP record. Never release a hold point when the inspection criteria have not been fully met. If there is any doubt, seek clarification from the design authority or your quality management before releasing.</w:t>
      </w:r>
    </w:p>
    <w:p>
      <w:r>
        <w:br w:type="page"/>
      </w:r>
    </w:p>
    <w:p>
      <w:pPr>
        <w:pStyle w:val="Heading1"/>
        <w:spacing w:after="120" w:before="300"/>
      </w:pPr>
      <w:r>
        <w:rPr>
          <w:rFonts w:ascii="Arial" w:cs="Arial" w:eastAsia="Arial" w:hAnsi="Arial"/>
          <w:b/>
          <w:bCs/>
          <w:color w:val="29ABE2"/>
          <w:sz w:val="32"/>
          <w:szCs w:val="32"/>
        </w:rPr>
        <w:t xml:space="preserve">5. Goods Receipt Inspection</w:t>
      </w:r>
    </w:p>
    <w:p>
      <w:pPr>
        <w:pStyle w:val="Heading2"/>
        <w:spacing w:after="80" w:before="200"/>
      </w:pPr>
      <w:r>
        <w:rPr>
          <w:rFonts w:ascii="Arial" w:cs="Arial" w:eastAsia="Arial" w:hAnsi="Arial"/>
          <w:b/>
          <w:bCs/>
          <w:color w:val="7B2D8B"/>
          <w:sz w:val="26"/>
          <w:szCs w:val="26"/>
        </w:rPr>
        <w:t xml:space="preserve">5.1 The Purpose of Goods Receipt Inspection</w:t>
      </w:r>
    </w:p>
    <w:p>
      <w:pPr>
        <w:spacing w:after="60" w:before="60"/>
      </w:pPr>
      <w:r>
        <w:rPr>
          <w:rFonts w:ascii="Arial" w:cs="Arial" w:eastAsia="Arial" w:hAnsi="Arial"/>
          <w:b w:val="false"/>
          <w:bCs w:val="false"/>
          <w:i w:val="false"/>
          <w:iCs w:val="false"/>
          <w:color w:val="000000"/>
          <w:sz w:val="22"/>
          <w:szCs w:val="22"/>
        </w:rPr>
        <w:t xml:space="preserve">Goods receipt inspection is the final verification step before a delivered item is accepted into your business or forwarded to site. It provides the last opportunity to identify non-conformances before the item enters your inventory or is incorporated into a larger assembly.</w:t>
      </w:r>
    </w:p>
    <w:p>
      <w:pPr>
        <w:spacing w:after="60" w:before="60"/>
      </w:pPr>
      <w:r>
        <w:rPr>
          <w:rFonts w:ascii="Arial" w:cs="Arial" w:eastAsia="Arial" w:hAnsi="Arial"/>
          <w:b w:val="false"/>
          <w:bCs w:val="false"/>
          <w:i w:val="false"/>
          <w:iCs w:val="false"/>
          <w:color w:val="000000"/>
          <w:sz w:val="22"/>
          <w:szCs w:val="22"/>
        </w:rPr>
        <w:t xml:space="preserve">Every nuclear-grade item should be subject to a documented goods receipt inspection before acceptance, regardless of whether source inspection was conducted.</w:t>
      </w:r>
    </w:p>
    <w:p>
      <w:pPr>
        <w:pStyle w:val="Heading2"/>
        <w:spacing w:after="80" w:before="200"/>
      </w:pPr>
      <w:r>
        <w:rPr>
          <w:rFonts w:ascii="Arial" w:cs="Arial" w:eastAsia="Arial" w:hAnsi="Arial"/>
          <w:b/>
          <w:bCs/>
          <w:color w:val="7B2D8B"/>
          <w:sz w:val="26"/>
          <w:szCs w:val="26"/>
        </w:rPr>
        <w:t xml:space="preserve">5.2 The Goods Receipt Inspection Process</w:t>
      </w:r>
    </w:p>
    <w:p>
      <w:pPr>
        <w:spacing w:after="60" w:before="60"/>
      </w:pPr>
      <w:r>
        <w:rPr>
          <w:rFonts w:ascii="Arial" w:cs="Arial" w:eastAsia="Arial" w:hAnsi="Arial"/>
          <w:b w:val="false"/>
          <w:bCs w:val="false"/>
          <w:i w:val="false"/>
          <w:iCs w:val="false"/>
          <w:color w:val="000000"/>
          <w:sz w:val="22"/>
          <w:szCs w:val="22"/>
        </w:rPr>
        <w:t xml:space="preserve">A goods receipt inspection for a nuclear item should cover the following:</w:t>
      </w:r>
    </w:p>
    <w:p>
      <w:pPr>
        <w:spacing w:after="60" w:before="160"/>
      </w:pPr>
      <w:r>
        <w:rPr>
          <w:rFonts w:ascii="Arial" w:cs="Arial" w:eastAsia="Arial" w:hAnsi="Arial"/>
          <w:b/>
          <w:bCs/>
          <w:color w:val="001E3C"/>
          <w:sz w:val="22"/>
          <w:szCs w:val="22"/>
        </w:rPr>
        <w:t xml:space="preserve">Packaging and Transport</w:t>
      </w:r>
    </w:p>
    <w:p>
      <w:pPr>
        <w:spacing w:after="60" w:before="60"/>
      </w:pPr>
      <w:r>
        <w:rPr>
          <w:rFonts w:ascii="Arial" w:cs="Arial" w:eastAsia="Arial" w:hAnsi="Arial"/>
          <w:b w:val="false"/>
          <w:bCs w:val="false"/>
          <w:i w:val="false"/>
          <w:iCs w:val="false"/>
          <w:color w:val="000000"/>
          <w:sz w:val="22"/>
          <w:szCs w:val="22"/>
        </w:rPr>
        <w:t xml:space="preserve">Check that the item has been packaged and transported in accordance with the purchase order requirements, and that there is no evidence of damage in transit.</w:t>
      </w:r>
    </w:p>
    <w:p>
      <w:pPr>
        <w:spacing w:after="60" w:before="160"/>
      </w:pPr>
      <w:r>
        <w:rPr>
          <w:rFonts w:ascii="Arial" w:cs="Arial" w:eastAsia="Arial" w:hAnsi="Arial"/>
          <w:b/>
          <w:bCs/>
          <w:color w:val="001E3C"/>
          <w:sz w:val="22"/>
          <w:szCs w:val="22"/>
        </w:rPr>
        <w:t xml:space="preserve">Identity Verification</w:t>
      </w:r>
    </w:p>
    <w:p>
      <w:pPr>
        <w:spacing w:after="60" w:before="60"/>
      </w:pPr>
      <w:r>
        <w:rPr>
          <w:rFonts w:ascii="Arial" w:cs="Arial" w:eastAsia="Arial" w:hAnsi="Arial"/>
          <w:b w:val="false"/>
          <w:bCs w:val="false"/>
          <w:i w:val="false"/>
          <w:iCs w:val="false"/>
          <w:color w:val="000000"/>
          <w:sz w:val="22"/>
          <w:szCs w:val="22"/>
        </w:rPr>
        <w:t xml:space="preserve">Verify that the item received is the item ordered, by checking identification markings, part numbers and serial numbers against the purchase order and delivery documentation.</w:t>
      </w:r>
    </w:p>
    <w:p>
      <w:pPr>
        <w:spacing w:after="60" w:before="160"/>
      </w:pPr>
      <w:r>
        <w:rPr>
          <w:rFonts w:ascii="Arial" w:cs="Arial" w:eastAsia="Arial" w:hAnsi="Arial"/>
          <w:b/>
          <w:bCs/>
          <w:color w:val="001E3C"/>
          <w:sz w:val="22"/>
          <w:szCs w:val="22"/>
        </w:rPr>
        <w:t xml:space="preserve">CFSI Check</w:t>
      </w:r>
    </w:p>
    <w:p>
      <w:pPr>
        <w:spacing w:after="60" w:before="60"/>
      </w:pPr>
      <w:r>
        <w:rPr>
          <w:rFonts w:ascii="Arial" w:cs="Arial" w:eastAsia="Arial" w:hAnsi="Arial"/>
          <w:b w:val="false"/>
          <w:bCs w:val="false"/>
          <w:i w:val="false"/>
          <w:iCs w:val="false"/>
          <w:color w:val="000000"/>
          <w:sz w:val="22"/>
          <w:szCs w:val="22"/>
        </w:rPr>
        <w:t xml:space="preserve">Check the item for signs of CFSI. Review the material certificates and traceability documentation. For at-risk items, perform or arrange for positive material identification testing.</w:t>
      </w:r>
    </w:p>
    <w:p>
      <w:pPr>
        <w:spacing w:after="60" w:before="160"/>
      </w:pPr>
      <w:r>
        <w:rPr>
          <w:rFonts w:ascii="Arial" w:cs="Arial" w:eastAsia="Arial" w:hAnsi="Arial"/>
          <w:b/>
          <w:bCs/>
          <w:color w:val="001E3C"/>
          <w:sz w:val="22"/>
          <w:szCs w:val="22"/>
        </w:rPr>
        <w:t xml:space="preserve">Documentation Review</w:t>
      </w:r>
    </w:p>
    <w:p>
      <w:pPr>
        <w:spacing w:after="60" w:before="60"/>
      </w:pPr>
      <w:r>
        <w:rPr>
          <w:rFonts w:ascii="Arial" w:cs="Arial" w:eastAsia="Arial" w:hAnsi="Arial"/>
          <w:b w:val="false"/>
          <w:bCs w:val="false"/>
          <w:i w:val="false"/>
          <w:iCs w:val="false"/>
          <w:color w:val="000000"/>
          <w:sz w:val="22"/>
          <w:szCs w:val="22"/>
        </w:rPr>
        <w:t xml:space="preserve">Check that all required documents have been received and that they are complete, correct and consistent with each other and with the item. At a minimum, verify:</w:t>
      </w:r>
    </w:p>
    <w:p>
      <w:pPr>
        <w:pStyle w:val="ListParagraph"/>
        <w:numPr>
          <w:ilvl w:val="0"/>
          <w:numId w:val="2"/>
        </w:numPr>
        <w:spacing w:after="40" w:before="40"/>
      </w:pPr>
      <w:r>
        <w:rPr>
          <w:rFonts w:ascii="Arial" w:cs="Arial" w:eastAsia="Arial" w:hAnsi="Arial"/>
          <w:sz w:val="22"/>
          <w:szCs w:val="22"/>
        </w:rPr>
        <w:t xml:space="preserve">Certificate of conformance signed by an authorised person</w:t>
      </w:r>
    </w:p>
    <w:p>
      <w:pPr>
        <w:pStyle w:val="ListParagraph"/>
        <w:numPr>
          <w:ilvl w:val="0"/>
          <w:numId w:val="2"/>
        </w:numPr>
        <w:spacing w:after="40" w:before="40"/>
      </w:pPr>
      <w:r>
        <w:rPr>
          <w:rFonts w:ascii="Arial" w:cs="Arial" w:eastAsia="Arial" w:hAnsi="Arial"/>
          <w:sz w:val="22"/>
          <w:szCs w:val="22"/>
        </w:rPr>
        <w:t xml:space="preserve">Material certificates (mill certificates or test certificates)</w:t>
      </w:r>
    </w:p>
    <w:p>
      <w:pPr>
        <w:pStyle w:val="ListParagraph"/>
        <w:numPr>
          <w:ilvl w:val="0"/>
          <w:numId w:val="2"/>
        </w:numPr>
        <w:spacing w:after="40" w:before="40"/>
      </w:pPr>
      <w:r>
        <w:rPr>
          <w:rFonts w:ascii="Arial" w:cs="Arial" w:eastAsia="Arial" w:hAnsi="Arial"/>
          <w:sz w:val="22"/>
          <w:szCs w:val="22"/>
        </w:rPr>
        <w:t xml:space="preserve">Inspection and test records</w:t>
      </w:r>
    </w:p>
    <w:p>
      <w:pPr>
        <w:pStyle w:val="ListParagraph"/>
        <w:numPr>
          <w:ilvl w:val="0"/>
          <w:numId w:val="2"/>
        </w:numPr>
        <w:spacing w:after="40" w:before="40"/>
      </w:pPr>
      <w:r>
        <w:rPr>
          <w:rFonts w:ascii="Arial" w:cs="Arial" w:eastAsia="Arial" w:hAnsi="Arial"/>
          <w:sz w:val="22"/>
          <w:szCs w:val="22"/>
        </w:rPr>
        <w:t xml:space="preserve">Non-conformance records and close-out evidence (if any NCRs were raised)</w:t>
      </w:r>
    </w:p>
    <w:p>
      <w:pPr>
        <w:pStyle w:val="ListParagraph"/>
        <w:numPr>
          <w:ilvl w:val="0"/>
          <w:numId w:val="2"/>
        </w:numPr>
        <w:spacing w:after="40" w:before="40"/>
      </w:pPr>
      <w:r>
        <w:rPr>
          <w:rFonts w:ascii="Arial" w:cs="Arial" w:eastAsia="Arial" w:hAnsi="Arial"/>
          <w:sz w:val="22"/>
          <w:szCs w:val="22"/>
        </w:rPr>
        <w:t xml:space="preserve">Any third-party inspection certificates required</w:t>
      </w:r>
    </w:p>
    <w:p>
      <w:pPr>
        <w:spacing w:after="60" w:before="160"/>
      </w:pPr>
      <w:r>
        <w:rPr>
          <w:rFonts w:ascii="Arial" w:cs="Arial" w:eastAsia="Arial" w:hAnsi="Arial"/>
          <w:b/>
          <w:bCs/>
          <w:color w:val="001E3C"/>
          <w:sz w:val="22"/>
          <w:szCs w:val="22"/>
        </w:rPr>
        <w:t xml:space="preserve">Physical Inspection</w:t>
      </w:r>
    </w:p>
    <w:p>
      <w:pPr>
        <w:spacing w:after="60" w:before="60"/>
      </w:pPr>
      <w:r>
        <w:rPr>
          <w:rFonts w:ascii="Arial" w:cs="Arial" w:eastAsia="Arial" w:hAnsi="Arial"/>
          <w:b w:val="false"/>
          <w:bCs w:val="false"/>
          <w:i w:val="false"/>
          <w:iCs w:val="false"/>
          <w:color w:val="000000"/>
          <w:sz w:val="22"/>
          <w:szCs w:val="22"/>
        </w:rPr>
        <w:t xml:space="preserve">Conduct a physical inspection of the item against key specification requirements. For complex items, this may be limited to a visual inspection, dimensional check and marking verification. The scope of physical inspection should be defined in advance based on what was covered by source inspection.</w:t>
      </w:r>
    </w:p>
    <w:p>
      <w:pPr>
        <w:pStyle w:val="Heading2"/>
        <w:spacing w:after="80" w:before="200"/>
      </w:pPr>
      <w:r>
        <w:rPr>
          <w:rFonts w:ascii="Arial" w:cs="Arial" w:eastAsia="Arial" w:hAnsi="Arial"/>
          <w:b/>
          <w:bCs/>
          <w:color w:val="7B2D8B"/>
          <w:sz w:val="26"/>
          <w:szCs w:val="26"/>
        </w:rPr>
        <w:t xml:space="preserve">5.3 Goods Receipt Outcomes</w:t>
      </w:r>
    </w:p>
    <w:p>
      <w:pPr>
        <w:spacing w:after="60" w:before="60"/>
      </w:pPr>
      <w:r>
        <w:rPr>
          <w:rFonts w:ascii="Arial" w:cs="Arial" w:eastAsia="Arial" w:hAnsi="Arial"/>
          <w:b w:val="false"/>
          <w:bCs w:val="false"/>
          <w:i w:val="false"/>
          <w:iCs w:val="false"/>
          <w:color w:val="000000"/>
          <w:sz w:val="22"/>
          <w:szCs w:val="22"/>
        </w:rPr>
        <w:t xml:space="preserve">The goods receipt inspection should result in one of three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c>
          <w:tcPr>
            <w:tcW w:type="dxa" w:w="65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Accepted</w:t>
            </w:r>
          </w:p>
        </w:tc>
        <w:tc>
          <w:tcPr>
            <w:tcW w:type="dxa" w:w="6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 the goods receipt record. Transfer item to stock or forward to site with the quality records. Notify the supplier of acceptance</w:t>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Conditionally Accepted</w:t>
            </w:r>
          </w:p>
        </w:tc>
        <w:tc>
          <w:tcPr>
            <w:tcW w:type="dxa" w:w="6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 is accepted into controlled hold pending resolution of a minor documentation issue or a non-critical physical finding. Do not release to production until the condition is resolved</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Rejected</w:t>
            </w:r>
          </w:p>
        </w:tc>
        <w:tc>
          <w:tcPr>
            <w:tcW w:type="dxa" w:w="6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Issue a formal NCR to the supplier. Return the item or quarantine it on site pending the supplier's response. Do not use the item. Notify your buyer if the rejection will affect programme</w:t>
            </w:r>
          </w:p>
        </w:tc>
      </w:tr>
    </w:tbl>
    <w:p>
      <w:r>
        <w:br w:type="page"/>
      </w:r>
    </w:p>
    <w:p>
      <w:pPr>
        <w:pStyle w:val="Heading1"/>
        <w:spacing w:after="120" w:before="300"/>
      </w:pPr>
      <w:r>
        <w:rPr>
          <w:rFonts w:ascii="Arial" w:cs="Arial" w:eastAsia="Arial" w:hAnsi="Arial"/>
          <w:b/>
          <w:bCs/>
          <w:color w:val="29ABE2"/>
          <w:sz w:val="32"/>
          <w:szCs w:val="32"/>
        </w:rPr>
        <w:t xml:space="preserve">6. Third-Party and Independent Inspection</w:t>
      </w:r>
    </w:p>
    <w:p>
      <w:pPr>
        <w:pStyle w:val="Heading2"/>
        <w:spacing w:after="80" w:before="200"/>
      </w:pPr>
      <w:r>
        <w:rPr>
          <w:rFonts w:ascii="Arial" w:cs="Arial" w:eastAsia="Arial" w:hAnsi="Arial"/>
          <w:b/>
          <w:bCs/>
          <w:color w:val="7B2D8B"/>
          <w:sz w:val="26"/>
          <w:szCs w:val="26"/>
        </w:rPr>
        <w:t xml:space="preserve">6.1 When Third-Party Inspection Is Required</w:t>
      </w:r>
    </w:p>
    <w:p>
      <w:pPr>
        <w:spacing w:after="60" w:before="60"/>
      </w:pPr>
      <w:r>
        <w:rPr>
          <w:rFonts w:ascii="Arial" w:cs="Arial" w:eastAsia="Arial" w:hAnsi="Arial"/>
          <w:b w:val="false"/>
          <w:bCs w:val="false"/>
          <w:i w:val="false"/>
          <w:iCs w:val="false"/>
          <w:color w:val="000000"/>
          <w:sz w:val="22"/>
          <w:szCs w:val="22"/>
        </w:rPr>
        <w:t xml:space="preserve">For the highest-grade items, or where the purchasing organisation does not have sufficient technical expertise to carry out the required inspection in-house, third-party inspection by an accredited inspection body may be required. Third-party inspection provides additional assurance and is independent of both the purchaser and the supplier.</w:t>
      </w:r>
    </w:p>
    <w:p>
      <w:pPr>
        <w:spacing w:after="60" w:before="60"/>
      </w:pPr>
      <w:r>
        <w:rPr>
          <w:rFonts w:ascii="Arial" w:cs="Arial" w:eastAsia="Arial" w:hAnsi="Arial"/>
          <w:b w:val="false"/>
          <w:bCs w:val="false"/>
          <w:i w:val="false"/>
          <w:iCs w:val="false"/>
          <w:color w:val="000000"/>
          <w:sz w:val="22"/>
          <w:szCs w:val="22"/>
        </w:rPr>
        <w:t xml:space="preserve">Third-party inspection is typically required by:</w:t>
      </w:r>
    </w:p>
    <w:p>
      <w:pPr>
        <w:pStyle w:val="ListParagraph"/>
        <w:numPr>
          <w:ilvl w:val="0"/>
          <w:numId w:val="2"/>
        </w:numPr>
        <w:spacing w:after="40" w:before="40"/>
      </w:pPr>
      <w:r>
        <w:rPr>
          <w:rFonts w:ascii="Arial" w:cs="Arial" w:eastAsia="Arial" w:hAnsi="Arial"/>
          <w:sz w:val="22"/>
          <w:szCs w:val="22"/>
        </w:rPr>
        <w:t xml:space="preserve">The buyer's contract or supply chain management requirements</w:t>
      </w:r>
    </w:p>
    <w:p>
      <w:pPr>
        <w:pStyle w:val="ListParagraph"/>
        <w:numPr>
          <w:ilvl w:val="0"/>
          <w:numId w:val="2"/>
        </w:numPr>
        <w:spacing w:after="40" w:before="40"/>
      </w:pPr>
      <w:r>
        <w:rPr>
          <w:rFonts w:ascii="Arial" w:cs="Arial" w:eastAsia="Arial" w:hAnsi="Arial"/>
          <w:sz w:val="22"/>
          <w:szCs w:val="22"/>
        </w:rPr>
        <w:t xml:space="preserve">The applicable design code (for example, certain pressure vessel codes require third-party inspection as a mandatory element)</w:t>
      </w:r>
    </w:p>
    <w:p>
      <w:pPr>
        <w:pStyle w:val="ListParagraph"/>
        <w:numPr>
          <w:ilvl w:val="0"/>
          <w:numId w:val="2"/>
        </w:numPr>
        <w:spacing w:after="40" w:before="40"/>
      </w:pPr>
      <w:r>
        <w:rPr>
          <w:rFonts w:ascii="Arial" w:cs="Arial" w:eastAsia="Arial" w:hAnsi="Arial"/>
          <w:sz w:val="22"/>
          <w:szCs w:val="22"/>
        </w:rPr>
        <w:t xml:space="preserve">The nuclear safety case, where independent verification is identified as a barrier to failure</w:t>
      </w:r>
    </w:p>
    <w:p>
      <w:pPr>
        <w:pStyle w:val="Heading2"/>
        <w:spacing w:after="80" w:before="200"/>
      </w:pPr>
      <w:r>
        <w:rPr>
          <w:rFonts w:ascii="Arial" w:cs="Arial" w:eastAsia="Arial" w:hAnsi="Arial"/>
          <w:b/>
          <w:bCs/>
          <w:color w:val="7B2D8B"/>
          <w:sz w:val="26"/>
          <w:szCs w:val="26"/>
        </w:rPr>
        <w:t xml:space="preserve">6.2 Working with Third-Party Inspectors</w:t>
      </w:r>
    </w:p>
    <w:p>
      <w:pPr>
        <w:spacing w:after="60" w:before="60"/>
      </w:pPr>
      <w:r>
        <w:rPr>
          <w:rFonts w:ascii="Arial" w:cs="Arial" w:eastAsia="Arial" w:hAnsi="Arial"/>
          <w:b w:val="false"/>
          <w:bCs w:val="false"/>
          <w:i w:val="false"/>
          <w:iCs w:val="false"/>
          <w:color w:val="000000"/>
          <w:sz w:val="22"/>
          <w:szCs w:val="22"/>
        </w:rPr>
        <w:t xml:space="preserve">When using third-party inspection, ensure that:</w:t>
      </w:r>
    </w:p>
    <w:p>
      <w:pPr>
        <w:pStyle w:val="ListParagraph"/>
        <w:numPr>
          <w:ilvl w:val="0"/>
          <w:numId w:val="2"/>
        </w:numPr>
        <w:spacing w:after="40" w:before="40"/>
      </w:pPr>
      <w:r>
        <w:rPr>
          <w:rFonts w:ascii="Arial" w:cs="Arial" w:eastAsia="Arial" w:hAnsi="Arial"/>
          <w:sz w:val="22"/>
          <w:szCs w:val="22"/>
        </w:rPr>
        <w:t xml:space="preserve">The third-party inspector is agreed with the buyer before appointment, where the buyer's approval is required</w:t>
      </w:r>
    </w:p>
    <w:p>
      <w:pPr>
        <w:pStyle w:val="ListParagraph"/>
        <w:numPr>
          <w:ilvl w:val="0"/>
          <w:numId w:val="2"/>
        </w:numPr>
        <w:spacing w:after="40" w:before="40"/>
      </w:pPr>
      <w:r>
        <w:rPr>
          <w:rFonts w:ascii="Arial" w:cs="Arial" w:eastAsia="Arial" w:hAnsi="Arial"/>
          <w:sz w:val="22"/>
          <w:szCs w:val="22"/>
        </w:rPr>
        <w:t xml:space="preserve">The third-party inspector is briefed on the nuclear requirements applicable to the item, not just the general design code requirements</w:t>
      </w:r>
    </w:p>
    <w:p>
      <w:pPr>
        <w:pStyle w:val="ListParagraph"/>
        <w:numPr>
          <w:ilvl w:val="0"/>
          <w:numId w:val="2"/>
        </w:numPr>
        <w:spacing w:after="40" w:before="40"/>
      </w:pPr>
      <w:r>
        <w:rPr>
          <w:rFonts w:ascii="Arial" w:cs="Arial" w:eastAsia="Arial" w:hAnsi="Arial"/>
          <w:sz w:val="22"/>
          <w:szCs w:val="22"/>
        </w:rPr>
        <w:t xml:space="preserve">The third-party inspector's activities are coordinated with your own hold point and witness point programme</w:t>
      </w:r>
    </w:p>
    <w:p>
      <w:pPr>
        <w:pStyle w:val="ListParagraph"/>
        <w:numPr>
          <w:ilvl w:val="0"/>
          <w:numId w:val="2"/>
        </w:numPr>
        <w:spacing w:after="40" w:before="40"/>
      </w:pPr>
      <w:r>
        <w:rPr>
          <w:rFonts w:ascii="Arial" w:cs="Arial" w:eastAsia="Arial" w:hAnsi="Arial"/>
          <w:sz w:val="22"/>
          <w:szCs w:val="22"/>
        </w:rPr>
        <w:t xml:space="preserve">Third-party inspection certificates are reviewed as part of the goods receipt documentation review</w:t>
      </w:r>
    </w:p>
    <w:p>
      <w:pPr>
        <w:spacing w:after="60" w:before="60"/>
      </w:pPr>
      <w:r>
        <w:rPr>
          <w:rFonts w:ascii="Arial" w:cs="Arial" w:eastAsia="Arial" w:hAnsi="Arial"/>
          <w:b w:val="false"/>
          <w:bCs w:val="false"/>
          <w:i w:val="false"/>
          <w:iCs w:val="false"/>
          <w:color w:val="000000"/>
          <w:sz w:val="22"/>
          <w:szCs w:val="22"/>
        </w:rPr>
        <w:t xml:space="preserve">Third-party inspection does not remove your own responsibility for inspection and acceptance. It is an additional layer of assurance, not a substitute for your own oversight.</w:t>
      </w:r>
    </w:p>
    <w:p>
      <w:r>
        <w:br w:type="page"/>
      </w:r>
    </w:p>
    <w:p>
      <w:pPr>
        <w:pStyle w:val="Heading1"/>
        <w:spacing w:after="120" w:before="300"/>
      </w:pPr>
      <w:r>
        <w:rPr>
          <w:rFonts w:ascii="Arial" w:cs="Arial" w:eastAsia="Arial" w:hAnsi="Arial"/>
          <w:b/>
          <w:bCs/>
          <w:color w:val="29ABE2"/>
          <w:sz w:val="32"/>
          <w:szCs w:val="32"/>
        </w:rPr>
        <w:t xml:space="preserve">7. Operational Experience and Lessons Learned</w:t>
      </w:r>
    </w:p>
    <w:p>
      <w:pPr>
        <w:pStyle w:val="Heading2"/>
        <w:spacing w:after="80" w:before="200"/>
      </w:pPr>
      <w:r>
        <w:rPr>
          <w:rFonts w:ascii="Arial" w:cs="Arial" w:eastAsia="Arial" w:hAnsi="Arial"/>
          <w:b/>
          <w:bCs/>
          <w:color w:val="7B2D8B"/>
          <w:sz w:val="26"/>
          <w:szCs w:val="26"/>
        </w:rPr>
        <w:t xml:space="preserve">7.1 Learning from Inspection Activity</w:t>
      </w:r>
    </w:p>
    <w:p>
      <w:pPr>
        <w:spacing w:after="60" w:before="60"/>
      </w:pPr>
      <w:r>
        <w:rPr>
          <w:rFonts w:ascii="Arial" w:cs="Arial" w:eastAsia="Arial" w:hAnsi="Arial"/>
          <w:b w:val="false"/>
          <w:bCs w:val="false"/>
          <w:i w:val="false"/>
          <w:iCs w:val="false"/>
          <w:color w:val="000000"/>
          <w:sz w:val="22"/>
          <w:szCs w:val="22"/>
        </w:rPr>
        <w:t xml:space="preserve">Each inspection programme generates information that has value beyond the individual contract. Patterns of non-conformance, recurring documentation failures and CFSI incidents should be captured as operational experience (OPEX) and shared within the organisation and, where appropriate, with the wider nuclear industry.</w:t>
      </w:r>
    </w:p>
    <w:p>
      <w:pPr>
        <w:spacing w:after="60" w:before="60"/>
      </w:pPr>
      <w:r>
        <w:rPr>
          <w:rFonts w:ascii="Arial" w:cs="Arial" w:eastAsia="Arial" w:hAnsi="Arial"/>
          <w:b w:val="false"/>
          <w:bCs w:val="false"/>
          <w:i w:val="false"/>
          <w:iCs w:val="false"/>
          <w:color w:val="000000"/>
          <w:sz w:val="22"/>
          <w:szCs w:val="22"/>
        </w:rPr>
        <w:t xml:space="preserve">Your OPEX process should capture:</w:t>
      </w:r>
    </w:p>
    <w:p>
      <w:pPr>
        <w:pStyle w:val="ListParagraph"/>
        <w:numPr>
          <w:ilvl w:val="0"/>
          <w:numId w:val="2"/>
        </w:numPr>
        <w:spacing w:after="40" w:before="40"/>
      </w:pPr>
      <w:r>
        <w:rPr>
          <w:rFonts w:ascii="Arial" w:cs="Arial" w:eastAsia="Arial" w:hAnsi="Arial"/>
          <w:sz w:val="22"/>
          <w:szCs w:val="22"/>
        </w:rPr>
        <w:t xml:space="preserve">Non-conformances identified during inspection, categorised by type and supplier</w:t>
      </w:r>
    </w:p>
    <w:p>
      <w:pPr>
        <w:pStyle w:val="ListParagraph"/>
        <w:numPr>
          <w:ilvl w:val="0"/>
          <w:numId w:val="2"/>
        </w:numPr>
        <w:spacing w:after="40" w:before="40"/>
      </w:pPr>
      <w:r>
        <w:rPr>
          <w:rFonts w:ascii="Arial" w:cs="Arial" w:eastAsia="Arial" w:hAnsi="Arial"/>
          <w:sz w:val="22"/>
          <w:szCs w:val="22"/>
        </w:rPr>
        <w:t xml:space="preserve">Near-misses: situations where a non-conformance was narrowly avoided</w:t>
      </w:r>
    </w:p>
    <w:p>
      <w:pPr>
        <w:pStyle w:val="ListParagraph"/>
        <w:numPr>
          <w:ilvl w:val="0"/>
          <w:numId w:val="2"/>
        </w:numPr>
        <w:spacing w:after="40" w:before="40"/>
      </w:pPr>
      <w:r>
        <w:rPr>
          <w:rFonts w:ascii="Arial" w:cs="Arial" w:eastAsia="Arial" w:hAnsi="Arial"/>
          <w:sz w:val="22"/>
          <w:szCs w:val="22"/>
        </w:rPr>
        <w:t xml:space="preserve">Instances of suspected or confirmed CFSI</w:t>
      </w:r>
    </w:p>
    <w:p>
      <w:pPr>
        <w:pStyle w:val="ListParagraph"/>
        <w:numPr>
          <w:ilvl w:val="0"/>
          <w:numId w:val="2"/>
        </w:numPr>
        <w:spacing w:after="40" w:before="40"/>
      </w:pPr>
      <w:r>
        <w:rPr>
          <w:rFonts w:ascii="Arial" w:cs="Arial" w:eastAsia="Arial" w:hAnsi="Arial"/>
          <w:sz w:val="22"/>
          <w:szCs w:val="22"/>
        </w:rPr>
        <w:t xml:space="preserve">Good practices observed at supplier premises that could be applied elsewhere</w:t>
      </w:r>
    </w:p>
    <w:p>
      <w:pPr>
        <w:spacing w:after="60" w:before="60"/>
      </w:pPr>
      <w:r>
        <w:rPr>
          <w:rFonts w:ascii="Arial" w:cs="Arial" w:eastAsia="Arial" w:hAnsi="Arial"/>
          <w:b w:val="false"/>
          <w:bCs w:val="false"/>
          <w:i w:val="false"/>
          <w:iCs w:val="false"/>
          <w:color w:val="000000"/>
          <w:sz w:val="22"/>
          <w:szCs w:val="22"/>
        </w:rPr>
        <w:t xml:space="preserve">OPEX from supplier inspection should feed into your supplier performance assessment, your risk assessment of the supply chain, and your decisions about the level of oversight applied to individual suppliers.</w:t>
      </w:r>
    </w:p>
    <w:p>
      <w:pPr>
        <w:pStyle w:val="Heading2"/>
        <w:spacing w:after="80" w:before="200"/>
      </w:pPr>
      <w:r>
        <w:rPr>
          <w:rFonts w:ascii="Arial" w:cs="Arial" w:eastAsia="Arial" w:hAnsi="Arial"/>
          <w:b/>
          <w:bCs/>
          <w:color w:val="7B2D8B"/>
          <w:sz w:val="26"/>
          <w:szCs w:val="26"/>
        </w:rPr>
        <w:t xml:space="preserve">7.2 Sharing OPEX with the Industry</w:t>
      </w:r>
    </w:p>
    <w:p>
      <w:pPr>
        <w:spacing w:after="60" w:before="60"/>
      </w:pPr>
      <w:r>
        <w:rPr>
          <w:rFonts w:ascii="Arial" w:cs="Arial" w:eastAsia="Arial" w:hAnsi="Arial"/>
          <w:b w:val="false"/>
          <w:bCs w:val="false"/>
          <w:i w:val="false"/>
          <w:iCs w:val="false"/>
          <w:color w:val="000000"/>
          <w:sz w:val="22"/>
          <w:szCs w:val="22"/>
        </w:rPr>
        <w:t xml:space="preserve">The nuclear industry operates a number of OPEX sharing mechanisms through which organisations can share lessons from quality events with the wider sector. Sharing OPEX, particularly regarding CFSI, is not only good practice: it is expected by ONR as part of responsible supply chain management. Organisations that identify confirmed CFSI have an obligation to report this through the relevant industry channels.</w:t>
      </w:r>
    </w:p>
    <w:sectPr>
      <w:headerReference w:type="default" r:id="rId7"/>
      <w:footerReference w:type="default" r:id="rId8"/>
      <w:pgSz w:w="11906" w:h="16838" w:orient="portrait"/>
      <w:pgMar w:top="1080" w:right="1080" w:bottom="108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83348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2eda31393aae68c5235126f9b3475deb69620a6c.jpg"/></Relationships>
</file>

<file path=word/_rels/header1.xml.rels><?xml version='1.0' encoding='UTF-8' standalone='yes'?>
<Relationships xmlns="http://schemas.openxmlformats.org/package/2006/relationships"><Relationship Id="rId0" Type="http://schemas.openxmlformats.org/officeDocument/2006/relationships/image" Target="media/18ce91d465f61e78c90e8fc0e18af39cf6d62cef.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BAE59C-6C1C-4896-81B3-74E5713E7ABD}"/>
</file>

<file path=customXml/itemProps2.xml><?xml version="1.0" encoding="utf-8"?>
<ds:datastoreItem xmlns:ds="http://schemas.openxmlformats.org/officeDocument/2006/customXml" ds:itemID="{10E8AD75-68D4-435F-851B-B77AE3B56C20}"/>
</file>

<file path=customXml/itemProps3.xml><?xml version="1.0" encoding="utf-8"?>
<ds:datastoreItem xmlns:ds="http://schemas.openxmlformats.org/officeDocument/2006/customXml" ds:itemID="{9EC7E9C7-6A1D-4B82-AE9B-4A577752FBA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NSS-06-TG-04 Supplier Inspection and Surveillance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