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9FE3" w:val="clear"/>
            <w:tcMar>
              <w:top w:type="dxa" w:w="160"/>
              <w:left w:type="dxa" w:w="200"/>
              <w:bottom w:type="dxa" w:w="160"/>
              <w:right w:type="dxa" w:w="200"/>
            </w:tcMar>
          </w:tcPr>
          <w:p>
            <w:r>
              <w:rPr>
                <w:rFonts w:ascii="Arial" w:cs="Arial" w:eastAsia="Arial" w:hAnsi="Arial"/>
                <w:b/>
                <w:bCs/>
                <w:color w:val="FFFFFF"/>
                <w:sz w:val="20"/>
                <w:szCs w:val="20"/>
              </w:rPr>
              <w:t xml:space="preserve">TBT-08</w:t>
            </w:r>
          </w:p>
          <w:p>
            <w:r>
              <w:rPr>
                <w:rFonts w:ascii="Arial" w:cs="Arial" w:eastAsia="Arial" w:hAnsi="Arial"/>
                <w:b/>
                <w:bCs/>
                <w:color w:val="FFFFFF"/>
                <w:sz w:val="32"/>
                <w:szCs w:val="32"/>
              </w:rPr>
              <w:t xml:space="preserve">Fire Safety and Emergency Procedures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00"/>
        <w:gridCol w:w="2000"/>
        <w:gridCol w:w="2160"/>
      </w:tblGrid>
      <w:tr>
        <w:tc>
          <w:tcPr>
            <w:tcW w:type="dxa" w:w="1600"/>
            <w:tcBorders>
              <w:top w:val="single" w:color="DDDDDD" w:sz="4"/>
              <w:left w:val="single" w:color="DDDDDD" w:sz="4"/>
              <w:bottom w:val="single" w:color="DDDDDD" w:sz="4"/>
              <w:right w:val="single" w:color="DDDDDD" w:sz="4"/>
            </w:tcBorders>
            <w:shd w:fill="5B595A" w:val="clear"/>
            <w:tcMar>
              <w:top w:type="dxa" w:w="60"/>
              <w:left w:type="dxa" w:w="120"/>
              <w:bottom w:type="dxa" w:w="60"/>
              <w:right w:type="dxa" w:w="120"/>
            </w:tcMar>
          </w:tcPr>
          <w:p>
            <w:r>
              <w:rPr>
                <w:rFonts w:ascii="Arial" w:cs="Arial" w:eastAsia="Arial" w:hAnsi="Arial"/>
                <w:b/>
                <w:bCs/>
                <w:color w:val="FFFFFF"/>
                <w:sz w:val="16"/>
                <w:szCs w:val="16"/>
              </w:rPr>
              <w:t xml:space="preserve">Ref</w:t>
            </w:r>
          </w:p>
        </w:tc>
        <w:tc>
          <w:tcPr>
            <w:tcW w:type="dxa" w:w="1600"/>
            <w:tcBorders>
              <w:top w:val="single" w:color="DDDDDD" w:sz="4"/>
              <w:left w:val="single" w:color="DDDDDD" w:sz="4"/>
              <w:bottom w:val="single" w:color="DDDDDD" w:sz="4"/>
              <w:right w:val="single" w:color="DDDDDD" w:sz="4"/>
            </w:tcBorders>
            <w:shd w:fill="5B595A" w:val="clear"/>
            <w:tcMar>
              <w:top w:type="dxa" w:w="60"/>
              <w:left w:type="dxa" w:w="120"/>
              <w:bottom w:type="dxa" w:w="60"/>
              <w:right w:type="dxa" w:w="120"/>
            </w:tcMar>
          </w:tcPr>
          <w:p>
            <w:r>
              <w:rPr>
                <w:rFonts w:ascii="Arial" w:cs="Arial" w:eastAsia="Arial" w:hAnsi="Arial"/>
                <w:b/>
                <w:bCs/>
                <w:color w:val="FFFFFF"/>
                <w:sz w:val="16"/>
                <w:szCs w:val="16"/>
              </w:rPr>
              <w:t xml:space="preserve">Version</w:t>
            </w:r>
          </w:p>
        </w:tc>
        <w:tc>
          <w:tcPr>
            <w:tcW w:type="dxa" w:w="2000"/>
            <w:tcBorders>
              <w:top w:val="single" w:color="DDDDDD" w:sz="4"/>
              <w:left w:val="single" w:color="DDDDDD" w:sz="4"/>
              <w:bottom w:val="single" w:color="DDDDDD" w:sz="4"/>
              <w:right w:val="single" w:color="DDDDDD" w:sz="4"/>
            </w:tcBorders>
            <w:shd w:fill="5B595A" w:val="clear"/>
            <w:tcMar>
              <w:top w:type="dxa" w:w="60"/>
              <w:left w:type="dxa" w:w="120"/>
              <w:bottom w:type="dxa" w:w="60"/>
              <w:right w:type="dxa" w:w="120"/>
            </w:tcMar>
          </w:tcPr>
          <w:p>
            <w:r>
              <w:rPr>
                <w:rFonts w:ascii="Arial" w:cs="Arial" w:eastAsia="Arial" w:hAnsi="Arial"/>
                <w:b/>
                <w:bCs/>
                <w:color w:val="FFFFFF"/>
                <w:sz w:val="16"/>
                <w:szCs w:val="16"/>
              </w:rPr>
              <w:t xml:space="preserve">Date</w:t>
            </w:r>
          </w:p>
        </w:tc>
        <w:tc>
          <w:tcPr>
            <w:tcW w:type="dxa" w:w="2000"/>
            <w:tcBorders>
              <w:top w:val="single" w:color="DDDDDD" w:sz="4"/>
              <w:left w:val="single" w:color="DDDDDD" w:sz="4"/>
              <w:bottom w:val="single" w:color="DDDDDD" w:sz="4"/>
              <w:right w:val="single" w:color="DDDDDD" w:sz="4"/>
            </w:tcBorders>
            <w:shd w:fill="5B595A" w:val="clear"/>
            <w:tcMar>
              <w:top w:type="dxa" w:w="60"/>
              <w:left w:type="dxa" w:w="120"/>
              <w:bottom w:type="dxa" w:w="60"/>
              <w:right w:type="dxa" w:w="120"/>
            </w:tcMar>
          </w:tcPr>
          <w:p>
            <w:r>
              <w:rPr>
                <w:rFonts w:ascii="Arial" w:cs="Arial" w:eastAsia="Arial" w:hAnsi="Arial"/>
                <w:b/>
                <w:bCs/>
                <w:color w:val="FFFFFF"/>
                <w:sz w:val="16"/>
                <w:szCs w:val="16"/>
              </w:rPr>
              <w:t xml:space="preserve">Duration</w:t>
            </w:r>
          </w:p>
        </w:tc>
        <w:tc>
          <w:tcPr>
            <w:tcW w:type="dxa" w:w="2160"/>
            <w:tcBorders>
              <w:top w:val="single" w:color="DDDDDD" w:sz="4"/>
              <w:left w:val="single" w:color="DDDDDD" w:sz="4"/>
              <w:bottom w:val="single" w:color="DDDDDD" w:sz="4"/>
              <w:right w:val="single" w:color="DDDDDD" w:sz="4"/>
            </w:tcBorders>
            <w:shd w:fill="5B595A" w:val="clear"/>
            <w:tcMar>
              <w:top w:type="dxa" w:w="60"/>
              <w:left w:type="dxa" w:w="120"/>
              <w:bottom w:type="dxa" w:w="60"/>
              <w:right w:type="dxa" w:w="120"/>
            </w:tcMar>
          </w:tcPr>
          <w:p>
            <w:r>
              <w:rPr>
                <w:rFonts w:ascii="Arial" w:cs="Arial" w:eastAsia="Arial" w:hAnsi="Arial"/>
                <w:b/>
                <w:bCs/>
                <w:color w:val="FFFFFF"/>
                <w:sz w:val="16"/>
                <w:szCs w:val="16"/>
              </w:rPr>
              <w:t xml:space="preserve">Audience</w:t>
            </w:r>
          </w:p>
        </w:tc>
      </w:tr>
      <w:tr>
        <w:tc>
          <w:tcPr>
            <w:tcW w:type="dxa" w:w="16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5B595A"/>
                <w:sz w:val="16"/>
                <w:szCs w:val="16"/>
              </w:rPr>
              <w:t xml:space="preserve">TBT-08</w:t>
            </w:r>
          </w:p>
        </w:tc>
        <w:tc>
          <w:tcPr>
            <w:tcW w:type="dxa" w:w="16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5B595A"/>
                <w:sz w:val="16"/>
                <w:szCs w:val="16"/>
              </w:rPr>
              <w:t xml:space="preserve">v1.0</w:t>
            </w:r>
          </w:p>
        </w:tc>
        <w:tc>
          <w:tcPr>
            <w:tcW w:type="dxa" w:w="2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5B595A"/>
                <w:sz w:val="16"/>
                <w:szCs w:val="16"/>
              </w:rPr>
              <w:t xml:space="preserve">June 2025</w:t>
            </w:r>
          </w:p>
        </w:tc>
        <w:tc>
          <w:tcPr>
            <w:tcW w:type="dxa" w:w="2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5B595A"/>
                <w:sz w:val="16"/>
                <w:szCs w:val="16"/>
              </w:rPr>
              <w:t xml:space="preserve">15-20 minutes</w:t>
            </w:r>
          </w:p>
        </w:tc>
        <w:tc>
          <w:tcPr>
            <w:tcW w:type="dxa" w:w="21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5B595A"/>
                <w:sz w:val="16"/>
                <w:szCs w:val="16"/>
              </w:rPr>
              <w:t xml:space="preserve">All Employees</w:t>
            </w:r>
          </w:p>
        </w:tc>
      </w:tr>
    </w:tbl>
    <w:p>
      <w:pPr>
        <w:spacing w:after="0" w:before="160"/>
      </w:pPr>
      <w:r>
        <w:t xml:space="preserve"/>
      </w:r>
    </w:p>
    <w:p>
      <w:pPr>
        <w:spacing w:after="80" w:before="240"/>
      </w:pPr>
      <w:r>
        <w:rPr>
          <w:rFonts w:ascii="Arial" w:cs="Arial" w:eastAsia="Arial" w:hAnsi="Arial"/>
          <w:b/>
          <w:bCs/>
          <w:color w:val="009FE3"/>
          <w:sz w:val="24"/>
          <w:szCs w:val="24"/>
        </w:rPr>
        <w:t xml:space="preserve">Why This Matters</w:t>
      </w:r>
    </w:p>
    <w:p>
      <w:pPr>
        <w:spacing w:after="60" w:before="60"/>
      </w:pPr>
      <w:r>
        <w:rPr>
          <w:rFonts w:ascii="Arial" w:cs="Arial" w:eastAsia="Arial" w:hAnsi="Arial"/>
          <w:color w:val="5B595A"/>
          <w:sz w:val="20"/>
          <w:szCs w:val="20"/>
        </w:rPr>
        <w:t xml:space="preserve">A fire can spread through a workshop in minutes. Knowing what to do, and doing it without hesitation, can save lives. In manufacturing environments, fuels, lubricants, flammable solvents, gas supplies, electrical systems, and wood waste all provide potential ignition sources and fuel. Every person on site has a role to play in fire prevention and in responding correctly when an alarm sounds.</w:t>
      </w:r>
    </w:p>
    <w:p>
      <w:pPr>
        <w:spacing w:after="0" w:before="80"/>
      </w:pPr>
      <w:r>
        <w:t xml:space="preserve"/>
      </w:r>
    </w:p>
    <w:p>
      <w:pPr>
        <w:spacing w:after="80" w:before="240"/>
      </w:pPr>
      <w:r>
        <w:rPr>
          <w:rFonts w:ascii="Arial" w:cs="Arial" w:eastAsia="Arial" w:hAnsi="Arial"/>
          <w:b/>
          <w:bCs/>
          <w:color w:val="009FE3"/>
          <w:sz w:val="24"/>
          <w:szCs w:val="24"/>
        </w:rPr>
        <w:t xml:space="preserve">Legal Background</w:t>
      </w:r>
    </w:p>
    <w:p>
      <w:pPr>
        <w:spacing w:after="60" w:before="60"/>
      </w:pPr>
      <w:r>
        <w:rPr>
          <w:rFonts w:ascii="Arial" w:cs="Arial" w:eastAsia="Arial" w:hAnsi="Arial"/>
          <w:color w:val="5B595A"/>
          <w:sz w:val="20"/>
          <w:szCs w:val="20"/>
        </w:rPr>
        <w:t xml:space="preserve">The Regulatory Reform (Fire Safety) Order 2005 requires the Responsible Person to carry out a fire risk assessment, implement appropriate fire precautions, provide fire safety equipment and training, and ensure all employees know the emergency procedures. Employees must cooperate with fire safety requirements and not do anything that compromises fire safety.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9FE3" w:val="clear"/>
            <w:tcMar>
              <w:top w:type="dxa" w:w="80"/>
              <w:left w:type="dxa" w:w="160"/>
              <w:bottom w:type="dxa" w:w="80"/>
              <w:right w:type="dxa" w:w="160"/>
            </w:tcMar>
          </w:tcPr>
          <w:p>
            <w:r>
              <w:rPr>
                <w:rFonts w:ascii="Arial" w:cs="Arial" w:eastAsia="Arial" w:hAnsi="Arial"/>
                <w:b/>
                <w:bCs/>
                <w:color w:val="FFFFFF"/>
                <w:sz w:val="22"/>
                <w:szCs w:val="22"/>
              </w:rPr>
              <w:t xml:space="preserve">Key Facts</w:t>
            </w:r>
          </w:p>
        </w:tc>
      </w:tr>
      <w:tr>
        <w:tc>
          <w:tcPr>
            <w:tcW w:type="dxa" w:w="9360"/>
            <w:tcBorders>
              <w:top w:val="single" w:color="CCCCCC" w:sz="4"/>
              <w:left w:val="single" w:color="CCCCCC" w:sz="4"/>
              <w:bottom w:val="single" w:color="CCCCCC" w:sz="4"/>
              <w:right w:val="single" w:color="CCCCCC" w:sz="4"/>
            </w:tcBorders>
            <w:shd w:fill="E6F5FC" w:val="clear"/>
            <w:tcMar>
              <w:top w:type="dxa" w:w="100"/>
              <w:left w:type="dxa" w:w="160"/>
              <w:bottom w:type="dxa" w:w="100"/>
              <w:right w:type="dxa" w:w="160"/>
            </w:tcMar>
          </w:tcPr>
          <w:p>
            <w:pPr>
              <w:pStyle w:val="ListParagraph"/>
              <w:numPr>
                <w:ilvl w:val="0"/>
                <w:numId w:val="2"/>
              </w:numPr>
              <w:spacing w:after="40" w:before="40"/>
            </w:pPr>
            <w:r>
              <w:rPr>
                <w:rFonts w:ascii="Arial" w:cs="Arial" w:eastAsia="Arial" w:hAnsi="Arial"/>
                <w:color w:val="5B595A"/>
                <w:sz w:val="20"/>
                <w:szCs w:val="20"/>
              </w:rPr>
              <w:t xml:space="preserve">The three elements needed for fire are fuel, heat, and oxygen. Remove any one of these and the fire cannot start or continue.</w:t>
            </w:r>
          </w:p>
          <w:p>
            <w:pPr>
              <w:pStyle w:val="ListParagraph"/>
              <w:numPr>
                <w:ilvl w:val="0"/>
                <w:numId w:val="2"/>
              </w:numPr>
              <w:spacing w:after="40" w:before="40"/>
            </w:pPr>
            <w:r>
              <w:rPr>
                <w:rFonts w:ascii="Arial" w:cs="Arial" w:eastAsia="Arial" w:hAnsi="Arial"/>
                <w:color w:val="5B595A"/>
                <w:sz w:val="20"/>
                <w:szCs w:val="20"/>
              </w:rPr>
              <w:t xml:space="preserve">Most workplace fires are preventable. Electrical faults, hot work without permits, and improper storage of flammable materials are leading causes.</w:t>
            </w:r>
          </w:p>
          <w:p>
            <w:pPr>
              <w:pStyle w:val="ListParagraph"/>
              <w:numPr>
                <w:ilvl w:val="0"/>
                <w:numId w:val="2"/>
              </w:numPr>
              <w:spacing w:after="40" w:before="40"/>
            </w:pPr>
            <w:r>
              <w:rPr>
                <w:rFonts w:ascii="Arial" w:cs="Arial" w:eastAsia="Arial" w:hAnsi="Arial"/>
                <w:color w:val="5B595A"/>
                <w:sz w:val="20"/>
                <w:szCs w:val="20"/>
              </w:rPr>
              <w:t xml:space="preserve">Fire can double in size every minute. The priority is always evacuation, not firefighting.</w:t>
            </w:r>
          </w:p>
          <w:p>
            <w:pPr>
              <w:pStyle w:val="ListParagraph"/>
              <w:numPr>
                <w:ilvl w:val="0"/>
                <w:numId w:val="2"/>
              </w:numPr>
              <w:spacing w:after="40" w:before="40"/>
            </w:pPr>
            <w:r>
              <w:rPr>
                <w:rFonts w:ascii="Arial" w:cs="Arial" w:eastAsia="Arial" w:hAnsi="Arial"/>
                <w:color w:val="5B595A"/>
                <w:sz w:val="20"/>
                <w:szCs w:val="20"/>
              </w:rPr>
              <w:t xml:space="preserve">Fire extinguishers are for tackling small, contained fires in the early stages only. Never put yourself at risk attempting to fight a fire.</w:t>
            </w:r>
          </w:p>
          <w:p>
            <w:pPr>
              <w:pStyle w:val="ListParagraph"/>
              <w:numPr>
                <w:ilvl w:val="0"/>
                <w:numId w:val="2"/>
              </w:numPr>
              <w:spacing w:after="40" w:before="40"/>
            </w:pPr>
            <w:r>
              <w:rPr>
                <w:rFonts w:ascii="Arial" w:cs="Arial" w:eastAsia="Arial" w:hAnsi="Arial"/>
                <w:color w:val="5B595A"/>
                <w:sz w:val="20"/>
                <w:szCs w:val="20"/>
              </w:rPr>
              <w:t xml:space="preserve">Fire doors are critical. A closed fire door can hold back a fire for up to 30 minutes. Wedged-open fire doors remove this protection entirely.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40"/>
        <w:gridCol w:w="4720"/>
      </w:tblGrid>
      <w:tr>
        <w:tc>
          <w:tcPr>
            <w:tcW w:type="dxa" w:w="4640"/>
            <w:tcBorders>
              <w:top w:val="none" w:color="FFFFFF" w:sz="0"/>
              <w:left w:val="none" w:color="FFFFFF" w:sz="0"/>
              <w:bottom w:val="none" w:color="FFFFFF" w:sz="0"/>
              <w:right w:val="none" w:color="FFFFFF" w:sz="0"/>
            </w:tcBorders>
            <w:shd w:fill="009FE3" w:val="clear"/>
            <w:tcMar>
              <w:top w:type="dxa" w:w="80"/>
              <w:left w:type="dxa" w:w="140"/>
              <w:bottom w:type="dxa" w:w="80"/>
              <w:right w:type="dxa" w:w="140"/>
            </w:tcMar>
          </w:tcPr>
          <w:p>
            <w:r>
              <w:rPr>
                <w:rFonts w:ascii="Arial" w:cs="Arial" w:eastAsia="Arial" w:hAnsi="Arial"/>
                <w:b/>
                <w:bCs/>
                <w:color w:val="FFFFFF"/>
                <w:sz w:val="20"/>
                <w:szCs w:val="20"/>
              </w:rPr>
              <w:t xml:space="preserve">What You MUST Do</w:t>
            </w:r>
          </w:p>
        </w:tc>
        <w:tc>
          <w:tcPr>
            <w:tcW w:type="dxa" w:w="4720"/>
            <w:tcBorders>
              <w:top w:val="none" w:color="FFFFFF" w:sz="0"/>
              <w:left w:val="none" w:color="FFFFFF" w:sz="0"/>
              <w:bottom w:val="none" w:color="FFFFFF" w:sz="0"/>
              <w:right w:val="none" w:color="FFFFFF" w:sz="0"/>
            </w:tcBorders>
            <w:shd w:fill="83348F" w:val="clear"/>
            <w:tcMar>
              <w:top w:type="dxa" w:w="80"/>
              <w:left w:type="dxa" w:w="140"/>
              <w:bottom w:type="dxa" w:w="80"/>
              <w:right w:type="dxa" w:w="140"/>
            </w:tcMar>
          </w:tcPr>
          <w:p>
            <w:r>
              <w:rPr>
                <w:rFonts w:ascii="Arial" w:cs="Arial" w:eastAsia="Arial" w:hAnsi="Arial"/>
                <w:b/>
                <w:bCs/>
                <w:color w:val="FFFFFF"/>
                <w:sz w:val="20"/>
                <w:szCs w:val="20"/>
              </w:rPr>
              <w:t xml:space="preserve">What You Must NOT Do</w:t>
            </w:r>
          </w:p>
        </w:tc>
      </w:tr>
      <w:tr>
        <w:tc>
          <w:tcPr>
            <w:tcW w:type="dxa" w:w="4640"/>
            <w:tcBorders>
              <w:top w:val="single" w:color="CCCCCC" w:sz="4"/>
              <w:left w:val="single" w:color="CCCCCC" w:sz="4"/>
              <w:bottom w:val="single" w:color="CCCCCC" w:sz="4"/>
              <w:right w:val="single" w:color="CCCCCC" w:sz="4"/>
            </w:tcBorders>
            <w:shd w:fill="E6F5FC" w:val="clear"/>
            <w:tcMar>
              <w:top w:type="dxa" w:w="80"/>
              <w:left w:type="dxa" w:w="140"/>
              <w:bottom w:type="dxa" w:w="80"/>
              <w:right w:type="dxa" w:w="140"/>
            </w:tcMar>
          </w:tcPr>
          <w:p>
            <w:pPr>
              <w:pStyle w:val="ListParagraph"/>
              <w:numPr>
                <w:ilvl w:val="0"/>
                <w:numId w:val="2"/>
              </w:numPr>
              <w:spacing w:after="30" w:before="30"/>
            </w:pPr>
            <w:r>
              <w:rPr>
                <w:rFonts w:ascii="Arial" w:cs="Arial" w:eastAsia="Arial" w:hAnsi="Arial"/>
                <w:color w:val="5B595A"/>
                <w:sz w:val="18"/>
                <w:szCs w:val="18"/>
              </w:rPr>
              <w:t xml:space="preserve">Know the location of all fire exits, assembly points, and alarm call points in your area.</w:t>
            </w:r>
          </w:p>
          <w:p>
            <w:pPr>
              <w:pStyle w:val="ListParagraph"/>
              <w:numPr>
                <w:ilvl w:val="0"/>
                <w:numId w:val="2"/>
              </w:numPr>
              <w:spacing w:after="30" w:before="30"/>
            </w:pPr>
            <w:r>
              <w:rPr>
                <w:rFonts w:ascii="Arial" w:cs="Arial" w:eastAsia="Arial" w:hAnsi="Arial"/>
                <w:color w:val="5B595A"/>
                <w:sz w:val="18"/>
                <w:szCs w:val="18"/>
              </w:rPr>
              <w:t xml:space="preserve">Know the type of fire extinguisher in your area and what classes of fire each is suitable for.</w:t>
            </w:r>
          </w:p>
          <w:p>
            <w:pPr>
              <w:pStyle w:val="ListParagraph"/>
              <w:numPr>
                <w:ilvl w:val="0"/>
                <w:numId w:val="2"/>
              </w:numPr>
              <w:spacing w:after="30" w:before="30"/>
            </w:pPr>
            <w:r>
              <w:rPr>
                <w:rFonts w:ascii="Arial" w:cs="Arial" w:eastAsia="Arial" w:hAnsi="Arial"/>
                <w:color w:val="5B595A"/>
                <w:sz w:val="18"/>
                <w:szCs w:val="18"/>
              </w:rPr>
              <w:t xml:space="preserve">Follow the hot work permit procedure for all welding, grinding, and cutting operations.</w:t>
            </w:r>
          </w:p>
          <w:p>
            <w:pPr>
              <w:pStyle w:val="ListParagraph"/>
              <w:numPr>
                <w:ilvl w:val="0"/>
                <w:numId w:val="2"/>
              </w:numPr>
              <w:spacing w:after="30" w:before="30"/>
            </w:pPr>
            <w:r>
              <w:rPr>
                <w:rFonts w:ascii="Arial" w:cs="Arial" w:eastAsia="Arial" w:hAnsi="Arial"/>
                <w:color w:val="5B595A"/>
                <w:sz w:val="18"/>
                <w:szCs w:val="18"/>
              </w:rPr>
              <w:t xml:space="preserve">Keep flammable materials stored correctly in designated, ventilated areas, away from ignition sources.</w:t>
            </w:r>
          </w:p>
          <w:p>
            <w:pPr>
              <w:pStyle w:val="ListParagraph"/>
              <w:numPr>
                <w:ilvl w:val="0"/>
                <w:numId w:val="2"/>
              </w:numPr>
              <w:spacing w:after="30" w:before="30"/>
            </w:pPr>
            <w:r>
              <w:rPr>
                <w:rFonts w:ascii="Arial" w:cs="Arial" w:eastAsia="Arial" w:hAnsi="Arial"/>
                <w:color w:val="5B595A"/>
                <w:sz w:val="18"/>
                <w:szCs w:val="18"/>
              </w:rPr>
              <w:t xml:space="preserve">Keep fire exits and escape routes clear and unobstructed at all times.</w:t>
            </w:r>
          </w:p>
          <w:p>
            <w:pPr>
              <w:pStyle w:val="ListParagraph"/>
              <w:numPr>
                <w:ilvl w:val="0"/>
                <w:numId w:val="2"/>
              </w:numPr>
              <w:spacing w:after="30" w:before="30"/>
            </w:pPr>
            <w:r>
              <w:rPr>
                <w:rFonts w:ascii="Arial" w:cs="Arial" w:eastAsia="Arial" w:hAnsi="Arial"/>
                <w:color w:val="5B595A"/>
                <w:sz w:val="18"/>
                <w:szCs w:val="18"/>
              </w:rPr>
              <w:t xml:space="preserve">Report any fire hazard, damaged fire equipment, or obstructed escape route immediately.</w:t>
            </w:r>
          </w:p>
          <w:p>
            <w:pPr>
              <w:pStyle w:val="ListParagraph"/>
              <w:numPr>
                <w:ilvl w:val="0"/>
                <w:numId w:val="2"/>
              </w:numPr>
              <w:spacing w:after="30" w:before="30"/>
            </w:pPr>
            <w:r>
              <w:rPr>
                <w:rFonts w:ascii="Arial" w:cs="Arial" w:eastAsia="Arial" w:hAnsi="Arial"/>
                <w:color w:val="5B595A"/>
                <w:sz w:val="18"/>
                <w:szCs w:val="18"/>
              </w:rPr>
              <w:t xml:space="preserve">When the alarm sounds, leave immediately by the nearest safe exit. Do not stop to collect belongings.</w:t>
            </w:r>
          </w:p>
          <w:p>
            <w:pPr>
              <w:pStyle w:val="ListParagraph"/>
              <w:numPr>
                <w:ilvl w:val="0"/>
                <w:numId w:val="2"/>
              </w:numPr>
              <w:spacing w:after="30" w:before="30"/>
            </w:pPr>
            <w:r>
              <w:rPr>
                <w:rFonts w:ascii="Arial" w:cs="Arial" w:eastAsia="Arial" w:hAnsi="Arial"/>
                <w:color w:val="5B595A"/>
                <w:sz w:val="18"/>
                <w:szCs w:val="18"/>
              </w:rPr>
              <w:t xml:space="preserve">Carry out fire evacuation drills seriously. They prepare you for real events.</w:t>
            </w:r>
          </w:p>
        </w:tc>
        <w:tc>
          <w:tcPr>
            <w:tcW w:type="dxa" w:w="4720"/>
            <w:tcBorders>
              <w:top w:val="single" w:color="CCCCCC" w:sz="4"/>
              <w:left w:val="single" w:color="CCCCCC" w:sz="4"/>
              <w:bottom w:val="single" w:color="CCCCCC" w:sz="4"/>
              <w:right w:val="single" w:color="CCCCCC" w:sz="4"/>
            </w:tcBorders>
            <w:shd w:fill="F3E8F5" w:val="clear"/>
            <w:tcMar>
              <w:top w:type="dxa" w:w="80"/>
              <w:left w:type="dxa" w:w="140"/>
              <w:bottom w:type="dxa" w:w="80"/>
              <w:right w:type="dxa" w:w="140"/>
            </w:tcMar>
          </w:tcPr>
          <w:p>
            <w:pPr>
              <w:pStyle w:val="ListParagraph"/>
              <w:numPr>
                <w:ilvl w:val="0"/>
                <w:numId w:val="2"/>
              </w:numPr>
              <w:spacing w:after="30" w:before="30"/>
            </w:pPr>
            <w:r>
              <w:rPr>
                <w:rFonts w:ascii="Arial" w:cs="Arial" w:eastAsia="Arial" w:hAnsi="Arial"/>
                <w:color w:val="5B595A"/>
                <w:sz w:val="18"/>
                <w:szCs w:val="18"/>
              </w:rPr>
              <w:t xml:space="preserve">Do not wedge fire doors open.</w:t>
            </w:r>
          </w:p>
          <w:p>
            <w:pPr>
              <w:pStyle w:val="ListParagraph"/>
              <w:numPr>
                <w:ilvl w:val="0"/>
                <w:numId w:val="2"/>
              </w:numPr>
              <w:spacing w:after="30" w:before="30"/>
            </w:pPr>
            <w:r>
              <w:rPr>
                <w:rFonts w:ascii="Arial" w:cs="Arial" w:eastAsia="Arial" w:hAnsi="Arial"/>
                <w:color w:val="5B595A"/>
                <w:sz w:val="18"/>
                <w:szCs w:val="18"/>
              </w:rPr>
              <w:t xml:space="preserve">Do not obstruct fire exits, fire extinguishers, or alarm call points with materials, equipment, or vehicles.</w:t>
            </w:r>
          </w:p>
          <w:p>
            <w:pPr>
              <w:pStyle w:val="ListParagraph"/>
              <w:numPr>
                <w:ilvl w:val="0"/>
                <w:numId w:val="2"/>
              </w:numPr>
              <w:spacing w:after="30" w:before="30"/>
            </w:pPr>
            <w:r>
              <w:rPr>
                <w:rFonts w:ascii="Arial" w:cs="Arial" w:eastAsia="Arial" w:hAnsi="Arial"/>
                <w:color w:val="5B595A"/>
                <w:sz w:val="18"/>
                <w:szCs w:val="18"/>
              </w:rPr>
              <w:t xml:space="preserve">Do not use portable heaters in the workshop without authorisation and a fire risk assessment.</w:t>
            </w:r>
          </w:p>
          <w:p>
            <w:pPr>
              <w:pStyle w:val="ListParagraph"/>
              <w:numPr>
                <w:ilvl w:val="0"/>
                <w:numId w:val="2"/>
              </w:numPr>
              <w:spacing w:after="30" w:before="30"/>
            </w:pPr>
            <w:r>
              <w:rPr>
                <w:rFonts w:ascii="Arial" w:cs="Arial" w:eastAsia="Arial" w:hAnsi="Arial"/>
                <w:color w:val="5B595A"/>
                <w:sz w:val="18"/>
                <w:szCs w:val="18"/>
              </w:rPr>
              <w:t xml:space="preserve">Do not store excessive quantities of flammable materials in the work area.</w:t>
            </w:r>
          </w:p>
          <w:p>
            <w:pPr>
              <w:pStyle w:val="ListParagraph"/>
              <w:numPr>
                <w:ilvl w:val="0"/>
                <w:numId w:val="2"/>
              </w:numPr>
              <w:spacing w:after="30" w:before="30"/>
            </w:pPr>
            <w:r>
              <w:rPr>
                <w:rFonts w:ascii="Arial" w:cs="Arial" w:eastAsia="Arial" w:hAnsi="Arial"/>
                <w:color w:val="5B595A"/>
                <w:sz w:val="18"/>
                <w:szCs w:val="18"/>
              </w:rPr>
              <w:t xml:space="preserve">Do not re-enter a building after evacuation until an authorised person gives the all clear.</w:t>
            </w:r>
          </w:p>
          <w:p>
            <w:pPr>
              <w:pStyle w:val="ListParagraph"/>
              <w:numPr>
                <w:ilvl w:val="0"/>
                <w:numId w:val="2"/>
              </w:numPr>
              <w:spacing w:after="30" w:before="30"/>
            </w:pPr>
            <w:r>
              <w:rPr>
                <w:rFonts w:ascii="Arial" w:cs="Arial" w:eastAsia="Arial" w:hAnsi="Arial"/>
                <w:color w:val="5B595A"/>
                <w:sz w:val="18"/>
                <w:szCs w:val="18"/>
              </w:rPr>
              <w:t xml:space="preserve">Do not allow rubbish, rags, or waste materials to accumulate near heat sources.</w:t>
            </w:r>
          </w:p>
          <w:p>
            <w:pPr>
              <w:pStyle w:val="ListParagraph"/>
              <w:numPr>
                <w:ilvl w:val="0"/>
                <w:numId w:val="2"/>
              </w:numPr>
              <w:spacing w:after="30" w:before="30"/>
            </w:pPr>
            <w:r>
              <w:rPr>
                <w:rFonts w:ascii="Arial" w:cs="Arial" w:eastAsia="Arial" w:hAnsi="Arial"/>
                <w:color w:val="5B595A"/>
                <w:sz w:val="18"/>
                <w:szCs w:val="18"/>
              </w:rPr>
              <w:t xml:space="preserve">Do not attempt to fight a fire that has grown beyond its early stages or that is between you and the exit.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3348F" w:val="clear"/>
            <w:tcMar>
              <w:top w:type="dxa" w:w="80"/>
              <w:left w:type="dxa" w:w="160"/>
              <w:bottom w:type="dxa" w:w="80"/>
              <w:right w:type="dxa" w:w="160"/>
            </w:tcMar>
          </w:tcPr>
          <w:p>
            <w:r>
              <w:rPr>
                <w:rFonts w:ascii="Arial" w:cs="Arial" w:eastAsia="Arial" w:hAnsi="Arial"/>
                <w:b/>
                <w:bCs/>
                <w:color w:val="FFFFFF"/>
                <w:sz w:val="22"/>
                <w:szCs w:val="22"/>
              </w:rPr>
              <w:t xml:space="preserve">Discussion Questions</w:t>
            </w:r>
          </w:p>
        </w:tc>
      </w:tr>
      <w:tr>
        <w:tc>
          <w:tcPr>
            <w:tcW w:type="dxa" w:w="9360"/>
            <w:tcBorders>
              <w:top w:val="single" w:color="CCCCCC" w:sz="4"/>
              <w:left w:val="single" w:color="CCCCCC" w:sz="4"/>
              <w:bottom w:val="single" w:color="CCCCCC" w:sz="4"/>
              <w:right w:val="single" w:color="CCCCCC" w:sz="4"/>
            </w:tcBorders>
            <w:shd w:fill="F3E8F5" w:val="clear"/>
            <w:tcMar>
              <w:top w:type="dxa" w:w="100"/>
              <w:left w:type="dxa" w:w="160"/>
              <w:bottom w:type="dxa" w:w="100"/>
              <w:right w:type="dxa" w:w="160"/>
            </w:tcMar>
          </w:tcPr>
          <w:p>
            <w:pPr>
              <w:spacing w:after="40" w:before="40"/>
            </w:pPr>
            <w:r>
              <w:rPr>
                <w:rFonts w:ascii="Arial" w:cs="Arial" w:eastAsia="Arial" w:hAnsi="Arial"/>
                <w:b/>
                <w:bCs/>
                <w:color w:val="83348F"/>
                <w:sz w:val="20"/>
                <w:szCs w:val="20"/>
              </w:rPr>
              <w:t xml:space="preserve">1.  </w:t>
            </w:r>
            <w:r>
              <w:rPr>
                <w:rFonts w:ascii="Arial" w:cs="Arial" w:eastAsia="Arial" w:hAnsi="Arial"/>
                <w:color w:val="5B595A"/>
                <w:sz w:val="20"/>
                <w:szCs w:val="20"/>
              </w:rPr>
              <w:t xml:space="preserve">Do you know where your nearest fire exit and assembly point are? Have you checked recently whether routes are clear?</w:t>
            </w:r>
          </w:p>
          <w:p>
            <w:pPr>
              <w:spacing w:after="40" w:before="40"/>
            </w:pPr>
            <w:r>
              <w:rPr>
                <w:rFonts w:ascii="Arial" w:cs="Arial" w:eastAsia="Arial" w:hAnsi="Arial"/>
                <w:b/>
                <w:bCs/>
                <w:color w:val="83348F"/>
                <w:sz w:val="20"/>
                <w:szCs w:val="20"/>
              </w:rPr>
              <w:t xml:space="preserve">2.  </w:t>
            </w:r>
            <w:r>
              <w:rPr>
                <w:rFonts w:ascii="Arial" w:cs="Arial" w:eastAsia="Arial" w:hAnsi="Arial"/>
                <w:color w:val="5B595A"/>
                <w:sz w:val="20"/>
                <w:szCs w:val="20"/>
              </w:rPr>
              <w:t xml:space="preserve">Have you received training on how to use a fire extinguisher? What types do we have in our area, and what are they for?</w:t>
            </w:r>
          </w:p>
          <w:p>
            <w:pPr>
              <w:spacing w:after="40" w:before="40"/>
            </w:pPr>
            <w:r>
              <w:rPr>
                <w:rFonts w:ascii="Arial" w:cs="Arial" w:eastAsia="Arial" w:hAnsi="Arial"/>
                <w:b/>
                <w:bCs/>
                <w:color w:val="83348F"/>
                <w:sz w:val="20"/>
                <w:szCs w:val="20"/>
              </w:rPr>
              <w:t xml:space="preserve">3.  </w:t>
            </w:r>
            <w:r>
              <w:rPr>
                <w:rFonts w:ascii="Arial" w:cs="Arial" w:eastAsia="Arial" w:hAnsi="Arial"/>
                <w:color w:val="5B595A"/>
                <w:sz w:val="20"/>
                <w:szCs w:val="20"/>
              </w:rPr>
              <w:t xml:space="preserve">What are the main fire risks in your work area? Are any of them currently not properly controlled?</w:t>
            </w:r>
          </w:p>
          <w:p>
            <w:pPr>
              <w:spacing w:after="40" w:before="40"/>
            </w:pPr>
            <w:r>
              <w:rPr>
                <w:rFonts w:ascii="Arial" w:cs="Arial" w:eastAsia="Arial" w:hAnsi="Arial"/>
                <w:b/>
                <w:bCs/>
                <w:color w:val="83348F"/>
                <w:sz w:val="20"/>
                <w:szCs w:val="20"/>
              </w:rPr>
              <w:t xml:space="preserve">4.  </w:t>
            </w:r>
            <w:r>
              <w:rPr>
                <w:rFonts w:ascii="Arial" w:cs="Arial" w:eastAsia="Arial" w:hAnsi="Arial"/>
                <w:color w:val="5B595A"/>
                <w:sz w:val="20"/>
                <w:szCs w:val="20"/>
              </w:rPr>
              <w:t xml:space="preserve">How quickly do you think you could evacuate from your current work position? Are there any obstacles?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3348F" w:val="clear"/>
            <w:tcMar>
              <w:top w:type="dxa" w:w="80"/>
              <w:left w:type="dxa" w:w="160"/>
              <w:bottom w:type="dxa" w:w="80"/>
              <w:right w:type="dxa" w:w="160"/>
            </w:tcMar>
          </w:tcPr>
          <w:p>
            <w:r>
              <w:rPr>
                <w:rFonts w:ascii="Arial" w:cs="Arial" w:eastAsia="Arial" w:hAnsi="Arial"/>
                <w:b/>
                <w:bCs/>
                <w:color w:val="FFFFFF"/>
                <w:sz w:val="22"/>
                <w:szCs w:val="22"/>
              </w:rPr>
              <w:t xml:space="preserve">Key Takeaway</w:t>
            </w:r>
          </w:p>
        </w:tc>
      </w:tr>
      <w:tr>
        <w:tc>
          <w:tcPr>
            <w:tcW w:type="dxa" w:w="9360"/>
            <w:tcBorders>
              <w:top w:val="single" w:color="83348F" w:sz="4"/>
              <w:left w:val="single" w:color="83348F" w:sz="4"/>
              <w:bottom w:val="single" w:color="83348F" w:sz="4"/>
              <w:right w:val="single" w:color="83348F" w:sz="4"/>
            </w:tcBorders>
            <w:shd w:fill="F3E8F5" w:val="clear"/>
            <w:tcMar>
              <w:top w:type="dxa" w:w="100"/>
              <w:left w:type="dxa" w:w="160"/>
              <w:bottom w:type="dxa" w:w="100"/>
              <w:right w:type="dxa" w:w="160"/>
            </w:tcMar>
          </w:tcPr>
          <w:p>
            <w:r>
              <w:rPr>
                <w:rFonts w:ascii="Arial" w:cs="Arial" w:eastAsia="Arial" w:hAnsi="Arial"/>
                <w:b/>
                <w:bCs/>
                <w:i/>
                <w:iCs/>
                <w:color w:val="5B595A"/>
                <w:sz w:val="22"/>
                <w:szCs w:val="22"/>
              </w:rPr>
              <w:t xml:space="preserve">When the alarm sounds, go. Do not hesitate, do not collect belongings, and do not re-enter. Your life is never worth what you have left inside a building.</w:t>
            </w:r>
          </w:p>
        </w:tc>
      </w:tr>
    </w:tbl>
    <w:p>
      <w:pPr>
        <w:spacing w:after="0" w:before="200"/>
      </w:pPr>
      <w:r>
        <w:t xml:space="preserve"/>
      </w:r>
    </w:p>
    <w:p>
      <w:r>
        <w:rPr>
          <w:rFonts w:ascii="Arial" w:cs="Arial" w:eastAsia="Arial" w:hAnsi="Arial"/>
          <w:b/>
          <w:bCs/>
          <w:color w:val="009FE3"/>
          <w:sz w:val="26"/>
          <w:szCs w:val="26"/>
        </w:rPr>
        <w:t xml:space="preserve">Attendance and Sign-Off Record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5B595A"/>
                <w:sz w:val="18"/>
                <w:szCs w:val="18"/>
              </w:rPr>
              <w:t xml:space="preserve">Facilitator Name:</w:t>
            </w:r>
          </w:p>
          <w:p>
            <w:r>
              <w:rPr>
                <w:rFonts w:ascii="Arial" w:cs="Arial" w:eastAsia="Arial" w:hAnsi="Arial"/>
                <w:sz w:val="18"/>
                <w:szCs w:val="18"/>
              </w:rPr>
              <w:t xml:space="preserve"> </w:t>
            </w:r>
          </w:p>
        </w:tc>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5B595A"/>
                <w:sz w:val="18"/>
                <w:szCs w:val="18"/>
              </w:rPr>
              <w:t xml:space="preserve">Date:</w:t>
            </w:r>
          </w:p>
          <w:p>
            <w:r>
              <w:rPr>
                <w:rFonts w:ascii="Arial" w:cs="Arial" w:eastAsia="Arial" w:hAnsi="Arial"/>
                <w:sz w:val="18"/>
                <w:szCs w:val="18"/>
              </w:rPr>
              <w:t xml:space="preserve"> </w:t>
            </w:r>
          </w:p>
        </w:tc>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5B595A"/>
                <w:sz w:val="18"/>
                <w:szCs w:val="18"/>
              </w:rPr>
              <w:t xml:space="preserve">Location:</w:t>
            </w:r>
          </w:p>
          <w:p>
            <w:r>
              <w:rPr>
                <w:rFonts w:ascii="Arial" w:cs="Arial" w:eastAsia="Arial" w:hAnsi="Arial"/>
                <w:sz w:val="18"/>
                <w:szCs w:val="18"/>
              </w:rPr>
              <w:t xml:space="preserve"> </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2600"/>
        <w:gridCol w:w="2200"/>
        <w:gridCol w:w="2200"/>
        <w:gridCol w:w="2120"/>
      </w:tblGrid>
      <w:tr>
        <w:tc>
          <w:tcPr>
            <w:tcW w:type="dxa" w:w="240"/>
            <w:tcBorders>
              <w:top w:val="single" w:color="CCCCCC" w:sz="4"/>
              <w:left w:val="single" w:color="CCCCCC" w:sz="4"/>
              <w:bottom w:val="single" w:color="CCCCCC" w:sz="4"/>
              <w:right w:val="single" w:color="CCCCCC" w:sz="4"/>
            </w:tcBorders>
            <w:shd w:fill="5B595A" w:val="clear"/>
            <w:tcMar>
              <w:top w:type="dxa" w:w="60"/>
              <w:left w:type="dxa" w:w="100"/>
              <w:bottom w:type="dxa" w:w="60"/>
              <w:right w:type="dxa" w:w="100"/>
            </w:tcMar>
          </w:tcPr>
          <w:p>
            <w:r>
              <w:rPr>
                <w:rFonts w:ascii="Arial" w:cs="Arial" w:eastAsia="Arial" w:hAnsi="Arial"/>
                <w:b/>
                <w:bCs/>
                <w:color w:val="FFFFFF"/>
                <w:sz w:val="17"/>
                <w:szCs w:val="17"/>
              </w:rPr>
              <w:t xml:space="preserve">#</w:t>
            </w:r>
          </w:p>
        </w:tc>
        <w:tc>
          <w:tcPr>
            <w:tcW w:type="dxa" w:w="2600"/>
            <w:tcBorders>
              <w:top w:val="single" w:color="CCCCCC" w:sz="4"/>
              <w:left w:val="single" w:color="CCCCCC" w:sz="4"/>
              <w:bottom w:val="single" w:color="CCCCCC" w:sz="4"/>
              <w:right w:val="single" w:color="CCCCCC" w:sz="4"/>
            </w:tcBorders>
            <w:shd w:fill="5B595A" w:val="clear"/>
            <w:tcMar>
              <w:top w:type="dxa" w:w="60"/>
              <w:left w:type="dxa" w:w="100"/>
              <w:bottom w:type="dxa" w:w="60"/>
              <w:right w:type="dxa" w:w="100"/>
            </w:tcMar>
          </w:tcPr>
          <w:p>
            <w:r>
              <w:rPr>
                <w:rFonts w:ascii="Arial" w:cs="Arial" w:eastAsia="Arial" w:hAnsi="Arial"/>
                <w:b/>
                <w:bCs/>
                <w:color w:val="FFFFFF"/>
                <w:sz w:val="17"/>
                <w:szCs w:val="17"/>
              </w:rPr>
              <w:t xml:space="preserve">Full Name (Print)</w:t>
            </w:r>
          </w:p>
        </w:tc>
        <w:tc>
          <w:tcPr>
            <w:tcW w:type="dxa" w:w="2200"/>
            <w:tcBorders>
              <w:top w:val="single" w:color="CCCCCC" w:sz="4"/>
              <w:left w:val="single" w:color="CCCCCC" w:sz="4"/>
              <w:bottom w:val="single" w:color="CCCCCC" w:sz="4"/>
              <w:right w:val="single" w:color="CCCCCC" w:sz="4"/>
            </w:tcBorders>
            <w:shd w:fill="5B595A" w:val="clear"/>
            <w:tcMar>
              <w:top w:type="dxa" w:w="60"/>
              <w:left w:type="dxa" w:w="100"/>
              <w:bottom w:type="dxa" w:w="60"/>
              <w:right w:type="dxa" w:w="100"/>
            </w:tcMar>
          </w:tcPr>
          <w:p>
            <w:r>
              <w:rPr>
                <w:rFonts w:ascii="Arial" w:cs="Arial" w:eastAsia="Arial" w:hAnsi="Arial"/>
                <w:b/>
                <w:bCs/>
                <w:color w:val="FFFFFF"/>
                <w:sz w:val="17"/>
                <w:szCs w:val="17"/>
              </w:rPr>
              <w:t xml:space="preserve">Job Title</w:t>
            </w:r>
          </w:p>
        </w:tc>
        <w:tc>
          <w:tcPr>
            <w:tcW w:type="dxa" w:w="2200"/>
            <w:tcBorders>
              <w:top w:val="single" w:color="CCCCCC" w:sz="4"/>
              <w:left w:val="single" w:color="CCCCCC" w:sz="4"/>
              <w:bottom w:val="single" w:color="CCCCCC" w:sz="4"/>
              <w:right w:val="single" w:color="CCCCCC" w:sz="4"/>
            </w:tcBorders>
            <w:shd w:fill="5B595A" w:val="clear"/>
            <w:tcMar>
              <w:top w:type="dxa" w:w="60"/>
              <w:left w:type="dxa" w:w="100"/>
              <w:bottom w:type="dxa" w:w="60"/>
              <w:right w:type="dxa" w:w="100"/>
            </w:tcMar>
          </w:tcPr>
          <w:p>
            <w:r>
              <w:rPr>
                <w:rFonts w:ascii="Arial" w:cs="Arial" w:eastAsia="Arial" w:hAnsi="Arial"/>
                <w:b/>
                <w:bCs/>
                <w:color w:val="FFFFFF"/>
                <w:sz w:val="17"/>
                <w:szCs w:val="17"/>
              </w:rPr>
              <w:t xml:space="preserve">Signature</w:t>
            </w:r>
          </w:p>
        </w:tc>
        <w:tc>
          <w:tcPr>
            <w:tcW w:type="dxa" w:w="2120"/>
            <w:tcBorders>
              <w:top w:val="single" w:color="CCCCCC" w:sz="4"/>
              <w:left w:val="single" w:color="CCCCCC" w:sz="4"/>
              <w:bottom w:val="single" w:color="CCCCCC" w:sz="4"/>
              <w:right w:val="single" w:color="CCCCCC" w:sz="4"/>
            </w:tcBorders>
            <w:shd w:fill="5B595A" w:val="clear"/>
            <w:tcMar>
              <w:top w:type="dxa" w:w="60"/>
              <w:left w:type="dxa" w:w="100"/>
              <w:bottom w:type="dxa" w:w="60"/>
              <w:right w:type="dxa" w:w="100"/>
            </w:tcMar>
          </w:tcPr>
          <w:p>
            <w:r>
              <w:rPr>
                <w:rFonts w:ascii="Arial" w:cs="Arial" w:eastAsia="Arial" w:hAnsi="Arial"/>
                <w:b/>
                <w:bCs/>
                <w:color w:val="FFFFFF"/>
                <w:sz w:val="17"/>
                <w:szCs w:val="17"/>
              </w:rPr>
              <w:t xml:space="preserve">Date</w:t>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bl>
    <w:p>
      <w:pPr>
        <w:spacing w:after="0" w:before="120"/>
      </w:pPr>
      <w:r>
        <w:t xml:space="preserve"/>
      </w:r>
    </w:p>
    <w:p>
      <w:r>
        <w:rPr>
          <w:rFonts w:ascii="Arial" w:cs="Arial" w:eastAsia="Arial" w:hAnsi="Arial"/>
          <w:color w:val="5B595A"/>
          <w:sz w:val="18"/>
          <w:szCs w:val="18"/>
        </w:rPr>
        <w:t xml:space="preserve">Facilitator Signature: ____________________________      Date: ________________</w:t>
      </w:r>
    </w:p>
    <w:p>
      <w:pPr>
        <w:spacing w:after="0" w:before="60"/>
      </w:pPr>
      <w:r>
        <w:t xml:space="preserve"/>
      </w:r>
    </w:p>
    <w:p>
      <w:r>
        <w:rPr>
          <w:rFonts w:ascii="Arial" w:cs="Arial" w:eastAsia="Arial" w:hAnsi="Arial"/>
          <w:i/>
          <w:iCs/>
          <w:color w:val="5B595A"/>
          <w:sz w:val="16"/>
          <w:szCs w:val="16"/>
        </w:rPr>
        <w:t xml:space="preserve">This record must be retained on file. A copy should be provided to HR / QHSE for central records.</w:t>
      </w:r>
    </w:p>
    <w:sectPr>
      <w:headerReference w:type="default" r:id="rId7"/>
      <w:footerReference w:type="default" r:id="rId8"/>
      <w:pgSz w:w="12240" w:h="15840" w:orient="portrait"/>
      <w:pgMar w:top="1000" w:right="1080" w:bottom="1000" w:left="1080" w:header="283" w:footer="283"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spacing w:before="60" w:after="0"/>
      <w:pBdr>
        <w:top w:val="single" w:sz="6" w:space="1" w:color="29ABE2"/>
      </w:pBdr>
    </w:pPr>
    <w:r>
      <w:rPr>
        <w:rFonts w:ascii="Calibri" w:hAnsi="Calibri"/>
        <w:sz w:val="14"/>
        <w:color w:val="58595B"/>
      </w:rPr>
      <w:t xml:space="preserve">NucCol | Nuclear Collaboration Ltd  ·  Fit For Nuclear Programme  ·  Commercial in Confidence    |    Page </w:t>
    </w:r>
    <w:r>
      <w:rPr>
        <w:rFonts w:ascii="Calibri" w:hAnsi="Calibri"/>
        <w:sz w:val="14"/>
        <w:color w:val="58595B"/>
      </w:rPr>
      <w:fldChar w:fldCharType="begin"/>
      <w:instrText>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0"/>
      <w:pBdr>
        <w:bottom w:val="single" w:sz="12" w:space="1" w:color="29ABE2"/>
      </w:pBdr>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5400"/>
      <w:gridCol w:w="5400"/>
    </w:tblGrid>
    <w:tr>
      <w:tc>
        <w:tcPr>
          <w:tcW w:type="dxa" w:w="1440"/>
          <w:tcBorders>
            <w:top w:val="none" w:sz="0" w:color="auto"/>
            <w:left w:val="none" w:sz="0" w:color="auto"/>
            <w:bottom w:val="none" w:sz="0" w:color="auto"/>
            <w:right w:val="none" w:sz="0" w:color="auto"/>
            <w:insideH w:val="none" w:sz="0" w:color="auto"/>
            <w:insideV w:val="none" w:sz="0" w:color="auto"/>
          </w:tcBorders>
        </w:tcPr>
        <w:p>
          <w:pPr>
            <w:spacing w:before="0" w:after="0"/>
            <w:jc w:val="left"/>
          </w:pPr>
          <w:r>
            <w:drawing>
              <wp:inline xmlns:a="http://schemas.openxmlformats.org/drawingml/2006/main" xmlns:pic="http://schemas.openxmlformats.org/drawingml/2006/picture">
                <wp:extent cx="475488" cy="475488"/>
                <wp:docPr id="1" name="Picture 1"/>
                <wp:cNvGraphicFramePr>
                  <a:graphicFrameLocks noChangeAspect="1"/>
                </wp:cNvGraphicFramePr>
                <a:graphic>
                  <a:graphicData uri="http://schemas.openxmlformats.org/drawingml/2006/picture">
                    <pic:pic>
                      <pic:nvPicPr>
                        <pic:cNvPr id="0" name="nuccol_logo.png"/>
                        <pic:cNvPicPr/>
                      </pic:nvPicPr>
                      <pic:blipFill>
                        <a:blip r:embed="rId1"/>
                        <a:stretch>
                          <a:fillRect/>
                        </a:stretch>
                      </pic:blipFill>
                      <pic:spPr>
                        <a:xfrm>
                          <a:off x="0" y="0"/>
                          <a:ext cx="475488" cy="475488"/>
                        </a:xfrm>
                        <a:prstGeom prst="rect"/>
                      </pic:spPr>
                    </pic:pic>
                  </a:graphicData>
                </a:graphic>
              </wp:inline>
            </w:drawing>
          </w:r>
        </w:p>
      </w:tc>
      <w:tc>
        <w:tcPr>
          <w:tcW w:type="dxa" w:w="9360"/>
          <w:tcBorders>
            <w:top w:val="none" w:sz="0" w:color="auto"/>
            <w:left w:val="none" w:sz="0" w:color="auto"/>
            <w:bottom w:val="none" w:sz="0" w:color="auto"/>
            <w:right w:val="none" w:sz="0" w:color="auto"/>
            <w:insideH w:val="none" w:sz="0" w:color="auto"/>
            <w:insideV w:val="none" w:sz="0" w:color="auto"/>
          </w:tcBorders>
        </w:tcPr>
        <w:p>
          <w:pPr>
            <w:spacing w:before="0" w:after="0"/>
            <w:jc w:val="right"/>
          </w:pPr>
          <w:r>
            <w:drawing>
              <wp:inline xmlns:a="http://schemas.openxmlformats.org/drawingml/2006/main" xmlns:pic="http://schemas.openxmlformats.org/drawingml/2006/picture">
                <wp:extent cx="472561" cy="320040"/>
                <wp:docPr id="2" name="Picture 2"/>
                <wp:cNvGraphicFramePr>
                  <a:graphicFrameLocks noChangeAspect="1"/>
                </wp:cNvGraphicFramePr>
                <a:graphic>
                  <a:graphicData uri="http://schemas.openxmlformats.org/drawingml/2006/picture">
                    <pic:pic>
                      <pic:nvPicPr>
                        <pic:cNvPr id="0" name="f4n_logo.png"/>
                        <pic:cNvPicPr/>
                      </pic:nvPicPr>
                      <pic:blipFill>
                        <a:blip r:embed="rId2"/>
                        <a:stretch>
                          <a:fillRect/>
                        </a:stretch>
                      </pic:blipFill>
                      <pic:spPr>
                        <a:xfrm>
                          <a:off x="0" y="0"/>
                          <a:ext cx="472561" cy="320040"/>
                        </a:xfrm>
                        <a:prstGeom prst="rect"/>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596d7fa67ae8256ebe24fbf0272572b5560f3264.jpg"/><Relationship Id="rId1" Type="http://schemas.openxmlformats.org/officeDocument/2006/relationships/image" Target="media/image1.png"/><Relationship Id="rId2" Type="http://schemas.openxmlformats.org/officeDocument/2006/relationships/image" Target="media/image2.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53F6056AA6464A99729F79B34ECED9" ma:contentTypeVersion="15" ma:contentTypeDescription="Create a new document." ma:contentTypeScope="" ma:versionID="5f61f7f6e9ac7af992ae58f204f4a905">
  <xsd:schema xmlns:xsd="http://www.w3.org/2001/XMLSchema" xmlns:xs="http://www.w3.org/2001/XMLSchema" xmlns:p="http://schemas.microsoft.com/office/2006/metadata/properties" xmlns:ns2="ecb9c8fd-b149-4da5-ae47-4cb2a6f921f7" xmlns:ns3="a57c75ee-0d51-4c06-b83a-21883992ef88" targetNamespace="http://schemas.microsoft.com/office/2006/metadata/properties" ma:root="true" ma:fieldsID="5bd49160a10d99efc7c2a57519ff9fe8" ns2:_="" ns3:_="">
    <xsd:import namespace="ecb9c8fd-b149-4da5-ae47-4cb2a6f921f7"/>
    <xsd:import namespace="a57c75ee-0d51-4c06-b83a-21883992ef88"/>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BillingMetadata"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9c8fd-b149-4da5-ae47-4cb2a6f921f7"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20" nillable="true" ma:displayName="Taxonomy Catch All Column" ma:hidden="true" ma:list="{3bbffa37-1fb4-4f8b-a66f-2651692f13f0}" ma:internalName="TaxCatchAll" ma:showField="CatchAllData" ma:web="ecb9c8fd-b149-4da5-ae47-4cb2a6f921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7c75ee-0d51-4c06-b83a-21883992ef8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323488a-041b-479c-b98c-53326eeb9fc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cb9c8fd-b149-4da5-ae47-4cb2a6f921f7" xsi:nil="true"/>
    <lcf76f155ced4ddcb4097134ff3c332f xmlns="a57c75ee-0d51-4c06-b83a-21883992ef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8A39183-E5D8-4FAA-830E-6DE22C9FEF28}"/>
</file>

<file path=customXml/itemProps2.xml><?xml version="1.0" encoding="utf-8"?>
<ds:datastoreItem xmlns:ds="http://schemas.openxmlformats.org/officeDocument/2006/customXml" ds:itemID="{AC90BEBE-F869-4428-91B6-96834E2DA6EA}"/>
</file>

<file path=customXml/itemProps3.xml><?xml version="1.0" encoding="utf-8"?>
<ds:datastoreItem xmlns:ds="http://schemas.openxmlformats.org/officeDocument/2006/customXml" ds:itemID="{16021588-2134-4F21-BEA6-DD0E63AA017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TBT-08 Fire Safety and Emergency Procedures</dc:title>
  <dc:creator>John Hilton-Brammer</dc:creator>
  <cp:lastModifiedBy>John Hilton-Brammer</cp:lastModifiedBy>
  <dcterms:created xsi:type="dcterms:W3CDTF">2026-07-01T07:45:32Z</dcterms:created>
  <dcterms:modified xsi:type="dcterms:W3CDTF">2026-07-01T07:45:32Z</dcterms:modified>
  <cp:category>Fit For Nuclear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0x0101002453F6056AA6464A99729F79B34ECED9</vt:lpwstr>
  </property>
</Properties>
</file>