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9FE3" w:val="clear"/>
            <w:tcMar>
              <w:top w:type="dxa" w:w="160"/>
              <w:left w:type="dxa" w:w="200"/>
              <w:bottom w:type="dxa" w:w="160"/>
              <w:right w:type="dxa" w:w="200"/>
            </w:tcMar>
          </w:tcPr>
          <w:p>
            <w:r>
              <w:rPr>
                <w:rFonts w:ascii="Arial" w:cs="Arial" w:eastAsia="Arial" w:hAnsi="Arial"/>
                <w:b/>
                <w:bCs/>
                <w:color w:val="FFFFFF"/>
                <w:sz w:val="20"/>
                <w:szCs w:val="20"/>
              </w:rPr>
              <w:t xml:space="preserve">TBT-09</w:t>
            </w:r>
          </w:p>
          <w:p>
            <w:r>
              <w:rPr>
                <w:rFonts w:ascii="Arial" w:cs="Arial" w:eastAsia="Arial" w:hAnsi="Arial"/>
                <w:b/>
                <w:bCs/>
                <w:color w:val="FFFFFF"/>
                <w:sz w:val="32"/>
                <w:szCs w:val="32"/>
              </w:rPr>
              <w:t xml:space="preserve">Noise and Vibration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2000"/>
        <w:gridCol w:w="2160"/>
      </w:tblGrid>
      <w:tr>
        <w:tc>
          <w:tcPr>
            <w:tcW w:type="dxa" w:w="1600"/>
            <w:tcBorders>
              <w:top w:val="single" w:color="DDDDDD" w:sz="4"/>
              <w:left w:val="single" w:color="DDDDDD" w:sz="4"/>
              <w:bottom w:val="single" w:color="DDDDDD" w:sz="4"/>
              <w:right w:val="single" w:color="DDDDDD" w:sz="4"/>
            </w:tcBorders>
            <w:shd w:fill="5B595A" w:val="clear"/>
            <w:tcMar>
              <w:top w:type="dxa" w:w="60"/>
              <w:left w:type="dxa" w:w="120"/>
              <w:bottom w:type="dxa" w:w="60"/>
              <w:right w:type="dxa" w:w="120"/>
            </w:tcMar>
          </w:tcPr>
          <w:p>
            <w:r>
              <w:rPr>
                <w:rFonts w:ascii="Arial" w:cs="Arial" w:eastAsia="Arial" w:hAnsi="Arial"/>
                <w:b/>
                <w:bCs/>
                <w:color w:val="FFFFFF"/>
                <w:sz w:val="16"/>
                <w:szCs w:val="16"/>
              </w:rPr>
              <w:t xml:space="preserve">Ref</w:t>
            </w:r>
          </w:p>
        </w:tc>
        <w:tc>
          <w:tcPr>
            <w:tcW w:type="dxa" w:w="1600"/>
            <w:tcBorders>
              <w:top w:val="single" w:color="DDDDDD" w:sz="4"/>
              <w:left w:val="single" w:color="DDDDDD" w:sz="4"/>
              <w:bottom w:val="single" w:color="DDDDDD" w:sz="4"/>
              <w:right w:val="single" w:color="DDDDDD" w:sz="4"/>
            </w:tcBorders>
            <w:shd w:fill="5B595A" w:val="clear"/>
            <w:tcMar>
              <w:top w:type="dxa" w:w="60"/>
              <w:left w:type="dxa" w:w="120"/>
              <w:bottom w:type="dxa" w:w="60"/>
              <w:right w:type="dxa" w:w="120"/>
            </w:tcMar>
          </w:tcPr>
          <w:p>
            <w:r>
              <w:rPr>
                <w:rFonts w:ascii="Arial" w:cs="Arial" w:eastAsia="Arial" w:hAnsi="Arial"/>
                <w:b/>
                <w:bCs/>
                <w:color w:val="FFFFFF"/>
                <w:sz w:val="16"/>
                <w:szCs w:val="16"/>
              </w:rPr>
              <w:t xml:space="preserve">Version</w:t>
            </w:r>
          </w:p>
        </w:tc>
        <w:tc>
          <w:tcPr>
            <w:tcW w:type="dxa" w:w="2000"/>
            <w:tcBorders>
              <w:top w:val="single" w:color="DDDDDD" w:sz="4"/>
              <w:left w:val="single" w:color="DDDDDD" w:sz="4"/>
              <w:bottom w:val="single" w:color="DDDDDD" w:sz="4"/>
              <w:right w:val="single" w:color="DDDDDD" w:sz="4"/>
            </w:tcBorders>
            <w:shd w:fill="5B595A" w:val="clear"/>
            <w:tcMar>
              <w:top w:type="dxa" w:w="60"/>
              <w:left w:type="dxa" w:w="120"/>
              <w:bottom w:type="dxa" w:w="60"/>
              <w:right w:type="dxa" w:w="120"/>
            </w:tcMar>
          </w:tcPr>
          <w:p>
            <w:r>
              <w:rPr>
                <w:rFonts w:ascii="Arial" w:cs="Arial" w:eastAsia="Arial" w:hAnsi="Arial"/>
                <w:b/>
                <w:bCs/>
                <w:color w:val="FFFFFF"/>
                <w:sz w:val="16"/>
                <w:szCs w:val="16"/>
              </w:rPr>
              <w:t xml:space="preserve">Date</w:t>
            </w:r>
          </w:p>
        </w:tc>
        <w:tc>
          <w:tcPr>
            <w:tcW w:type="dxa" w:w="2000"/>
            <w:tcBorders>
              <w:top w:val="single" w:color="DDDDDD" w:sz="4"/>
              <w:left w:val="single" w:color="DDDDDD" w:sz="4"/>
              <w:bottom w:val="single" w:color="DDDDDD" w:sz="4"/>
              <w:right w:val="single" w:color="DDDDDD" w:sz="4"/>
            </w:tcBorders>
            <w:shd w:fill="5B595A" w:val="clear"/>
            <w:tcMar>
              <w:top w:type="dxa" w:w="60"/>
              <w:left w:type="dxa" w:w="120"/>
              <w:bottom w:type="dxa" w:w="60"/>
              <w:right w:type="dxa" w:w="120"/>
            </w:tcMar>
          </w:tcPr>
          <w:p>
            <w:r>
              <w:rPr>
                <w:rFonts w:ascii="Arial" w:cs="Arial" w:eastAsia="Arial" w:hAnsi="Arial"/>
                <w:b/>
                <w:bCs/>
                <w:color w:val="FFFFFF"/>
                <w:sz w:val="16"/>
                <w:szCs w:val="16"/>
              </w:rPr>
              <w:t xml:space="preserve">Duration</w:t>
            </w:r>
          </w:p>
        </w:tc>
        <w:tc>
          <w:tcPr>
            <w:tcW w:type="dxa" w:w="2160"/>
            <w:tcBorders>
              <w:top w:val="single" w:color="DDDDDD" w:sz="4"/>
              <w:left w:val="single" w:color="DDDDDD" w:sz="4"/>
              <w:bottom w:val="single" w:color="DDDDDD" w:sz="4"/>
              <w:right w:val="single" w:color="DDDDDD" w:sz="4"/>
            </w:tcBorders>
            <w:shd w:fill="5B595A" w:val="clear"/>
            <w:tcMar>
              <w:top w:type="dxa" w:w="60"/>
              <w:left w:type="dxa" w:w="120"/>
              <w:bottom w:type="dxa" w:w="60"/>
              <w:right w:type="dxa" w:w="120"/>
            </w:tcMar>
          </w:tcPr>
          <w:p>
            <w:r>
              <w:rPr>
                <w:rFonts w:ascii="Arial" w:cs="Arial" w:eastAsia="Arial" w:hAnsi="Arial"/>
                <w:b/>
                <w:bCs/>
                <w:color w:val="FFFFFF"/>
                <w:sz w:val="16"/>
                <w:szCs w:val="16"/>
              </w:rPr>
              <w:t xml:space="preserve">Audience</w:t>
            </w:r>
          </w:p>
        </w:tc>
      </w:tr>
      <w:tr>
        <w:tc>
          <w:tcPr>
            <w:tcW w:type="dxa" w:w="16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5B595A"/>
                <w:sz w:val="16"/>
                <w:szCs w:val="16"/>
              </w:rPr>
              <w:t xml:space="preserve">TBT-09</w:t>
            </w:r>
          </w:p>
        </w:tc>
        <w:tc>
          <w:tcPr>
            <w:tcW w:type="dxa" w:w="16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5B595A"/>
                <w:sz w:val="16"/>
                <w:szCs w:val="16"/>
              </w:rPr>
              <w:t xml:space="preserve">v1.0</w:t>
            </w:r>
          </w:p>
        </w:tc>
        <w:tc>
          <w:tcPr>
            <w:tcW w:type="dxa" w:w="2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5B595A"/>
                <w:sz w:val="16"/>
                <w:szCs w:val="16"/>
              </w:rPr>
              <w:t xml:space="preserve">June 2025</w:t>
            </w:r>
          </w:p>
        </w:tc>
        <w:tc>
          <w:tcPr>
            <w:tcW w:type="dxa" w:w="2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5B595A"/>
                <w:sz w:val="16"/>
                <w:szCs w:val="16"/>
              </w:rPr>
              <w:t xml:space="preserve">15-20 minutes</w:t>
            </w:r>
          </w:p>
        </w:tc>
        <w:tc>
          <w:tcPr>
            <w:tcW w:type="dxa" w:w="21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5B595A"/>
                <w:sz w:val="16"/>
                <w:szCs w:val="16"/>
              </w:rPr>
              <w:t xml:space="preserve">All Workshop / Production Staff</w:t>
            </w:r>
          </w:p>
        </w:tc>
      </w:tr>
    </w:tbl>
    <w:p>
      <w:pPr>
        <w:spacing w:after="0" w:before="160"/>
      </w:pPr>
      <w:r>
        <w:t xml:space="preserve"/>
      </w:r>
    </w:p>
    <w:p>
      <w:pPr>
        <w:spacing w:after="80" w:before="240"/>
      </w:pPr>
      <w:r>
        <w:rPr>
          <w:rFonts w:ascii="Arial" w:cs="Arial" w:eastAsia="Arial" w:hAnsi="Arial"/>
          <w:b/>
          <w:bCs/>
          <w:color w:val="009FE3"/>
          <w:sz w:val="24"/>
          <w:szCs w:val="24"/>
        </w:rPr>
        <w:t xml:space="preserve">Why This Matters</w:t>
      </w:r>
    </w:p>
    <w:p>
      <w:pPr>
        <w:spacing w:after="60" w:before="60"/>
      </w:pPr>
      <w:r>
        <w:rPr>
          <w:rFonts w:ascii="Arial" w:cs="Arial" w:eastAsia="Arial" w:hAnsi="Arial"/>
          <w:color w:val="5B595A"/>
          <w:sz w:val="20"/>
          <w:szCs w:val="20"/>
        </w:rPr>
        <w:t xml:space="preserve">Noise-induced hearing loss and hand-arm vibration syndrome are two of the most common occupational health conditions in UK manufacturing. They are both permanent and both preventable. Unlike many other injuries, the damage builds up silently over months and years, meaning workers often do not realise the harm is occurring until it is too late. This talk covers the risks, the legal thresholds, and what controls must be in place.</w:t>
      </w:r>
    </w:p>
    <w:p>
      <w:pPr>
        <w:spacing w:after="0" w:before="80"/>
      </w:pPr>
      <w:r>
        <w:t xml:space="preserve"/>
      </w:r>
    </w:p>
    <w:p>
      <w:pPr>
        <w:spacing w:after="80" w:before="240"/>
      </w:pPr>
      <w:r>
        <w:rPr>
          <w:rFonts w:ascii="Arial" w:cs="Arial" w:eastAsia="Arial" w:hAnsi="Arial"/>
          <w:b/>
          <w:bCs/>
          <w:color w:val="009FE3"/>
          <w:sz w:val="24"/>
          <w:szCs w:val="24"/>
        </w:rPr>
        <w:t xml:space="preserve">Legal Background</w:t>
      </w:r>
    </w:p>
    <w:p>
      <w:pPr>
        <w:spacing w:after="60" w:before="60"/>
      </w:pPr>
      <w:r>
        <w:rPr>
          <w:rFonts w:ascii="Arial" w:cs="Arial" w:eastAsia="Arial" w:hAnsi="Arial"/>
          <w:color w:val="5B595A"/>
          <w:sz w:val="20"/>
          <w:szCs w:val="20"/>
        </w:rPr>
        <w:t xml:space="preserve">The Control of Noise at Work Regulations 2005 require employers to take action when employees are exposed at or above 80 dB(A) (lower action value) and to provide hearing protection and exposure zones at or above 85 dB(A) (upper action value). The Control of Vibration at Work Regulations 2005 set equivalent thresholds for hand-arm and whole-body vibration. Employers must eliminate or reduce exposure to as low as reasonably practicable.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9FE3" w:val="clear"/>
            <w:tcMar>
              <w:top w:type="dxa" w:w="80"/>
              <w:left w:type="dxa" w:w="160"/>
              <w:bottom w:type="dxa" w:w="80"/>
              <w:right w:type="dxa" w:w="160"/>
            </w:tcMar>
          </w:tcPr>
          <w:p>
            <w:r>
              <w:rPr>
                <w:rFonts w:ascii="Arial" w:cs="Arial" w:eastAsia="Arial" w:hAnsi="Arial"/>
                <w:b/>
                <w:bCs/>
                <w:color w:val="FFFFFF"/>
                <w:sz w:val="22"/>
                <w:szCs w:val="22"/>
              </w:rPr>
              <w:t xml:space="preserve">Key Facts</w:t>
            </w:r>
          </w:p>
        </w:tc>
      </w:tr>
      <w:tr>
        <w:tc>
          <w:tcPr>
            <w:tcW w:type="dxa" w:w="9360"/>
            <w:tcBorders>
              <w:top w:val="single" w:color="CCCCCC" w:sz="4"/>
              <w:left w:val="single" w:color="CCCCCC" w:sz="4"/>
              <w:bottom w:val="single" w:color="CCCCCC" w:sz="4"/>
              <w:right w:val="single" w:color="CCCCCC" w:sz="4"/>
            </w:tcBorders>
            <w:shd w:fill="E6F5FC" w:val="clear"/>
            <w:tcMar>
              <w:top w:type="dxa" w:w="100"/>
              <w:left w:type="dxa" w:w="160"/>
              <w:bottom w:type="dxa" w:w="100"/>
              <w:right w:type="dxa" w:w="160"/>
            </w:tcMar>
          </w:tcPr>
          <w:p>
            <w:pPr>
              <w:pStyle w:val="ListParagraph"/>
              <w:numPr>
                <w:ilvl w:val="0"/>
                <w:numId w:val="2"/>
              </w:numPr>
              <w:spacing w:after="40" w:before="40"/>
            </w:pPr>
            <w:r>
              <w:rPr>
                <w:rFonts w:ascii="Arial" w:cs="Arial" w:eastAsia="Arial" w:hAnsi="Arial"/>
                <w:color w:val="5B595A"/>
                <w:sz w:val="20"/>
                <w:szCs w:val="20"/>
              </w:rPr>
              <w:t xml:space="preserve">Noise-induced hearing loss is permanent. Once the hair cells in the cochlea are damaged by noise, they cannot recover.</w:t>
            </w:r>
          </w:p>
          <w:p>
            <w:pPr>
              <w:pStyle w:val="ListParagraph"/>
              <w:numPr>
                <w:ilvl w:val="0"/>
                <w:numId w:val="2"/>
              </w:numPr>
              <w:spacing w:after="40" w:before="40"/>
            </w:pPr>
            <w:r>
              <w:rPr>
                <w:rFonts w:ascii="Arial" w:cs="Arial" w:eastAsia="Arial" w:hAnsi="Arial"/>
                <w:color w:val="5B595A"/>
                <w:sz w:val="20"/>
                <w:szCs w:val="20"/>
              </w:rPr>
              <w:t xml:space="preserve">Tinnitus, a permanent ringing or buzzing in the ears, is one of the most common long-term effects of noise exposure.</w:t>
            </w:r>
          </w:p>
          <w:p>
            <w:pPr>
              <w:pStyle w:val="ListParagraph"/>
              <w:numPr>
                <w:ilvl w:val="0"/>
                <w:numId w:val="2"/>
              </w:numPr>
              <w:spacing w:after="40" w:before="40"/>
            </w:pPr>
            <w:r>
              <w:rPr>
                <w:rFonts w:ascii="Arial" w:cs="Arial" w:eastAsia="Arial" w:hAnsi="Arial"/>
                <w:color w:val="5B595A"/>
                <w:sz w:val="20"/>
                <w:szCs w:val="20"/>
              </w:rPr>
              <w:t xml:space="preserve">Hand-arm vibration syndrome (HAVS) causes numbness, tingling, pain, and eventual loss of function in the hands and fingers.</w:t>
            </w:r>
          </w:p>
          <w:p>
            <w:pPr>
              <w:pStyle w:val="ListParagraph"/>
              <w:numPr>
                <w:ilvl w:val="0"/>
                <w:numId w:val="2"/>
              </w:numPr>
              <w:spacing w:after="40" w:before="40"/>
            </w:pPr>
            <w:r>
              <w:rPr>
                <w:rFonts w:ascii="Arial" w:cs="Arial" w:eastAsia="Arial" w:hAnsi="Arial"/>
                <w:color w:val="5B595A"/>
                <w:sz w:val="20"/>
                <w:szCs w:val="20"/>
              </w:rPr>
              <w:t xml:space="preserve">Vibration white finger, a form of HAVS, causes reduced blood supply to the fingers, turning them white in cold conditions.</w:t>
            </w:r>
          </w:p>
          <w:p>
            <w:pPr>
              <w:pStyle w:val="ListParagraph"/>
              <w:numPr>
                <w:ilvl w:val="0"/>
                <w:numId w:val="2"/>
              </w:numPr>
              <w:spacing w:after="40" w:before="40"/>
            </w:pPr>
            <w:r>
              <w:rPr>
                <w:rFonts w:ascii="Arial" w:cs="Arial" w:eastAsia="Arial" w:hAnsi="Arial"/>
                <w:color w:val="5B595A"/>
                <w:sz w:val="20"/>
                <w:szCs w:val="20"/>
              </w:rPr>
              <w:t xml:space="preserve">The daily vibration exposure action value is 2.5 m/s2 A(8). Many common tools such as grinders, impact drivers, and chipping hammers can reach this value in under an hour of continuous use.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4720"/>
      </w:tblGrid>
      <w:tr>
        <w:tc>
          <w:tcPr>
            <w:tcW w:type="dxa" w:w="4640"/>
            <w:tcBorders>
              <w:top w:val="none" w:color="FFFFFF" w:sz="0"/>
              <w:left w:val="none" w:color="FFFFFF" w:sz="0"/>
              <w:bottom w:val="none" w:color="FFFFFF" w:sz="0"/>
              <w:right w:val="none" w:color="FFFFFF" w:sz="0"/>
            </w:tcBorders>
            <w:shd w:fill="009FE3" w:val="clear"/>
            <w:tcMar>
              <w:top w:type="dxa" w:w="80"/>
              <w:left w:type="dxa" w:w="140"/>
              <w:bottom w:type="dxa" w:w="80"/>
              <w:right w:type="dxa" w:w="140"/>
            </w:tcMar>
          </w:tcPr>
          <w:p>
            <w:r>
              <w:rPr>
                <w:rFonts w:ascii="Arial" w:cs="Arial" w:eastAsia="Arial" w:hAnsi="Arial"/>
                <w:b/>
                <w:bCs/>
                <w:color w:val="FFFFFF"/>
                <w:sz w:val="20"/>
                <w:szCs w:val="20"/>
              </w:rPr>
              <w:t xml:space="preserve">What You MUST Do</w:t>
            </w:r>
          </w:p>
        </w:tc>
        <w:tc>
          <w:tcPr>
            <w:tcW w:type="dxa" w:w="4720"/>
            <w:tcBorders>
              <w:top w:val="none" w:color="FFFFFF" w:sz="0"/>
              <w:left w:val="none" w:color="FFFFFF" w:sz="0"/>
              <w:bottom w:val="none" w:color="FFFFFF" w:sz="0"/>
              <w:right w:val="none" w:color="FFFFFF" w:sz="0"/>
            </w:tcBorders>
            <w:shd w:fill="83348F" w:val="clear"/>
            <w:tcMar>
              <w:top w:type="dxa" w:w="80"/>
              <w:left w:type="dxa" w:w="140"/>
              <w:bottom w:type="dxa" w:w="80"/>
              <w:right w:type="dxa" w:w="140"/>
            </w:tcMar>
          </w:tcPr>
          <w:p>
            <w:r>
              <w:rPr>
                <w:rFonts w:ascii="Arial" w:cs="Arial" w:eastAsia="Arial" w:hAnsi="Arial"/>
                <w:b/>
                <w:bCs/>
                <w:color w:val="FFFFFF"/>
                <w:sz w:val="20"/>
                <w:szCs w:val="20"/>
              </w:rPr>
              <w:t xml:space="preserve">What You Must NOT Do</w:t>
            </w:r>
          </w:p>
        </w:tc>
      </w:tr>
      <w:tr>
        <w:tc>
          <w:tcPr>
            <w:tcW w:type="dxa" w:w="4640"/>
            <w:tcBorders>
              <w:top w:val="single" w:color="CCCCCC" w:sz="4"/>
              <w:left w:val="single" w:color="CCCCCC" w:sz="4"/>
              <w:bottom w:val="single" w:color="CCCCCC" w:sz="4"/>
              <w:right w:val="single" w:color="CCCCCC" w:sz="4"/>
            </w:tcBorders>
            <w:shd w:fill="E6F5FC" w:val="clear"/>
            <w:tcMar>
              <w:top w:type="dxa" w:w="80"/>
              <w:left w:type="dxa" w:w="140"/>
              <w:bottom w:type="dxa" w:w="80"/>
              <w:right w:type="dxa" w:w="140"/>
            </w:tcMar>
          </w:tcPr>
          <w:p>
            <w:pPr>
              <w:pStyle w:val="ListParagraph"/>
              <w:numPr>
                <w:ilvl w:val="0"/>
                <w:numId w:val="2"/>
              </w:numPr>
              <w:spacing w:after="30" w:before="30"/>
            </w:pPr>
            <w:r>
              <w:rPr>
                <w:rFonts w:ascii="Arial" w:cs="Arial" w:eastAsia="Arial" w:hAnsi="Arial"/>
                <w:color w:val="5B595A"/>
                <w:sz w:val="18"/>
                <w:szCs w:val="18"/>
              </w:rPr>
              <w:t xml:space="preserve">Wear the correct hearing protection in designated Hearing Protection Zones and for noisy tasks.</w:t>
            </w:r>
          </w:p>
          <w:p>
            <w:pPr>
              <w:pStyle w:val="ListParagraph"/>
              <w:numPr>
                <w:ilvl w:val="0"/>
                <w:numId w:val="2"/>
              </w:numPr>
              <w:spacing w:after="30" w:before="30"/>
            </w:pPr>
            <w:r>
              <w:rPr>
                <w:rFonts w:ascii="Arial" w:cs="Arial" w:eastAsia="Arial" w:hAnsi="Arial"/>
                <w:color w:val="5B595A"/>
                <w:sz w:val="18"/>
                <w:szCs w:val="18"/>
              </w:rPr>
              <w:t xml:space="preserve">Choose the correct hearing protection for the noise level in your area. Higher levels require more attenuation.</w:t>
            </w:r>
          </w:p>
          <w:p>
            <w:pPr>
              <w:pStyle w:val="ListParagraph"/>
              <w:numPr>
                <w:ilvl w:val="0"/>
                <w:numId w:val="2"/>
              </w:numPr>
              <w:spacing w:after="30" w:before="30"/>
            </w:pPr>
            <w:r>
              <w:rPr>
                <w:rFonts w:ascii="Arial" w:cs="Arial" w:eastAsia="Arial" w:hAnsi="Arial"/>
                <w:color w:val="5B595A"/>
                <w:sz w:val="18"/>
                <w:szCs w:val="18"/>
              </w:rPr>
              <w:t xml:space="preserve">Use anti-vibration gloves and vibration-reduced tools where these are available and specified.</w:t>
            </w:r>
          </w:p>
          <w:p>
            <w:pPr>
              <w:pStyle w:val="ListParagraph"/>
              <w:numPr>
                <w:ilvl w:val="0"/>
                <w:numId w:val="2"/>
              </w:numPr>
              <w:spacing w:after="30" w:before="30"/>
            </w:pPr>
            <w:r>
              <w:rPr>
                <w:rFonts w:ascii="Arial" w:cs="Arial" w:eastAsia="Arial" w:hAnsi="Arial"/>
                <w:color w:val="5B595A"/>
                <w:sz w:val="18"/>
                <w:szCs w:val="18"/>
              </w:rPr>
              <w:t xml:space="preserve">Take regular breaks from high-vibration tasks. Limit continuous use of vibrating tools.</w:t>
            </w:r>
          </w:p>
          <w:p>
            <w:pPr>
              <w:pStyle w:val="ListParagraph"/>
              <w:numPr>
                <w:ilvl w:val="0"/>
                <w:numId w:val="2"/>
              </w:numPr>
              <w:spacing w:after="30" w:before="30"/>
            </w:pPr>
            <w:r>
              <w:rPr>
                <w:rFonts w:ascii="Arial" w:cs="Arial" w:eastAsia="Arial" w:hAnsi="Arial"/>
                <w:color w:val="5B595A"/>
                <w:sz w:val="18"/>
                <w:szCs w:val="18"/>
              </w:rPr>
              <w:t xml:space="preserve">Report any symptoms of hearing loss, tinnitus, or tingling and numbness in the hands to your supervisor.</w:t>
            </w:r>
          </w:p>
          <w:p>
            <w:pPr>
              <w:pStyle w:val="ListParagraph"/>
              <w:numPr>
                <w:ilvl w:val="0"/>
                <w:numId w:val="2"/>
              </w:numPr>
              <w:spacing w:after="30" w:before="30"/>
            </w:pPr>
            <w:r>
              <w:rPr>
                <w:rFonts w:ascii="Arial" w:cs="Arial" w:eastAsia="Arial" w:hAnsi="Arial"/>
                <w:color w:val="5B595A"/>
                <w:sz w:val="18"/>
                <w:szCs w:val="18"/>
              </w:rPr>
              <w:t xml:space="preserve">Attend any noise monitoring or occupational health surveillance programmes arranged by the company.</w:t>
            </w:r>
          </w:p>
          <w:p>
            <w:pPr>
              <w:pStyle w:val="ListParagraph"/>
              <w:numPr>
                <w:ilvl w:val="0"/>
                <w:numId w:val="2"/>
              </w:numPr>
              <w:spacing w:after="30" w:before="30"/>
            </w:pPr>
            <w:r>
              <w:rPr>
                <w:rFonts w:ascii="Arial" w:cs="Arial" w:eastAsia="Arial" w:hAnsi="Arial"/>
                <w:color w:val="5B595A"/>
                <w:sz w:val="18"/>
                <w:szCs w:val="18"/>
              </w:rPr>
              <w:t xml:space="preserve">Maintain vibrating tools correctly. Worn or unbalanced tools generate significantly higher vibration levels.</w:t>
            </w:r>
          </w:p>
        </w:tc>
        <w:tc>
          <w:tcPr>
            <w:tcW w:type="dxa" w:w="4720"/>
            <w:tcBorders>
              <w:top w:val="single" w:color="CCCCCC" w:sz="4"/>
              <w:left w:val="single" w:color="CCCCCC" w:sz="4"/>
              <w:bottom w:val="single" w:color="CCCCCC" w:sz="4"/>
              <w:right w:val="single" w:color="CCCCCC" w:sz="4"/>
            </w:tcBorders>
            <w:shd w:fill="F3E8F5" w:val="clear"/>
            <w:tcMar>
              <w:top w:type="dxa" w:w="80"/>
              <w:left w:type="dxa" w:w="140"/>
              <w:bottom w:type="dxa" w:w="80"/>
              <w:right w:type="dxa" w:w="140"/>
            </w:tcMar>
          </w:tcPr>
          <w:p>
            <w:pPr>
              <w:pStyle w:val="ListParagraph"/>
              <w:numPr>
                <w:ilvl w:val="0"/>
                <w:numId w:val="2"/>
              </w:numPr>
              <w:spacing w:after="30" w:before="30"/>
            </w:pPr>
            <w:r>
              <w:rPr>
                <w:rFonts w:ascii="Arial" w:cs="Arial" w:eastAsia="Arial" w:hAnsi="Arial"/>
                <w:color w:val="5B595A"/>
                <w:sz w:val="18"/>
                <w:szCs w:val="18"/>
              </w:rPr>
              <w:t xml:space="preserve">Do not remove hearing protection in Hearing Protection Zones, even for short periods. Any unprotected exposure adds to the total daily dose.</w:t>
            </w:r>
          </w:p>
          <w:p>
            <w:pPr>
              <w:pStyle w:val="ListParagraph"/>
              <w:numPr>
                <w:ilvl w:val="0"/>
                <w:numId w:val="2"/>
              </w:numPr>
              <w:spacing w:after="30" w:before="30"/>
            </w:pPr>
            <w:r>
              <w:rPr>
                <w:rFonts w:ascii="Arial" w:cs="Arial" w:eastAsia="Arial" w:hAnsi="Arial"/>
                <w:color w:val="5B595A"/>
                <w:sz w:val="18"/>
                <w:szCs w:val="18"/>
              </w:rPr>
              <w:t xml:space="preserve">Do not assume you can tolerate the noise because you have worked in it for years. Cumulative damage may already have occurred.</w:t>
            </w:r>
          </w:p>
          <w:p>
            <w:pPr>
              <w:pStyle w:val="ListParagraph"/>
              <w:numPr>
                <w:ilvl w:val="0"/>
                <w:numId w:val="2"/>
              </w:numPr>
              <w:spacing w:after="30" w:before="30"/>
            </w:pPr>
            <w:r>
              <w:rPr>
                <w:rFonts w:ascii="Arial" w:cs="Arial" w:eastAsia="Arial" w:hAnsi="Arial"/>
                <w:color w:val="5B595A"/>
                <w:sz w:val="18"/>
                <w:szCs w:val="18"/>
              </w:rPr>
              <w:t xml:space="preserve">Do not use vibrating tools for longer continuous periods than the safe use time specified for that tool.</w:t>
            </w:r>
          </w:p>
          <w:p>
            <w:pPr>
              <w:pStyle w:val="ListParagraph"/>
              <w:numPr>
                <w:ilvl w:val="0"/>
                <w:numId w:val="2"/>
              </w:numPr>
              <w:spacing w:after="30" w:before="30"/>
            </w:pPr>
            <w:r>
              <w:rPr>
                <w:rFonts w:ascii="Arial" w:cs="Arial" w:eastAsia="Arial" w:hAnsi="Arial"/>
                <w:color w:val="5B595A"/>
                <w:sz w:val="18"/>
                <w:szCs w:val="18"/>
              </w:rPr>
              <w:t xml:space="preserve">Do not ignore symptoms such as tingling, numbness, or a ringing in your ears after work. Report them early.</w:t>
            </w:r>
          </w:p>
          <w:p>
            <w:pPr>
              <w:pStyle w:val="ListParagraph"/>
              <w:numPr>
                <w:ilvl w:val="0"/>
                <w:numId w:val="2"/>
              </w:numPr>
              <w:spacing w:after="30" w:before="30"/>
            </w:pPr>
            <w:r>
              <w:rPr>
                <w:rFonts w:ascii="Arial" w:cs="Arial" w:eastAsia="Arial" w:hAnsi="Arial"/>
                <w:color w:val="5B595A"/>
                <w:sz w:val="18"/>
                <w:szCs w:val="18"/>
              </w:rPr>
              <w:t xml:space="preserve">Do not allow hearing protection to become damaged or contaminated and continue to use it.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3348F" w:val="clear"/>
            <w:tcMar>
              <w:top w:type="dxa" w:w="80"/>
              <w:left w:type="dxa" w:w="160"/>
              <w:bottom w:type="dxa" w:w="80"/>
              <w:right w:type="dxa" w:w="160"/>
            </w:tcMar>
          </w:tcPr>
          <w:p>
            <w:r>
              <w:rPr>
                <w:rFonts w:ascii="Arial" w:cs="Arial" w:eastAsia="Arial" w:hAnsi="Arial"/>
                <w:b/>
                <w:bCs/>
                <w:color w:val="FFFFFF"/>
                <w:sz w:val="22"/>
                <w:szCs w:val="22"/>
              </w:rPr>
              <w:t xml:space="preserve">Discussion Questions</w:t>
            </w:r>
          </w:p>
        </w:tc>
      </w:tr>
      <w:tr>
        <w:tc>
          <w:tcPr>
            <w:tcW w:type="dxa" w:w="9360"/>
            <w:tcBorders>
              <w:top w:val="single" w:color="CCCCCC" w:sz="4"/>
              <w:left w:val="single" w:color="CCCCCC" w:sz="4"/>
              <w:bottom w:val="single" w:color="CCCCCC" w:sz="4"/>
              <w:right w:val="single" w:color="CCCCCC" w:sz="4"/>
            </w:tcBorders>
            <w:shd w:fill="F3E8F5" w:val="clear"/>
            <w:tcMar>
              <w:top w:type="dxa" w:w="100"/>
              <w:left w:type="dxa" w:w="160"/>
              <w:bottom w:type="dxa" w:w="100"/>
              <w:right w:type="dxa" w:w="160"/>
            </w:tcMar>
          </w:tcPr>
          <w:p>
            <w:pPr>
              <w:spacing w:after="40" w:before="40"/>
            </w:pPr>
            <w:r>
              <w:rPr>
                <w:rFonts w:ascii="Arial" w:cs="Arial" w:eastAsia="Arial" w:hAnsi="Arial"/>
                <w:b/>
                <w:bCs/>
                <w:color w:val="83348F"/>
                <w:sz w:val="20"/>
                <w:szCs w:val="20"/>
              </w:rPr>
              <w:t xml:space="preserve">1.  </w:t>
            </w:r>
            <w:r>
              <w:rPr>
                <w:rFonts w:ascii="Arial" w:cs="Arial" w:eastAsia="Arial" w:hAnsi="Arial"/>
                <w:color w:val="5B595A"/>
                <w:sz w:val="20"/>
                <w:szCs w:val="20"/>
              </w:rPr>
              <w:t xml:space="preserve">Are there any areas in the workplace where you think the noise level could be reduced at source, rather than relying on hearing protection?</w:t>
            </w:r>
          </w:p>
          <w:p>
            <w:pPr>
              <w:spacing w:after="40" w:before="40"/>
            </w:pPr>
            <w:r>
              <w:rPr>
                <w:rFonts w:ascii="Arial" w:cs="Arial" w:eastAsia="Arial" w:hAnsi="Arial"/>
                <w:b/>
                <w:bCs/>
                <w:color w:val="83348F"/>
                <w:sz w:val="20"/>
                <w:szCs w:val="20"/>
              </w:rPr>
              <w:t xml:space="preserve">2.  </w:t>
            </w:r>
            <w:r>
              <w:rPr>
                <w:rFonts w:ascii="Arial" w:cs="Arial" w:eastAsia="Arial" w:hAnsi="Arial"/>
                <w:color w:val="5B595A"/>
                <w:sz w:val="20"/>
                <w:szCs w:val="20"/>
              </w:rPr>
              <w:t xml:space="preserve">Have you ever experienced ringing in your ears after a shift? Did you report it?</w:t>
            </w:r>
          </w:p>
          <w:p>
            <w:pPr>
              <w:spacing w:after="40" w:before="40"/>
            </w:pPr>
            <w:r>
              <w:rPr>
                <w:rFonts w:ascii="Arial" w:cs="Arial" w:eastAsia="Arial" w:hAnsi="Arial"/>
                <w:b/>
                <w:bCs/>
                <w:color w:val="83348F"/>
                <w:sz w:val="20"/>
                <w:szCs w:val="20"/>
              </w:rPr>
              <w:t xml:space="preserve">3.  </w:t>
            </w:r>
            <w:r>
              <w:rPr>
                <w:rFonts w:ascii="Arial" w:cs="Arial" w:eastAsia="Arial" w:hAnsi="Arial"/>
                <w:color w:val="5B595A"/>
                <w:sz w:val="20"/>
                <w:szCs w:val="20"/>
              </w:rPr>
              <w:t xml:space="preserve">Do you know the safe use times for the vibrating tools you regularly use? Are you working within them?</w:t>
            </w:r>
          </w:p>
          <w:p>
            <w:pPr>
              <w:spacing w:after="40" w:before="40"/>
            </w:pPr>
            <w:r>
              <w:rPr>
                <w:rFonts w:ascii="Arial" w:cs="Arial" w:eastAsia="Arial" w:hAnsi="Arial"/>
                <w:b/>
                <w:bCs/>
                <w:color w:val="83348F"/>
                <w:sz w:val="20"/>
                <w:szCs w:val="20"/>
              </w:rPr>
              <w:t xml:space="preserve">4.  </w:t>
            </w:r>
            <w:r>
              <w:rPr>
                <w:rFonts w:ascii="Arial" w:cs="Arial" w:eastAsia="Arial" w:hAnsi="Arial"/>
                <w:color w:val="5B595A"/>
                <w:sz w:val="20"/>
                <w:szCs w:val="20"/>
              </w:rPr>
              <w:t xml:space="preserve">Does everyone in your area consistently wear hearing protection in the designated zones? If not, why not?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3348F" w:val="clear"/>
            <w:tcMar>
              <w:top w:type="dxa" w:w="80"/>
              <w:left w:type="dxa" w:w="160"/>
              <w:bottom w:type="dxa" w:w="80"/>
              <w:right w:type="dxa" w:w="160"/>
            </w:tcMar>
          </w:tcPr>
          <w:p>
            <w:r>
              <w:rPr>
                <w:rFonts w:ascii="Arial" w:cs="Arial" w:eastAsia="Arial" w:hAnsi="Arial"/>
                <w:b/>
                <w:bCs/>
                <w:color w:val="FFFFFF"/>
                <w:sz w:val="22"/>
                <w:szCs w:val="22"/>
              </w:rPr>
              <w:t xml:space="preserve">Key Takeaway</w:t>
            </w:r>
          </w:p>
        </w:tc>
      </w:tr>
      <w:tr>
        <w:tc>
          <w:tcPr>
            <w:tcW w:type="dxa" w:w="9360"/>
            <w:tcBorders>
              <w:top w:val="single" w:color="83348F" w:sz="4"/>
              <w:left w:val="single" w:color="83348F" w:sz="4"/>
              <w:bottom w:val="single" w:color="83348F" w:sz="4"/>
              <w:right w:val="single" w:color="83348F" w:sz="4"/>
            </w:tcBorders>
            <w:shd w:fill="F3E8F5" w:val="clear"/>
            <w:tcMar>
              <w:top w:type="dxa" w:w="100"/>
              <w:left w:type="dxa" w:w="160"/>
              <w:bottom w:type="dxa" w:w="100"/>
              <w:right w:type="dxa" w:w="160"/>
            </w:tcMar>
          </w:tcPr>
          <w:p>
            <w:r>
              <w:rPr>
                <w:rFonts w:ascii="Arial" w:cs="Arial" w:eastAsia="Arial" w:hAnsi="Arial"/>
                <w:b/>
                <w:bCs/>
                <w:i/>
                <w:iCs/>
                <w:color w:val="5B595A"/>
                <w:sz w:val="22"/>
                <w:szCs w:val="22"/>
              </w:rPr>
              <w:t xml:space="preserve">Noise and vibration damage builds silently. By the time you notice the symptoms, the damage is already done. Wear your protection consistently, take breaks, and report any symptoms early.</w:t>
            </w:r>
          </w:p>
        </w:tc>
      </w:tr>
    </w:tbl>
    <w:p>
      <w:pPr>
        <w:spacing w:after="0" w:before="200"/>
      </w:pPr>
      <w:r>
        <w:t xml:space="preserve"/>
      </w:r>
    </w:p>
    <w:p>
      <w:r>
        <w:rPr>
          <w:rFonts w:ascii="Arial" w:cs="Arial" w:eastAsia="Arial" w:hAnsi="Arial"/>
          <w:b/>
          <w:bCs/>
          <w:color w:val="009FE3"/>
          <w:sz w:val="26"/>
          <w:szCs w:val="26"/>
        </w:rPr>
        <w:t xml:space="preserve">Attendance and Sign-Off Record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5B595A"/>
                <w:sz w:val="18"/>
                <w:szCs w:val="18"/>
              </w:rPr>
              <w:t xml:space="preserve">Facilitator Name:</w:t>
            </w:r>
          </w:p>
          <w:p>
            <w:r>
              <w:rPr>
                <w:rFonts w:ascii="Arial" w:cs="Arial" w:eastAsia="Arial" w:hAnsi="Arial"/>
                <w:sz w:val="18"/>
                <w:szCs w:val="18"/>
              </w:rPr>
              <w:t xml:space="preserve"> </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5B595A"/>
                <w:sz w:val="18"/>
                <w:szCs w:val="18"/>
              </w:rPr>
              <w:t xml:space="preserve">Date:</w:t>
            </w:r>
          </w:p>
          <w:p>
            <w:r>
              <w:rPr>
                <w:rFonts w:ascii="Arial" w:cs="Arial" w:eastAsia="Arial" w:hAnsi="Arial"/>
                <w:sz w:val="18"/>
                <w:szCs w:val="18"/>
              </w:rPr>
              <w:t xml:space="preserve"> </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5B595A"/>
                <w:sz w:val="18"/>
                <w:szCs w:val="18"/>
              </w:rPr>
              <w:t xml:space="preserve">Location:</w:t>
            </w:r>
          </w:p>
          <w:p>
            <w:r>
              <w:rPr>
                <w:rFonts w:ascii="Arial" w:cs="Arial" w:eastAsia="Arial" w:hAnsi="Arial"/>
                <w:sz w:val="18"/>
                <w:szCs w:val="18"/>
              </w:rPr>
              <w:t xml:space="preserve"> </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2600"/>
        <w:gridCol w:w="2200"/>
        <w:gridCol w:w="2200"/>
        <w:gridCol w:w="2120"/>
      </w:tblGrid>
      <w:tr>
        <w:tc>
          <w:tcPr>
            <w:tcW w:type="dxa" w:w="240"/>
            <w:tcBorders>
              <w:top w:val="single" w:color="CCCCCC" w:sz="4"/>
              <w:left w:val="single" w:color="CCCCCC" w:sz="4"/>
              <w:bottom w:val="single" w:color="CCCCCC" w:sz="4"/>
              <w:right w:val="single" w:color="CCCCCC" w:sz="4"/>
            </w:tcBorders>
            <w:shd w:fill="5B595A" w:val="clear"/>
            <w:tcMar>
              <w:top w:type="dxa" w:w="60"/>
              <w:left w:type="dxa" w:w="100"/>
              <w:bottom w:type="dxa" w:w="60"/>
              <w:right w:type="dxa" w:w="100"/>
            </w:tcMar>
          </w:tcPr>
          <w:p>
            <w:r>
              <w:rPr>
                <w:rFonts w:ascii="Arial" w:cs="Arial" w:eastAsia="Arial" w:hAnsi="Arial"/>
                <w:b/>
                <w:bCs/>
                <w:color w:val="FFFFFF"/>
                <w:sz w:val="17"/>
                <w:szCs w:val="17"/>
              </w:rPr>
              <w:t xml:space="preserve">#</w:t>
            </w:r>
          </w:p>
        </w:tc>
        <w:tc>
          <w:tcPr>
            <w:tcW w:type="dxa" w:w="2600"/>
            <w:tcBorders>
              <w:top w:val="single" w:color="CCCCCC" w:sz="4"/>
              <w:left w:val="single" w:color="CCCCCC" w:sz="4"/>
              <w:bottom w:val="single" w:color="CCCCCC" w:sz="4"/>
              <w:right w:val="single" w:color="CCCCCC" w:sz="4"/>
            </w:tcBorders>
            <w:shd w:fill="5B595A" w:val="clear"/>
            <w:tcMar>
              <w:top w:type="dxa" w:w="60"/>
              <w:left w:type="dxa" w:w="100"/>
              <w:bottom w:type="dxa" w:w="60"/>
              <w:right w:type="dxa" w:w="100"/>
            </w:tcMar>
          </w:tcPr>
          <w:p>
            <w:r>
              <w:rPr>
                <w:rFonts w:ascii="Arial" w:cs="Arial" w:eastAsia="Arial" w:hAnsi="Arial"/>
                <w:b/>
                <w:bCs/>
                <w:color w:val="FFFFFF"/>
                <w:sz w:val="17"/>
                <w:szCs w:val="17"/>
              </w:rPr>
              <w:t xml:space="preserve">Full Name (Print)</w:t>
            </w:r>
          </w:p>
        </w:tc>
        <w:tc>
          <w:tcPr>
            <w:tcW w:type="dxa" w:w="2200"/>
            <w:tcBorders>
              <w:top w:val="single" w:color="CCCCCC" w:sz="4"/>
              <w:left w:val="single" w:color="CCCCCC" w:sz="4"/>
              <w:bottom w:val="single" w:color="CCCCCC" w:sz="4"/>
              <w:right w:val="single" w:color="CCCCCC" w:sz="4"/>
            </w:tcBorders>
            <w:shd w:fill="5B595A" w:val="clear"/>
            <w:tcMar>
              <w:top w:type="dxa" w:w="60"/>
              <w:left w:type="dxa" w:w="100"/>
              <w:bottom w:type="dxa" w:w="60"/>
              <w:right w:type="dxa" w:w="100"/>
            </w:tcMar>
          </w:tcPr>
          <w:p>
            <w:r>
              <w:rPr>
                <w:rFonts w:ascii="Arial" w:cs="Arial" w:eastAsia="Arial" w:hAnsi="Arial"/>
                <w:b/>
                <w:bCs/>
                <w:color w:val="FFFFFF"/>
                <w:sz w:val="17"/>
                <w:szCs w:val="17"/>
              </w:rPr>
              <w:t xml:space="preserve">Job Title</w:t>
            </w:r>
          </w:p>
        </w:tc>
        <w:tc>
          <w:tcPr>
            <w:tcW w:type="dxa" w:w="2200"/>
            <w:tcBorders>
              <w:top w:val="single" w:color="CCCCCC" w:sz="4"/>
              <w:left w:val="single" w:color="CCCCCC" w:sz="4"/>
              <w:bottom w:val="single" w:color="CCCCCC" w:sz="4"/>
              <w:right w:val="single" w:color="CCCCCC" w:sz="4"/>
            </w:tcBorders>
            <w:shd w:fill="5B595A" w:val="clear"/>
            <w:tcMar>
              <w:top w:type="dxa" w:w="60"/>
              <w:left w:type="dxa" w:w="100"/>
              <w:bottom w:type="dxa" w:w="60"/>
              <w:right w:type="dxa" w:w="100"/>
            </w:tcMar>
          </w:tcPr>
          <w:p>
            <w:r>
              <w:rPr>
                <w:rFonts w:ascii="Arial" w:cs="Arial" w:eastAsia="Arial" w:hAnsi="Arial"/>
                <w:b/>
                <w:bCs/>
                <w:color w:val="FFFFFF"/>
                <w:sz w:val="17"/>
                <w:szCs w:val="17"/>
              </w:rPr>
              <w:t xml:space="preserve">Signature</w:t>
            </w:r>
          </w:p>
        </w:tc>
        <w:tc>
          <w:tcPr>
            <w:tcW w:type="dxa" w:w="2120"/>
            <w:tcBorders>
              <w:top w:val="single" w:color="CCCCCC" w:sz="4"/>
              <w:left w:val="single" w:color="CCCCCC" w:sz="4"/>
              <w:bottom w:val="single" w:color="CCCCCC" w:sz="4"/>
              <w:right w:val="single" w:color="CCCCCC" w:sz="4"/>
            </w:tcBorders>
            <w:shd w:fill="5B595A" w:val="clear"/>
            <w:tcMar>
              <w:top w:type="dxa" w:w="60"/>
              <w:left w:type="dxa" w:w="100"/>
              <w:bottom w:type="dxa" w:w="60"/>
              <w:right w:type="dxa" w:w="100"/>
            </w:tcMar>
          </w:tcPr>
          <w:p>
            <w:r>
              <w:rPr>
                <w:rFonts w:ascii="Arial" w:cs="Arial" w:eastAsia="Arial" w:hAnsi="Arial"/>
                <w:b/>
                <w:bCs/>
                <w:color w:val="FFFFFF"/>
                <w:sz w:val="17"/>
                <w:szCs w:val="17"/>
              </w:rPr>
              <w:t xml:space="preserve">Date</w:t>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bl>
    <w:p>
      <w:pPr>
        <w:spacing w:after="0" w:before="120"/>
      </w:pPr>
      <w:r>
        <w:t xml:space="preserve"/>
      </w:r>
    </w:p>
    <w:p>
      <w:r>
        <w:rPr>
          <w:rFonts w:ascii="Arial" w:cs="Arial" w:eastAsia="Arial" w:hAnsi="Arial"/>
          <w:color w:val="5B595A"/>
          <w:sz w:val="18"/>
          <w:szCs w:val="18"/>
        </w:rPr>
        <w:t xml:space="preserve">Facilitator Signature: ____________________________      Date: ________________</w:t>
      </w:r>
    </w:p>
    <w:p>
      <w:pPr>
        <w:spacing w:after="0" w:before="60"/>
      </w:pPr>
      <w:r>
        <w:t xml:space="preserve"/>
      </w:r>
    </w:p>
    <w:p>
      <w:r>
        <w:rPr>
          <w:rFonts w:ascii="Arial" w:cs="Arial" w:eastAsia="Arial" w:hAnsi="Arial"/>
          <w:i/>
          <w:iCs/>
          <w:color w:val="5B595A"/>
          <w:sz w:val="16"/>
          <w:szCs w:val="16"/>
        </w:rPr>
        <w:t xml:space="preserve">This record must be retained on file. A copy should be provided to HR / QHSE for central records.</w:t>
      </w:r>
    </w:p>
    <w:sectPr>
      <w:headerReference w:type="default" r:id="rId7"/>
      <w:footerReference w:type="default" r:id="rId8"/>
      <w:pgSz w:w="12240" w:h="15840" w:orient="portrait"/>
      <w:pgMar w:top="1000" w:right="1080" w:bottom="1000" w:left="1080" w:header="283" w:footer="28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596d7fa67ae8256ebe24fbf0272572b5560f3264.jpg"/><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679FB10-3180-4B15-94B9-6AA929C8F890}"/>
</file>

<file path=customXml/itemProps2.xml><?xml version="1.0" encoding="utf-8"?>
<ds:datastoreItem xmlns:ds="http://schemas.openxmlformats.org/officeDocument/2006/customXml" ds:itemID="{AD859016-534D-44D2-9148-F3A6BF8A847B}"/>
</file>

<file path=customXml/itemProps3.xml><?xml version="1.0" encoding="utf-8"?>
<ds:datastoreItem xmlns:ds="http://schemas.openxmlformats.org/officeDocument/2006/customXml" ds:itemID="{E54A82B8-7F97-4DE7-B0A2-A7ED90F5BD1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TBT-09 Noise and Vibration</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