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9FE3" w:val="clear"/>
            <w:tcMar>
              <w:top w:type="dxa" w:w="160"/>
              <w:left w:type="dxa" w:w="200"/>
              <w:bottom w:type="dxa" w:w="160"/>
              <w:right w:type="dxa" w:w="200"/>
            </w:tcMar>
          </w:tcPr>
          <w:p>
            <w:r>
              <w:rPr>
                <w:rFonts w:ascii="Arial" w:cs="Arial" w:eastAsia="Arial" w:hAnsi="Arial"/>
                <w:b/>
                <w:bCs/>
                <w:color w:val="FFFFFF"/>
                <w:sz w:val="20"/>
                <w:szCs w:val="20"/>
              </w:rPr>
              <w:t xml:space="preserve">TBT-10</w:t>
            </w:r>
          </w:p>
          <w:p>
            <w:r>
              <w:rPr>
                <w:rFonts w:ascii="Arial" w:cs="Arial" w:eastAsia="Arial" w:hAnsi="Arial"/>
                <w:b/>
                <w:bCs/>
                <w:color w:val="FFFFFF"/>
                <w:sz w:val="32"/>
                <w:szCs w:val="32"/>
              </w:rPr>
              <w:t xml:space="preserve">Near Miss and Hazard Reporting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2000"/>
        <w:gridCol w:w="2160"/>
      </w:tblGrid>
      <w:tr>
        <w:tc>
          <w:tcPr>
            <w:tcW w:type="dxa" w:w="160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Ref</w:t>
            </w:r>
          </w:p>
        </w:tc>
        <w:tc>
          <w:tcPr>
            <w:tcW w:type="dxa" w:w="160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Version</w:t>
            </w:r>
          </w:p>
        </w:tc>
        <w:tc>
          <w:tcPr>
            <w:tcW w:type="dxa" w:w="200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Date</w:t>
            </w:r>
          </w:p>
        </w:tc>
        <w:tc>
          <w:tcPr>
            <w:tcW w:type="dxa" w:w="200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Duration</w:t>
            </w:r>
          </w:p>
        </w:tc>
        <w:tc>
          <w:tcPr>
            <w:tcW w:type="dxa" w:w="216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Audience</w:t>
            </w:r>
          </w:p>
        </w:tc>
      </w:tr>
      <w:tr>
        <w:tc>
          <w:tcPr>
            <w:tcW w:type="dxa" w:w="16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TBT-10</w:t>
            </w:r>
          </w:p>
        </w:tc>
        <w:tc>
          <w:tcPr>
            <w:tcW w:type="dxa" w:w="16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v1.0</w:t>
            </w:r>
          </w:p>
        </w:tc>
        <w:tc>
          <w:tcPr>
            <w:tcW w:type="dxa" w:w="2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June 2025</w:t>
            </w:r>
          </w:p>
        </w:tc>
        <w:tc>
          <w:tcPr>
            <w:tcW w:type="dxa" w:w="2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15-20 minutes</w:t>
            </w:r>
          </w:p>
        </w:tc>
        <w:tc>
          <w:tcPr>
            <w:tcW w:type="dxa" w:w="21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All Employees</w:t>
            </w:r>
          </w:p>
        </w:tc>
      </w:tr>
    </w:tbl>
    <w:p>
      <w:pPr>
        <w:spacing w:after="0" w:before="160"/>
      </w:pPr>
      <w:r>
        <w:t xml:space="preserve"/>
      </w:r>
    </w:p>
    <w:p>
      <w:pPr>
        <w:spacing w:after="80" w:before="240"/>
      </w:pPr>
      <w:r>
        <w:rPr>
          <w:rFonts w:ascii="Arial" w:cs="Arial" w:eastAsia="Arial" w:hAnsi="Arial"/>
          <w:b/>
          <w:bCs/>
          <w:color w:val="009FE3"/>
          <w:sz w:val="24"/>
          <w:szCs w:val="24"/>
        </w:rPr>
        <w:t xml:space="preserve">Why This Matters</w:t>
      </w:r>
    </w:p>
    <w:p>
      <w:pPr>
        <w:spacing w:after="60" w:before="60"/>
      </w:pPr>
      <w:r>
        <w:rPr>
          <w:rFonts w:ascii="Arial" w:cs="Arial" w:eastAsia="Arial" w:hAnsi="Arial"/>
          <w:color w:val="5B595A"/>
          <w:sz w:val="20"/>
          <w:szCs w:val="20"/>
        </w:rPr>
        <w:t xml:space="preserve">For every serious accident, research tells us there are many more near misses and unsafe conditions that went unreported. Near miss reporting is one of the most powerful tools available for preventing serious injury and fatality. It allows hazards to be identified and controlled before someone gets hurt. This talk explains what near misses and hazards are, why reporting them matters, and how to do it.</w:t>
      </w:r>
    </w:p>
    <w:p>
      <w:pPr>
        <w:spacing w:after="0" w:before="80"/>
      </w:pPr>
      <w:r>
        <w:t xml:space="preserve"/>
      </w:r>
    </w:p>
    <w:p>
      <w:pPr>
        <w:spacing w:after="80" w:before="240"/>
      </w:pPr>
      <w:r>
        <w:rPr>
          <w:rFonts w:ascii="Arial" w:cs="Arial" w:eastAsia="Arial" w:hAnsi="Arial"/>
          <w:b/>
          <w:bCs/>
          <w:color w:val="009FE3"/>
          <w:sz w:val="24"/>
          <w:szCs w:val="24"/>
        </w:rPr>
        <w:t xml:space="preserve">Legal Background</w:t>
      </w:r>
    </w:p>
    <w:p>
      <w:pPr>
        <w:spacing w:after="60" w:before="60"/>
      </w:pPr>
      <w:r>
        <w:rPr>
          <w:rFonts w:ascii="Arial" w:cs="Arial" w:eastAsia="Arial" w:hAnsi="Arial"/>
          <w:color w:val="5B595A"/>
          <w:sz w:val="20"/>
          <w:szCs w:val="20"/>
        </w:rPr>
        <w:t xml:space="preserve">The Health and Safety at Work Act 1974 requires employees to report anything that could present a danger to themselves or others. The Reporting of Injuries, Diseases and Dangerous Occurrences Regulations 2013 (RIDDOR) require that certain serious incidents are reported to the Health and Safety Executive. Near misses and unsafe conditions must be reported internally through the company system.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9FE3" w:val="clear"/>
            <w:tcMar>
              <w:top w:type="dxa" w:w="80"/>
              <w:left w:type="dxa" w:w="160"/>
              <w:bottom w:type="dxa" w:w="80"/>
              <w:right w:type="dxa" w:w="160"/>
            </w:tcMar>
          </w:tcPr>
          <w:p>
            <w:r>
              <w:rPr>
                <w:rFonts w:ascii="Arial" w:cs="Arial" w:eastAsia="Arial" w:hAnsi="Arial"/>
                <w:b/>
                <w:bCs/>
                <w:color w:val="FFFFFF"/>
                <w:sz w:val="22"/>
                <w:szCs w:val="22"/>
              </w:rPr>
              <w:t xml:space="preserve">Key Facts</w:t>
            </w:r>
          </w:p>
        </w:tc>
      </w:tr>
      <w:tr>
        <w:tc>
          <w:tcPr>
            <w:tcW w:type="dxa" w:w="9360"/>
            <w:tcBorders>
              <w:top w:val="single" w:color="CCCCCC" w:sz="4"/>
              <w:left w:val="single" w:color="CCCCCC" w:sz="4"/>
              <w:bottom w:val="single" w:color="CCCCCC" w:sz="4"/>
              <w:right w:val="single" w:color="CCCCCC" w:sz="4"/>
            </w:tcBorders>
            <w:shd w:fill="E6F5FC" w:val="clear"/>
            <w:tcMar>
              <w:top w:type="dxa" w:w="100"/>
              <w:left w:type="dxa" w:w="160"/>
              <w:bottom w:type="dxa" w:w="100"/>
              <w:right w:type="dxa" w:w="160"/>
            </w:tcMar>
          </w:tcPr>
          <w:p>
            <w:pPr>
              <w:pStyle w:val="ListParagraph"/>
              <w:numPr>
                <w:ilvl w:val="0"/>
                <w:numId w:val="2"/>
              </w:numPr>
              <w:spacing w:after="40" w:before="40"/>
            </w:pPr>
            <w:r>
              <w:rPr>
                <w:rFonts w:ascii="Arial" w:cs="Arial" w:eastAsia="Arial" w:hAnsi="Arial"/>
                <w:color w:val="5B595A"/>
                <w:sz w:val="20"/>
                <w:szCs w:val="20"/>
              </w:rPr>
              <w:t xml:space="preserve">Heinrich's Triangle, a well-established model in safety management, suggests that for every major injury there are approximately 29 minor injuries and 300 near miss incidents.</w:t>
            </w:r>
          </w:p>
          <w:p>
            <w:pPr>
              <w:pStyle w:val="ListParagraph"/>
              <w:numPr>
                <w:ilvl w:val="0"/>
                <w:numId w:val="2"/>
              </w:numPr>
              <w:spacing w:after="40" w:before="40"/>
            </w:pPr>
            <w:r>
              <w:rPr>
                <w:rFonts w:ascii="Arial" w:cs="Arial" w:eastAsia="Arial" w:hAnsi="Arial"/>
                <w:color w:val="5B595A"/>
                <w:sz w:val="20"/>
                <w:szCs w:val="20"/>
              </w:rPr>
              <w:t xml:space="preserve">Near miss reporting is a leading indicator of safety culture. A workplace where near misses are reported and acted on is a safer workplace.</w:t>
            </w:r>
          </w:p>
          <w:p>
            <w:pPr>
              <w:pStyle w:val="ListParagraph"/>
              <w:numPr>
                <w:ilvl w:val="0"/>
                <w:numId w:val="2"/>
              </w:numPr>
              <w:spacing w:after="40" w:before="40"/>
            </w:pPr>
            <w:r>
              <w:rPr>
                <w:rFonts w:ascii="Arial" w:cs="Arial" w:eastAsia="Arial" w:hAnsi="Arial"/>
                <w:color w:val="5B595A"/>
                <w:sz w:val="20"/>
                <w:szCs w:val="20"/>
              </w:rPr>
              <w:t xml:space="preserve">Many workers do not report near misses because they fear blame, think nothing will be done, or do not consider the incident significant enough.</w:t>
            </w:r>
          </w:p>
          <w:p>
            <w:pPr>
              <w:pStyle w:val="ListParagraph"/>
              <w:numPr>
                <w:ilvl w:val="0"/>
                <w:numId w:val="2"/>
              </w:numPr>
              <w:spacing w:after="40" w:before="40"/>
            </w:pPr>
            <w:r>
              <w:rPr>
                <w:rFonts w:ascii="Arial" w:cs="Arial" w:eastAsia="Arial" w:hAnsi="Arial"/>
                <w:color w:val="5B595A"/>
                <w:sz w:val="20"/>
                <w:szCs w:val="20"/>
              </w:rPr>
              <w:t xml:space="preserve">The purpose of near miss reporting is improvement, not blame. A good reporting culture depends on people feeling safe to report without fear of punishment.</w:t>
            </w:r>
          </w:p>
          <w:p>
            <w:pPr>
              <w:pStyle w:val="ListParagraph"/>
              <w:numPr>
                <w:ilvl w:val="0"/>
                <w:numId w:val="2"/>
              </w:numPr>
              <w:spacing w:after="40" w:before="40"/>
            </w:pPr>
            <w:r>
              <w:rPr>
                <w:rFonts w:ascii="Arial" w:cs="Arial" w:eastAsia="Arial" w:hAnsi="Arial"/>
                <w:color w:val="5B595A"/>
                <w:sz w:val="20"/>
                <w:szCs w:val="20"/>
              </w:rPr>
              <w:t xml:space="preserve">Reported near misses must be investigated and closed out. A system that collects reports but takes no action will quickly stop receiving them.</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720"/>
      </w:tblGrid>
      <w:tr>
        <w:tc>
          <w:tcPr>
            <w:tcW w:type="dxa" w:w="4640"/>
            <w:tcBorders>
              <w:top w:val="none" w:color="FFFFFF" w:sz="0"/>
              <w:left w:val="none" w:color="FFFFFF" w:sz="0"/>
              <w:bottom w:val="none" w:color="FFFFFF" w:sz="0"/>
              <w:right w:val="none" w:color="FFFFFF" w:sz="0"/>
            </w:tcBorders>
            <w:shd w:fill="009FE3" w:val="clear"/>
            <w:tcMar>
              <w:top w:type="dxa" w:w="80"/>
              <w:left w:type="dxa" w:w="140"/>
              <w:bottom w:type="dxa" w:w="80"/>
              <w:right w:type="dxa" w:w="140"/>
            </w:tcMar>
          </w:tcPr>
          <w:p>
            <w:r>
              <w:rPr>
                <w:rFonts w:ascii="Arial" w:cs="Arial" w:eastAsia="Arial" w:hAnsi="Arial"/>
                <w:b/>
                <w:bCs/>
                <w:color w:val="FFFFFF"/>
                <w:sz w:val="20"/>
                <w:szCs w:val="20"/>
              </w:rPr>
              <w:t xml:space="preserve">What You MUST Do</w:t>
            </w:r>
          </w:p>
        </w:tc>
        <w:tc>
          <w:tcPr>
            <w:tcW w:type="dxa" w:w="4720"/>
            <w:tcBorders>
              <w:top w:val="none" w:color="FFFFFF" w:sz="0"/>
              <w:left w:val="none" w:color="FFFFFF" w:sz="0"/>
              <w:bottom w:val="none" w:color="FFFFFF" w:sz="0"/>
              <w:right w:val="none" w:color="FFFFFF" w:sz="0"/>
            </w:tcBorders>
            <w:shd w:fill="83348F" w:val="clear"/>
            <w:tcMar>
              <w:top w:type="dxa" w:w="80"/>
              <w:left w:type="dxa" w:w="140"/>
              <w:bottom w:type="dxa" w:w="80"/>
              <w:right w:type="dxa" w:w="140"/>
            </w:tcMar>
          </w:tcPr>
          <w:p>
            <w:r>
              <w:rPr>
                <w:rFonts w:ascii="Arial" w:cs="Arial" w:eastAsia="Arial" w:hAnsi="Arial"/>
                <w:b/>
                <w:bCs/>
                <w:color w:val="FFFFFF"/>
                <w:sz w:val="20"/>
                <w:szCs w:val="20"/>
              </w:rPr>
              <w:t xml:space="preserve">What You Must NOT Do</w:t>
            </w:r>
          </w:p>
        </w:tc>
      </w:tr>
      <w:tr>
        <w:tc>
          <w:tcPr>
            <w:tcW w:type="dxa" w:w="4640"/>
            <w:tcBorders>
              <w:top w:val="single" w:color="CCCCCC" w:sz="4"/>
              <w:left w:val="single" w:color="CCCCCC" w:sz="4"/>
              <w:bottom w:val="single" w:color="CCCCCC" w:sz="4"/>
              <w:right w:val="single" w:color="CCCCCC" w:sz="4"/>
            </w:tcBorders>
            <w:shd w:fill="E6F5FC" w:val="clear"/>
            <w:tcMar>
              <w:top w:type="dxa" w:w="80"/>
              <w:left w:type="dxa" w:w="140"/>
              <w:bottom w:type="dxa" w:w="80"/>
              <w:right w:type="dxa" w:w="140"/>
            </w:tcMar>
          </w:tcPr>
          <w:p>
            <w:pPr>
              <w:pStyle w:val="ListParagraph"/>
              <w:numPr>
                <w:ilvl w:val="0"/>
                <w:numId w:val="2"/>
              </w:numPr>
              <w:spacing w:after="30" w:before="30"/>
            </w:pPr>
            <w:r>
              <w:rPr>
                <w:rFonts w:ascii="Arial" w:cs="Arial" w:eastAsia="Arial" w:hAnsi="Arial"/>
                <w:color w:val="5B595A"/>
                <w:sz w:val="18"/>
                <w:szCs w:val="18"/>
              </w:rPr>
              <w:t xml:space="preserve">Report every near miss, unsafe condition, and hazard you observe, no matter how minor it seems.</w:t>
            </w:r>
          </w:p>
          <w:p>
            <w:pPr>
              <w:pStyle w:val="ListParagraph"/>
              <w:numPr>
                <w:ilvl w:val="0"/>
                <w:numId w:val="2"/>
              </w:numPr>
              <w:spacing w:after="30" w:before="30"/>
            </w:pPr>
            <w:r>
              <w:rPr>
                <w:rFonts w:ascii="Arial" w:cs="Arial" w:eastAsia="Arial" w:hAnsi="Arial"/>
                <w:color w:val="5B595A"/>
                <w:sz w:val="18"/>
                <w:szCs w:val="18"/>
              </w:rPr>
              <w:t xml:space="preserve">Use the near miss and hazard reporting form or system provided by the company.</w:t>
            </w:r>
          </w:p>
          <w:p>
            <w:pPr>
              <w:pStyle w:val="ListParagraph"/>
              <w:numPr>
                <w:ilvl w:val="0"/>
                <w:numId w:val="2"/>
              </w:numPr>
              <w:spacing w:after="30" w:before="30"/>
            </w:pPr>
            <w:r>
              <w:rPr>
                <w:rFonts w:ascii="Arial" w:cs="Arial" w:eastAsia="Arial" w:hAnsi="Arial"/>
                <w:color w:val="5B595A"/>
                <w:sz w:val="18"/>
                <w:szCs w:val="18"/>
              </w:rPr>
              <w:t xml:space="preserve">Be specific in your report. Describe exactly what happened, where, when, and what the potential consequences could have been.</w:t>
            </w:r>
          </w:p>
          <w:p>
            <w:pPr>
              <w:pStyle w:val="ListParagraph"/>
              <w:numPr>
                <w:ilvl w:val="0"/>
                <w:numId w:val="2"/>
              </w:numPr>
              <w:spacing w:after="30" w:before="30"/>
            </w:pPr>
            <w:r>
              <w:rPr>
                <w:rFonts w:ascii="Arial" w:cs="Arial" w:eastAsia="Arial" w:hAnsi="Arial"/>
                <w:color w:val="5B595A"/>
                <w:sz w:val="18"/>
                <w:szCs w:val="18"/>
              </w:rPr>
              <w:t xml:space="preserve">Report concerns verbally to your supervisor if you cannot complete a written report immediately, and follow up with a written report.</w:t>
            </w:r>
          </w:p>
          <w:p>
            <w:pPr>
              <w:pStyle w:val="ListParagraph"/>
              <w:numPr>
                <w:ilvl w:val="0"/>
                <w:numId w:val="2"/>
              </w:numPr>
              <w:spacing w:after="30" w:before="30"/>
            </w:pPr>
            <w:r>
              <w:rPr>
                <w:rFonts w:ascii="Arial" w:cs="Arial" w:eastAsia="Arial" w:hAnsi="Arial"/>
                <w:color w:val="5B595A"/>
                <w:sz w:val="18"/>
                <w:szCs w:val="18"/>
              </w:rPr>
              <w:t xml:space="preserve">Support and encourage colleagues who report near misses. Positive reinforcement builds reporting culture.</w:t>
            </w:r>
          </w:p>
          <w:p>
            <w:pPr>
              <w:pStyle w:val="ListParagraph"/>
              <w:numPr>
                <w:ilvl w:val="0"/>
                <w:numId w:val="2"/>
              </w:numPr>
              <w:spacing w:after="30" w:before="30"/>
            </w:pPr>
            <w:r>
              <w:rPr>
                <w:rFonts w:ascii="Arial" w:cs="Arial" w:eastAsia="Arial" w:hAnsi="Arial"/>
                <w:color w:val="5B595A"/>
                <w:sz w:val="18"/>
                <w:szCs w:val="18"/>
              </w:rPr>
              <w:t xml:space="preserve">Expect feedback on the reports you submit. Effective systems close the loop with the reporter.</w:t>
            </w:r>
          </w:p>
        </w:tc>
        <w:tc>
          <w:tcPr>
            <w:tcW w:type="dxa" w:w="4720"/>
            <w:tcBorders>
              <w:top w:val="single" w:color="CCCCCC" w:sz="4"/>
              <w:left w:val="single" w:color="CCCCCC" w:sz="4"/>
              <w:bottom w:val="single" w:color="CCCCCC" w:sz="4"/>
              <w:right w:val="single" w:color="CCCCCC" w:sz="4"/>
            </w:tcBorders>
            <w:shd w:fill="F3E8F5" w:val="clear"/>
            <w:tcMar>
              <w:top w:type="dxa" w:w="80"/>
              <w:left w:type="dxa" w:w="140"/>
              <w:bottom w:type="dxa" w:w="80"/>
              <w:right w:type="dxa" w:w="140"/>
            </w:tcMar>
          </w:tcPr>
          <w:p>
            <w:pPr>
              <w:pStyle w:val="ListParagraph"/>
              <w:numPr>
                <w:ilvl w:val="0"/>
                <w:numId w:val="2"/>
              </w:numPr>
              <w:spacing w:after="30" w:before="30"/>
            </w:pPr>
            <w:r>
              <w:rPr>
                <w:rFonts w:ascii="Arial" w:cs="Arial" w:eastAsia="Arial" w:hAnsi="Arial"/>
                <w:color w:val="5B595A"/>
                <w:sz w:val="18"/>
                <w:szCs w:val="18"/>
              </w:rPr>
              <w:t xml:space="preserve">Do not dismiss a near miss as unimportant because nobody was hurt. The next time may have a different outcome.</w:t>
            </w:r>
          </w:p>
          <w:p>
            <w:pPr>
              <w:pStyle w:val="ListParagraph"/>
              <w:numPr>
                <w:ilvl w:val="0"/>
                <w:numId w:val="2"/>
              </w:numPr>
              <w:spacing w:after="30" w:before="30"/>
            </w:pPr>
            <w:r>
              <w:rPr>
                <w:rFonts w:ascii="Arial" w:cs="Arial" w:eastAsia="Arial" w:hAnsi="Arial"/>
                <w:color w:val="5B595A"/>
                <w:sz w:val="18"/>
                <w:szCs w:val="18"/>
              </w:rPr>
              <w:t xml:space="preserve">Do not stay silent because you think nothing will be done. Report it, and if you receive no response, escalate.</w:t>
            </w:r>
          </w:p>
          <w:p>
            <w:pPr>
              <w:pStyle w:val="ListParagraph"/>
              <w:numPr>
                <w:ilvl w:val="0"/>
                <w:numId w:val="2"/>
              </w:numPr>
              <w:spacing w:after="30" w:before="30"/>
            </w:pPr>
            <w:r>
              <w:rPr>
                <w:rFonts w:ascii="Arial" w:cs="Arial" w:eastAsia="Arial" w:hAnsi="Arial"/>
                <w:color w:val="5B595A"/>
                <w:sz w:val="18"/>
                <w:szCs w:val="18"/>
              </w:rPr>
              <w:t xml:space="preserve">Do not blame colleagues who report near misses. Near miss reporting is a sign of a healthy safety culture.</w:t>
            </w:r>
          </w:p>
          <w:p>
            <w:pPr>
              <w:pStyle w:val="ListParagraph"/>
              <w:numPr>
                <w:ilvl w:val="0"/>
                <w:numId w:val="2"/>
              </w:numPr>
              <w:spacing w:after="30" w:before="30"/>
            </w:pPr>
            <w:r>
              <w:rPr>
                <w:rFonts w:ascii="Arial" w:cs="Arial" w:eastAsia="Arial" w:hAnsi="Arial"/>
                <w:color w:val="5B595A"/>
                <w:sz w:val="18"/>
                <w:szCs w:val="18"/>
              </w:rPr>
              <w:t xml:space="preserve">Do not exaggerate or under-report the details. Accurate information is essential for effective investigation.</w:t>
            </w:r>
          </w:p>
          <w:p>
            <w:pPr>
              <w:pStyle w:val="ListParagraph"/>
              <w:numPr>
                <w:ilvl w:val="0"/>
                <w:numId w:val="2"/>
              </w:numPr>
              <w:spacing w:after="30" w:before="30"/>
            </w:pPr>
            <w:r>
              <w:rPr>
                <w:rFonts w:ascii="Arial" w:cs="Arial" w:eastAsia="Arial" w:hAnsi="Arial"/>
                <w:color w:val="5B595A"/>
                <w:sz w:val="18"/>
                <w:szCs w:val="18"/>
              </w:rPr>
              <w:t xml:space="preserve">Do not assume someone else has already reported an incident. Always report what you witness yourself.</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3348F" w:val="clear"/>
            <w:tcMar>
              <w:top w:type="dxa" w:w="80"/>
              <w:left w:type="dxa" w:w="160"/>
              <w:bottom w:type="dxa" w:w="80"/>
              <w:right w:type="dxa" w:w="160"/>
            </w:tcMar>
          </w:tcPr>
          <w:p>
            <w:r>
              <w:rPr>
                <w:rFonts w:ascii="Arial" w:cs="Arial" w:eastAsia="Arial" w:hAnsi="Arial"/>
                <w:b/>
                <w:bCs/>
                <w:color w:val="FFFFFF"/>
                <w:sz w:val="22"/>
                <w:szCs w:val="22"/>
              </w:rPr>
              <w:t xml:space="preserve">Discussion Questions</w:t>
            </w:r>
          </w:p>
        </w:tc>
      </w:tr>
      <w:tr>
        <w:tc>
          <w:tcPr>
            <w:tcW w:type="dxa" w:w="9360"/>
            <w:tcBorders>
              <w:top w:val="single" w:color="CCCCCC" w:sz="4"/>
              <w:left w:val="single" w:color="CCCCCC" w:sz="4"/>
              <w:bottom w:val="single" w:color="CCCCCC" w:sz="4"/>
              <w:right w:val="single" w:color="CCCCCC" w:sz="4"/>
            </w:tcBorders>
            <w:shd w:fill="F3E8F5" w:val="clear"/>
            <w:tcMar>
              <w:top w:type="dxa" w:w="100"/>
              <w:left w:type="dxa" w:w="160"/>
              <w:bottom w:type="dxa" w:w="100"/>
              <w:right w:type="dxa" w:w="160"/>
            </w:tcMar>
          </w:tcPr>
          <w:p>
            <w:pPr>
              <w:spacing w:after="40" w:before="40"/>
            </w:pPr>
            <w:r>
              <w:rPr>
                <w:rFonts w:ascii="Arial" w:cs="Arial" w:eastAsia="Arial" w:hAnsi="Arial"/>
                <w:b/>
                <w:bCs/>
                <w:color w:val="83348F"/>
                <w:sz w:val="20"/>
                <w:szCs w:val="20"/>
              </w:rPr>
              <w:t xml:space="preserve">1.  </w:t>
            </w:r>
            <w:r>
              <w:rPr>
                <w:rFonts w:ascii="Arial" w:cs="Arial" w:eastAsia="Arial" w:hAnsi="Arial"/>
                <w:color w:val="5B595A"/>
                <w:sz w:val="20"/>
                <w:szCs w:val="20"/>
              </w:rPr>
              <w:t xml:space="preserve">Can you think of a recent near miss or unsafe condition in our area that was or was not reported? What happened as a result?</w:t>
            </w:r>
          </w:p>
          <w:p>
            <w:pPr>
              <w:spacing w:after="40" w:before="40"/>
            </w:pPr>
            <w:r>
              <w:rPr>
                <w:rFonts w:ascii="Arial" w:cs="Arial" w:eastAsia="Arial" w:hAnsi="Arial"/>
                <w:b/>
                <w:bCs/>
                <w:color w:val="83348F"/>
                <w:sz w:val="20"/>
                <w:szCs w:val="20"/>
              </w:rPr>
              <w:t xml:space="preserve">2.  </w:t>
            </w:r>
            <w:r>
              <w:rPr>
                <w:rFonts w:ascii="Arial" w:cs="Arial" w:eastAsia="Arial" w:hAnsi="Arial"/>
                <w:color w:val="5B595A"/>
                <w:sz w:val="20"/>
                <w:szCs w:val="20"/>
              </w:rPr>
              <w:t xml:space="preserve">What stops people from reporting near misses in your opinion? What could we do to change that?</w:t>
            </w:r>
          </w:p>
          <w:p>
            <w:pPr>
              <w:spacing w:after="40" w:before="40"/>
            </w:pPr>
            <w:r>
              <w:rPr>
                <w:rFonts w:ascii="Arial" w:cs="Arial" w:eastAsia="Arial" w:hAnsi="Arial"/>
                <w:b/>
                <w:bCs/>
                <w:color w:val="83348F"/>
                <w:sz w:val="20"/>
                <w:szCs w:val="20"/>
              </w:rPr>
              <w:t xml:space="preserve">3.  </w:t>
            </w:r>
            <w:r>
              <w:rPr>
                <w:rFonts w:ascii="Arial" w:cs="Arial" w:eastAsia="Arial" w:hAnsi="Arial"/>
                <w:color w:val="5B595A"/>
                <w:sz w:val="20"/>
                <w:szCs w:val="20"/>
              </w:rPr>
              <w:t xml:space="preserve">What happens to a near miss report after it is submitted? Does the system work well?</w:t>
            </w:r>
          </w:p>
          <w:p>
            <w:pPr>
              <w:spacing w:after="40" w:before="40"/>
            </w:pPr>
            <w:r>
              <w:rPr>
                <w:rFonts w:ascii="Arial" w:cs="Arial" w:eastAsia="Arial" w:hAnsi="Arial"/>
                <w:b/>
                <w:bCs/>
                <w:color w:val="83348F"/>
                <w:sz w:val="20"/>
                <w:szCs w:val="20"/>
              </w:rPr>
              <w:t xml:space="preserve">4.  </w:t>
            </w:r>
            <w:r>
              <w:rPr>
                <w:rFonts w:ascii="Arial" w:cs="Arial" w:eastAsia="Arial" w:hAnsi="Arial"/>
                <w:color w:val="5B595A"/>
                <w:sz w:val="20"/>
                <w:szCs w:val="20"/>
              </w:rPr>
              <w:t xml:space="preserve">How would you encourage a colleague to report a near miss they had witnessed but not reported?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3348F" w:val="clear"/>
            <w:tcMar>
              <w:top w:type="dxa" w:w="80"/>
              <w:left w:type="dxa" w:w="160"/>
              <w:bottom w:type="dxa" w:w="80"/>
              <w:right w:type="dxa" w:w="160"/>
            </w:tcMar>
          </w:tcPr>
          <w:p>
            <w:r>
              <w:rPr>
                <w:rFonts w:ascii="Arial" w:cs="Arial" w:eastAsia="Arial" w:hAnsi="Arial"/>
                <w:b/>
                <w:bCs/>
                <w:color w:val="FFFFFF"/>
                <w:sz w:val="22"/>
                <w:szCs w:val="22"/>
              </w:rPr>
              <w:t xml:space="preserve">Key Takeaway</w:t>
            </w:r>
          </w:p>
        </w:tc>
      </w:tr>
      <w:tr>
        <w:tc>
          <w:tcPr>
            <w:tcW w:type="dxa" w:w="9360"/>
            <w:tcBorders>
              <w:top w:val="single" w:color="83348F" w:sz="4"/>
              <w:left w:val="single" w:color="83348F" w:sz="4"/>
              <w:bottom w:val="single" w:color="83348F" w:sz="4"/>
              <w:right w:val="single" w:color="83348F" w:sz="4"/>
            </w:tcBorders>
            <w:shd w:fill="F3E8F5" w:val="clear"/>
            <w:tcMar>
              <w:top w:type="dxa" w:w="100"/>
              <w:left w:type="dxa" w:w="160"/>
              <w:bottom w:type="dxa" w:w="100"/>
              <w:right w:type="dxa" w:w="160"/>
            </w:tcMar>
          </w:tcPr>
          <w:p>
            <w:r>
              <w:rPr>
                <w:rFonts w:ascii="Arial" w:cs="Arial" w:eastAsia="Arial" w:hAnsi="Arial"/>
                <w:b/>
                <w:bCs/>
                <w:i/>
                <w:iCs/>
                <w:color w:val="5B595A"/>
                <w:sz w:val="22"/>
                <w:szCs w:val="22"/>
              </w:rPr>
              <w:t xml:space="preserve">Near misses are free lessons. They tell you exactly where the system failed before someone paid the price. If you see it, report it. Every report has the potential to prevent a serious injury.</w:t>
            </w:r>
          </w:p>
        </w:tc>
      </w:tr>
    </w:tbl>
    <w:p>
      <w:pPr>
        <w:spacing w:after="0" w:before="200"/>
      </w:pPr>
      <w:r>
        <w:t xml:space="preserve"/>
      </w:r>
    </w:p>
    <w:p>
      <w:r>
        <w:rPr>
          <w:rFonts w:ascii="Arial" w:cs="Arial" w:eastAsia="Arial" w:hAnsi="Arial"/>
          <w:b/>
          <w:bCs/>
          <w:color w:val="009FE3"/>
          <w:sz w:val="26"/>
          <w:szCs w:val="26"/>
        </w:rPr>
        <w:t xml:space="preserve">Attendance and Sign-Off Record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5B595A"/>
                <w:sz w:val="18"/>
                <w:szCs w:val="18"/>
              </w:rPr>
              <w:t xml:space="preserve">Facilitator Name:</w:t>
            </w:r>
          </w:p>
          <w:p>
            <w:r>
              <w:rPr>
                <w:rFonts w:ascii="Arial" w:cs="Arial" w:eastAsia="Arial" w:hAnsi="Arial"/>
                <w:sz w:val="18"/>
                <w:szCs w:val="18"/>
              </w:rPr>
              <w:t xml:space="preserve"> </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5B595A"/>
                <w:sz w:val="18"/>
                <w:szCs w:val="18"/>
              </w:rPr>
              <w:t xml:space="preserve">Date:</w:t>
            </w:r>
          </w:p>
          <w:p>
            <w:r>
              <w:rPr>
                <w:rFonts w:ascii="Arial" w:cs="Arial" w:eastAsia="Arial" w:hAnsi="Arial"/>
                <w:sz w:val="18"/>
                <w:szCs w:val="18"/>
              </w:rPr>
              <w:t xml:space="preserve"> </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5B595A"/>
                <w:sz w:val="18"/>
                <w:szCs w:val="18"/>
              </w:rPr>
              <w:t xml:space="preserve">Location:</w:t>
            </w:r>
          </w:p>
          <w:p>
            <w:r>
              <w:rPr>
                <w:rFonts w:ascii="Arial" w:cs="Arial" w:eastAsia="Arial" w:hAnsi="Arial"/>
                <w:sz w:val="18"/>
                <w:szCs w:val="18"/>
              </w:rPr>
              <w:t xml:space="preserve"> </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2600"/>
        <w:gridCol w:w="2200"/>
        <w:gridCol w:w="2200"/>
        <w:gridCol w:w="2120"/>
      </w:tblGrid>
      <w:tr>
        <w:tc>
          <w:tcPr>
            <w:tcW w:type="dxa" w:w="24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w:t>
            </w:r>
          </w:p>
        </w:tc>
        <w:tc>
          <w:tcPr>
            <w:tcW w:type="dxa" w:w="260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Full Name (Print)</w:t>
            </w:r>
          </w:p>
        </w:tc>
        <w:tc>
          <w:tcPr>
            <w:tcW w:type="dxa" w:w="220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Job Title</w:t>
            </w:r>
          </w:p>
        </w:tc>
        <w:tc>
          <w:tcPr>
            <w:tcW w:type="dxa" w:w="220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Signature</w:t>
            </w:r>
          </w:p>
        </w:tc>
        <w:tc>
          <w:tcPr>
            <w:tcW w:type="dxa" w:w="212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Date</w:t>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bl>
    <w:p>
      <w:pPr>
        <w:spacing w:after="0" w:before="120"/>
      </w:pPr>
      <w:r>
        <w:t xml:space="preserve"/>
      </w:r>
    </w:p>
    <w:p>
      <w:r>
        <w:rPr>
          <w:rFonts w:ascii="Arial" w:cs="Arial" w:eastAsia="Arial" w:hAnsi="Arial"/>
          <w:color w:val="5B595A"/>
          <w:sz w:val="18"/>
          <w:szCs w:val="18"/>
        </w:rPr>
        <w:t xml:space="preserve">Facilitator Signature: ____________________________      Date: ________________</w:t>
      </w:r>
    </w:p>
    <w:p>
      <w:pPr>
        <w:spacing w:after="0" w:before="60"/>
      </w:pPr>
      <w:r>
        <w:t xml:space="preserve"/>
      </w:r>
    </w:p>
    <w:p>
      <w:r>
        <w:rPr>
          <w:rFonts w:ascii="Arial" w:cs="Arial" w:eastAsia="Arial" w:hAnsi="Arial"/>
          <w:i/>
          <w:iCs/>
          <w:color w:val="5B595A"/>
          <w:sz w:val="16"/>
          <w:szCs w:val="16"/>
        </w:rPr>
        <w:t xml:space="preserve">This record must be retained on file. A copy should be provided to HR / QHSE for central records.</w:t>
      </w:r>
    </w:p>
    <w:sectPr>
      <w:headerReference w:type="default" r:id="rId7"/>
      <w:footerReference w:type="default" r:id="rId8"/>
      <w:pgSz w:w="12240" w:h="15840" w:orient="portrait"/>
      <w:pgMar w:top="1000" w:right="1080" w:bottom="1000" w:left="1080" w:header="283" w:footer="28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596d7fa67ae8256ebe24fbf0272572b5560f3264.jpg"/><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8474845-0AE5-4FD2-B951-422544CAF54D}"/>
</file>

<file path=customXml/itemProps2.xml><?xml version="1.0" encoding="utf-8"?>
<ds:datastoreItem xmlns:ds="http://schemas.openxmlformats.org/officeDocument/2006/customXml" ds:itemID="{7DD82C17-2DF6-4A63-8D91-1907F67B69A9}"/>
</file>

<file path=customXml/itemProps3.xml><?xml version="1.0" encoding="utf-8"?>
<ds:datastoreItem xmlns:ds="http://schemas.openxmlformats.org/officeDocument/2006/customXml" ds:itemID="{847414D0-E5BF-4041-A655-FFE9C4D1571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TBT-10 Near Miss and Hazard Reporting</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