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9FE3" w:val="clear"/>
            <w:tcMar>
              <w:top w:type="dxa" w:w="160"/>
              <w:left w:type="dxa" w:w="200"/>
              <w:bottom w:type="dxa" w:w="160"/>
              <w:right w:type="dxa" w:w="200"/>
            </w:tcMar>
          </w:tcPr>
          <w:p>
            <w:r>
              <w:rPr>
                <w:rFonts w:ascii="Arial" w:cs="Arial" w:eastAsia="Arial" w:hAnsi="Arial"/>
                <w:b/>
                <w:bCs/>
                <w:color w:val="FFFFFF"/>
                <w:sz w:val="20"/>
                <w:szCs w:val="20"/>
              </w:rPr>
              <w:t xml:space="preserve">TBT-12</w:t>
            </w:r>
          </w:p>
          <w:p>
            <w:r>
              <w:rPr>
                <w:rFonts w:ascii="Arial" w:cs="Arial" w:eastAsia="Arial" w:hAnsi="Arial"/>
                <w:b/>
                <w:bCs/>
                <w:color w:val="FFFFFF"/>
                <w:sz w:val="32"/>
                <w:szCs w:val="32"/>
              </w:rPr>
              <w:t xml:space="preserve">Mental Health and Wellbeing at Work</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000"/>
        <w:gridCol w:w="2000"/>
        <w:gridCol w:w="2160"/>
      </w:tblGrid>
      <w:tr>
        <w:tc>
          <w:tcPr>
            <w:tcW w:type="dxa" w:w="1600"/>
            <w:tcBorders>
              <w:top w:val="single" w:color="DDDDDD" w:sz="4"/>
              <w:left w:val="single" w:color="DDDDDD" w:sz="4"/>
              <w:bottom w:val="single" w:color="DDDDDD" w:sz="4"/>
              <w:right w:val="single" w:color="DDDDDD" w:sz="4"/>
            </w:tcBorders>
            <w:shd w:fill="5B595A" w:val="clear"/>
            <w:tcMar>
              <w:top w:type="dxa" w:w="60"/>
              <w:left w:type="dxa" w:w="120"/>
              <w:bottom w:type="dxa" w:w="60"/>
              <w:right w:type="dxa" w:w="120"/>
            </w:tcMar>
          </w:tcPr>
          <w:p>
            <w:r>
              <w:rPr>
                <w:rFonts w:ascii="Arial" w:cs="Arial" w:eastAsia="Arial" w:hAnsi="Arial"/>
                <w:b/>
                <w:bCs/>
                <w:color w:val="FFFFFF"/>
                <w:sz w:val="16"/>
                <w:szCs w:val="16"/>
              </w:rPr>
              <w:t xml:space="preserve">Ref</w:t>
            </w:r>
          </w:p>
        </w:tc>
        <w:tc>
          <w:tcPr>
            <w:tcW w:type="dxa" w:w="1600"/>
            <w:tcBorders>
              <w:top w:val="single" w:color="DDDDDD" w:sz="4"/>
              <w:left w:val="single" w:color="DDDDDD" w:sz="4"/>
              <w:bottom w:val="single" w:color="DDDDDD" w:sz="4"/>
              <w:right w:val="single" w:color="DDDDDD" w:sz="4"/>
            </w:tcBorders>
            <w:shd w:fill="5B595A" w:val="clear"/>
            <w:tcMar>
              <w:top w:type="dxa" w:w="60"/>
              <w:left w:type="dxa" w:w="120"/>
              <w:bottom w:type="dxa" w:w="60"/>
              <w:right w:type="dxa" w:w="120"/>
            </w:tcMar>
          </w:tcPr>
          <w:p>
            <w:r>
              <w:rPr>
                <w:rFonts w:ascii="Arial" w:cs="Arial" w:eastAsia="Arial" w:hAnsi="Arial"/>
                <w:b/>
                <w:bCs/>
                <w:color w:val="FFFFFF"/>
                <w:sz w:val="16"/>
                <w:szCs w:val="16"/>
              </w:rPr>
              <w:t xml:space="preserve">Version</w:t>
            </w:r>
          </w:p>
        </w:tc>
        <w:tc>
          <w:tcPr>
            <w:tcW w:type="dxa" w:w="2000"/>
            <w:tcBorders>
              <w:top w:val="single" w:color="DDDDDD" w:sz="4"/>
              <w:left w:val="single" w:color="DDDDDD" w:sz="4"/>
              <w:bottom w:val="single" w:color="DDDDDD" w:sz="4"/>
              <w:right w:val="single" w:color="DDDDDD" w:sz="4"/>
            </w:tcBorders>
            <w:shd w:fill="5B595A" w:val="clear"/>
            <w:tcMar>
              <w:top w:type="dxa" w:w="60"/>
              <w:left w:type="dxa" w:w="120"/>
              <w:bottom w:type="dxa" w:w="60"/>
              <w:right w:type="dxa" w:w="120"/>
            </w:tcMar>
          </w:tcPr>
          <w:p>
            <w:r>
              <w:rPr>
                <w:rFonts w:ascii="Arial" w:cs="Arial" w:eastAsia="Arial" w:hAnsi="Arial"/>
                <w:b/>
                <w:bCs/>
                <w:color w:val="FFFFFF"/>
                <w:sz w:val="16"/>
                <w:szCs w:val="16"/>
              </w:rPr>
              <w:t xml:space="preserve">Date</w:t>
            </w:r>
          </w:p>
        </w:tc>
        <w:tc>
          <w:tcPr>
            <w:tcW w:type="dxa" w:w="2000"/>
            <w:tcBorders>
              <w:top w:val="single" w:color="DDDDDD" w:sz="4"/>
              <w:left w:val="single" w:color="DDDDDD" w:sz="4"/>
              <w:bottom w:val="single" w:color="DDDDDD" w:sz="4"/>
              <w:right w:val="single" w:color="DDDDDD" w:sz="4"/>
            </w:tcBorders>
            <w:shd w:fill="5B595A" w:val="clear"/>
            <w:tcMar>
              <w:top w:type="dxa" w:w="60"/>
              <w:left w:type="dxa" w:w="120"/>
              <w:bottom w:type="dxa" w:w="60"/>
              <w:right w:type="dxa" w:w="120"/>
            </w:tcMar>
          </w:tcPr>
          <w:p>
            <w:r>
              <w:rPr>
                <w:rFonts w:ascii="Arial" w:cs="Arial" w:eastAsia="Arial" w:hAnsi="Arial"/>
                <w:b/>
                <w:bCs/>
                <w:color w:val="FFFFFF"/>
                <w:sz w:val="16"/>
                <w:szCs w:val="16"/>
              </w:rPr>
              <w:t xml:space="preserve">Duration</w:t>
            </w:r>
          </w:p>
        </w:tc>
        <w:tc>
          <w:tcPr>
            <w:tcW w:type="dxa" w:w="2160"/>
            <w:tcBorders>
              <w:top w:val="single" w:color="DDDDDD" w:sz="4"/>
              <w:left w:val="single" w:color="DDDDDD" w:sz="4"/>
              <w:bottom w:val="single" w:color="DDDDDD" w:sz="4"/>
              <w:right w:val="single" w:color="DDDDDD" w:sz="4"/>
            </w:tcBorders>
            <w:shd w:fill="5B595A" w:val="clear"/>
            <w:tcMar>
              <w:top w:type="dxa" w:w="60"/>
              <w:left w:type="dxa" w:w="120"/>
              <w:bottom w:type="dxa" w:w="60"/>
              <w:right w:type="dxa" w:w="120"/>
            </w:tcMar>
          </w:tcPr>
          <w:p>
            <w:r>
              <w:rPr>
                <w:rFonts w:ascii="Arial" w:cs="Arial" w:eastAsia="Arial" w:hAnsi="Arial"/>
                <w:b/>
                <w:bCs/>
                <w:color w:val="FFFFFF"/>
                <w:sz w:val="16"/>
                <w:szCs w:val="16"/>
              </w:rPr>
              <w:t xml:space="preserve">Audience</w:t>
            </w:r>
          </w:p>
        </w:tc>
      </w:tr>
      <w:tr>
        <w:tc>
          <w:tcPr>
            <w:tcW w:type="dxa" w:w="16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5B595A"/>
                <w:sz w:val="16"/>
                <w:szCs w:val="16"/>
              </w:rPr>
              <w:t xml:space="preserve">TBT-12</w:t>
            </w:r>
          </w:p>
        </w:tc>
        <w:tc>
          <w:tcPr>
            <w:tcW w:type="dxa" w:w="16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5B595A"/>
                <w:sz w:val="16"/>
                <w:szCs w:val="16"/>
              </w:rPr>
              <w:t xml:space="preserve">v1.0</w:t>
            </w:r>
          </w:p>
        </w:tc>
        <w:tc>
          <w:tcPr>
            <w:tcW w:type="dxa" w:w="20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5B595A"/>
                <w:sz w:val="16"/>
                <w:szCs w:val="16"/>
              </w:rPr>
              <w:t xml:space="preserve">June 2025</w:t>
            </w:r>
          </w:p>
        </w:tc>
        <w:tc>
          <w:tcPr>
            <w:tcW w:type="dxa" w:w="20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5B595A"/>
                <w:sz w:val="16"/>
                <w:szCs w:val="16"/>
              </w:rPr>
              <w:t xml:space="preserve">15-20 minutes</w:t>
            </w:r>
          </w:p>
        </w:tc>
        <w:tc>
          <w:tcPr>
            <w:tcW w:type="dxa" w:w="21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5B595A"/>
                <w:sz w:val="16"/>
                <w:szCs w:val="16"/>
              </w:rPr>
              <w:t xml:space="preserve">All Employees</w:t>
            </w:r>
          </w:p>
        </w:tc>
      </w:tr>
    </w:tbl>
    <w:p>
      <w:pPr>
        <w:spacing w:after="0" w:before="160"/>
      </w:pPr>
      <w:r>
        <w:t xml:space="preserve"/>
      </w:r>
    </w:p>
    <w:p>
      <w:pPr>
        <w:spacing w:after="80" w:before="240"/>
      </w:pPr>
      <w:r>
        <w:rPr>
          <w:rFonts w:ascii="Arial" w:cs="Arial" w:eastAsia="Arial" w:hAnsi="Arial"/>
          <w:b/>
          <w:bCs/>
          <w:color w:val="009FE3"/>
          <w:sz w:val="24"/>
          <w:szCs w:val="24"/>
        </w:rPr>
        <w:t xml:space="preserve">Why This Matters</w:t>
      </w:r>
    </w:p>
    <w:p>
      <w:pPr>
        <w:spacing w:after="60" w:before="60"/>
      </w:pPr>
      <w:r>
        <w:rPr>
          <w:rFonts w:ascii="Arial" w:cs="Arial" w:eastAsia="Arial" w:hAnsi="Arial"/>
          <w:color w:val="5B595A"/>
          <w:sz w:val="20"/>
          <w:szCs w:val="20"/>
        </w:rPr>
        <w:t xml:space="preserve">Mental health is as important as physical health, but it is still too often overlooked in manufacturing and engineering workplaces. Work-related stress, anxiety, and depression are among the leading causes of workplace absence across all sectors. Creating a workplace where people feel able to talk openly about mental health, and where support is available and accessible, is not just good for employees. It makes for a better, safer, and more productive organisation.</w:t>
      </w:r>
    </w:p>
    <w:p>
      <w:pPr>
        <w:spacing w:after="0" w:before="80"/>
      </w:pPr>
      <w:r>
        <w:t xml:space="preserve"/>
      </w:r>
    </w:p>
    <w:p>
      <w:pPr>
        <w:spacing w:after="80" w:before="240"/>
      </w:pPr>
      <w:r>
        <w:rPr>
          <w:rFonts w:ascii="Arial" w:cs="Arial" w:eastAsia="Arial" w:hAnsi="Arial"/>
          <w:b/>
          <w:bCs/>
          <w:color w:val="009FE3"/>
          <w:sz w:val="24"/>
          <w:szCs w:val="24"/>
        </w:rPr>
        <w:t xml:space="preserve">Legal Background</w:t>
      </w:r>
    </w:p>
    <w:p>
      <w:pPr>
        <w:spacing w:after="60" w:before="60"/>
      </w:pPr>
      <w:r>
        <w:rPr>
          <w:rFonts w:ascii="Arial" w:cs="Arial" w:eastAsia="Arial" w:hAnsi="Arial"/>
          <w:color w:val="5B595A"/>
          <w:sz w:val="20"/>
          <w:szCs w:val="20"/>
        </w:rPr>
        <w:t xml:space="preserve">The Health and Safety at Work Act 1974 and the Management of Health and Safety at Work Regulations 1999 require employers to assess and manage risks to mental health, just as they would physical hazards. The Equality Act 2010 may protect employees whose mental health conditions amount to a disability. Employers have a duty of care for the wellbeing of their workforce.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9FE3" w:val="clear"/>
            <w:tcMar>
              <w:top w:type="dxa" w:w="80"/>
              <w:left w:type="dxa" w:w="160"/>
              <w:bottom w:type="dxa" w:w="80"/>
              <w:right w:type="dxa" w:w="160"/>
            </w:tcMar>
          </w:tcPr>
          <w:p>
            <w:r>
              <w:rPr>
                <w:rFonts w:ascii="Arial" w:cs="Arial" w:eastAsia="Arial" w:hAnsi="Arial"/>
                <w:b/>
                <w:bCs/>
                <w:color w:val="FFFFFF"/>
                <w:sz w:val="22"/>
                <w:szCs w:val="22"/>
              </w:rPr>
              <w:t xml:space="preserve">Key Facts</w:t>
            </w:r>
          </w:p>
        </w:tc>
      </w:tr>
      <w:tr>
        <w:tc>
          <w:tcPr>
            <w:tcW w:type="dxa" w:w="9360"/>
            <w:tcBorders>
              <w:top w:val="single" w:color="CCCCCC" w:sz="4"/>
              <w:left w:val="single" w:color="CCCCCC" w:sz="4"/>
              <w:bottom w:val="single" w:color="CCCCCC" w:sz="4"/>
              <w:right w:val="single" w:color="CCCCCC" w:sz="4"/>
            </w:tcBorders>
            <w:shd w:fill="E6F5FC" w:val="clear"/>
            <w:tcMar>
              <w:top w:type="dxa" w:w="100"/>
              <w:left w:type="dxa" w:w="160"/>
              <w:bottom w:type="dxa" w:w="100"/>
              <w:right w:type="dxa" w:w="160"/>
            </w:tcMar>
          </w:tcPr>
          <w:p>
            <w:pPr>
              <w:pStyle w:val="ListParagraph"/>
              <w:numPr>
                <w:ilvl w:val="0"/>
                <w:numId w:val="2"/>
              </w:numPr>
              <w:spacing w:after="40" w:before="40"/>
            </w:pPr>
            <w:r>
              <w:rPr>
                <w:rFonts w:ascii="Arial" w:cs="Arial" w:eastAsia="Arial" w:hAnsi="Arial"/>
                <w:color w:val="5B595A"/>
                <w:sz w:val="20"/>
                <w:szCs w:val="20"/>
              </w:rPr>
              <w:t xml:space="preserve">1 in 4 people in the UK will experience a mental health problem each year. Mental health difficulties are not rare or unusual.</w:t>
            </w:r>
          </w:p>
          <w:p>
            <w:pPr>
              <w:pStyle w:val="ListParagraph"/>
              <w:numPr>
                <w:ilvl w:val="0"/>
                <w:numId w:val="2"/>
              </w:numPr>
              <w:spacing w:after="40" w:before="40"/>
            </w:pPr>
            <w:r>
              <w:rPr>
                <w:rFonts w:ascii="Arial" w:cs="Arial" w:eastAsia="Arial" w:hAnsi="Arial"/>
                <w:color w:val="5B595A"/>
                <w:sz w:val="20"/>
                <w:szCs w:val="20"/>
              </w:rPr>
              <w:t xml:space="preserve">Work-related stress, depression, and anxiety account for more than half of all working days lost due to health problems in the UK.</w:t>
            </w:r>
          </w:p>
          <w:p>
            <w:pPr>
              <w:pStyle w:val="ListParagraph"/>
              <w:numPr>
                <w:ilvl w:val="0"/>
                <w:numId w:val="2"/>
              </w:numPr>
              <w:spacing w:after="40" w:before="40"/>
            </w:pPr>
            <w:r>
              <w:rPr>
                <w:rFonts w:ascii="Arial" w:cs="Arial" w:eastAsia="Arial" w:hAnsi="Arial"/>
                <w:color w:val="5B595A"/>
                <w:sz w:val="20"/>
                <w:szCs w:val="20"/>
              </w:rPr>
              <w:t xml:space="preserve">Common causes of work-related stress include high workload, lack of control, poor relationships, unclear roles, and lack of support.</w:t>
            </w:r>
          </w:p>
          <w:p>
            <w:pPr>
              <w:pStyle w:val="ListParagraph"/>
              <w:numPr>
                <w:ilvl w:val="0"/>
                <w:numId w:val="2"/>
              </w:numPr>
              <w:spacing w:after="40" w:before="40"/>
            </w:pPr>
            <w:r>
              <w:rPr>
                <w:rFonts w:ascii="Arial" w:cs="Arial" w:eastAsia="Arial" w:hAnsi="Arial"/>
                <w:color w:val="5B595A"/>
                <w:sz w:val="20"/>
                <w:szCs w:val="20"/>
              </w:rPr>
              <w:t xml:space="preserve">People suffering from poor mental health are more likely to have accidents at work. Mental health and physical safety are directly connected.</w:t>
            </w:r>
          </w:p>
          <w:p>
            <w:pPr>
              <w:pStyle w:val="ListParagraph"/>
              <w:numPr>
                <w:ilvl w:val="0"/>
                <w:numId w:val="2"/>
              </w:numPr>
              <w:spacing w:after="40" w:before="40"/>
            </w:pPr>
            <w:r>
              <w:rPr>
                <w:rFonts w:ascii="Arial" w:cs="Arial" w:eastAsia="Arial" w:hAnsi="Arial"/>
                <w:color w:val="5B595A"/>
                <w:sz w:val="20"/>
                <w:szCs w:val="20"/>
              </w:rPr>
              <w:t xml:space="preserve">Early support and open conversation are the most effective approaches. The longer a mental health problem goes unaddressed, the more serious it tends to become.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40"/>
        <w:gridCol w:w="4720"/>
      </w:tblGrid>
      <w:tr>
        <w:tc>
          <w:tcPr>
            <w:tcW w:type="dxa" w:w="4640"/>
            <w:tcBorders>
              <w:top w:val="none" w:color="FFFFFF" w:sz="0"/>
              <w:left w:val="none" w:color="FFFFFF" w:sz="0"/>
              <w:bottom w:val="none" w:color="FFFFFF" w:sz="0"/>
              <w:right w:val="none" w:color="FFFFFF" w:sz="0"/>
            </w:tcBorders>
            <w:shd w:fill="009FE3" w:val="clear"/>
            <w:tcMar>
              <w:top w:type="dxa" w:w="80"/>
              <w:left w:type="dxa" w:w="140"/>
              <w:bottom w:type="dxa" w:w="80"/>
              <w:right w:type="dxa" w:w="140"/>
            </w:tcMar>
          </w:tcPr>
          <w:p>
            <w:r>
              <w:rPr>
                <w:rFonts w:ascii="Arial" w:cs="Arial" w:eastAsia="Arial" w:hAnsi="Arial"/>
                <w:b/>
                <w:bCs/>
                <w:color w:val="FFFFFF"/>
                <w:sz w:val="20"/>
                <w:szCs w:val="20"/>
              </w:rPr>
              <w:t xml:space="preserve">What You MUST Do</w:t>
            </w:r>
          </w:p>
        </w:tc>
        <w:tc>
          <w:tcPr>
            <w:tcW w:type="dxa" w:w="4720"/>
            <w:tcBorders>
              <w:top w:val="none" w:color="FFFFFF" w:sz="0"/>
              <w:left w:val="none" w:color="FFFFFF" w:sz="0"/>
              <w:bottom w:val="none" w:color="FFFFFF" w:sz="0"/>
              <w:right w:val="none" w:color="FFFFFF" w:sz="0"/>
            </w:tcBorders>
            <w:shd w:fill="83348F" w:val="clear"/>
            <w:tcMar>
              <w:top w:type="dxa" w:w="80"/>
              <w:left w:type="dxa" w:w="140"/>
              <w:bottom w:type="dxa" w:w="80"/>
              <w:right w:type="dxa" w:w="140"/>
            </w:tcMar>
          </w:tcPr>
          <w:p>
            <w:r>
              <w:rPr>
                <w:rFonts w:ascii="Arial" w:cs="Arial" w:eastAsia="Arial" w:hAnsi="Arial"/>
                <w:b/>
                <w:bCs/>
                <w:color w:val="FFFFFF"/>
                <w:sz w:val="20"/>
                <w:szCs w:val="20"/>
              </w:rPr>
              <w:t xml:space="preserve">What You Must NOT Do</w:t>
            </w:r>
          </w:p>
        </w:tc>
      </w:tr>
      <w:tr>
        <w:tc>
          <w:tcPr>
            <w:tcW w:type="dxa" w:w="4640"/>
            <w:tcBorders>
              <w:top w:val="single" w:color="CCCCCC" w:sz="4"/>
              <w:left w:val="single" w:color="CCCCCC" w:sz="4"/>
              <w:bottom w:val="single" w:color="CCCCCC" w:sz="4"/>
              <w:right w:val="single" w:color="CCCCCC" w:sz="4"/>
            </w:tcBorders>
            <w:shd w:fill="E6F5FC" w:val="clear"/>
            <w:tcMar>
              <w:top w:type="dxa" w:w="80"/>
              <w:left w:type="dxa" w:w="140"/>
              <w:bottom w:type="dxa" w:w="80"/>
              <w:right w:type="dxa" w:w="140"/>
            </w:tcMar>
          </w:tcPr>
          <w:p>
            <w:pPr>
              <w:pStyle w:val="ListParagraph"/>
              <w:numPr>
                <w:ilvl w:val="0"/>
                <w:numId w:val="2"/>
              </w:numPr>
              <w:spacing w:after="30" w:before="30"/>
            </w:pPr>
            <w:r>
              <w:rPr>
                <w:rFonts w:ascii="Arial" w:cs="Arial" w:eastAsia="Arial" w:hAnsi="Arial"/>
                <w:color w:val="5B595A"/>
                <w:sz w:val="18"/>
                <w:szCs w:val="18"/>
              </w:rPr>
              <w:t xml:space="preserve">Look out for changes in your colleagues: withdrawal, irritability, reduced performance, or changes in attendance.</w:t>
            </w:r>
          </w:p>
          <w:p>
            <w:pPr>
              <w:pStyle w:val="ListParagraph"/>
              <w:numPr>
                <w:ilvl w:val="0"/>
                <w:numId w:val="2"/>
              </w:numPr>
              <w:spacing w:after="30" w:before="30"/>
            </w:pPr>
            <w:r>
              <w:rPr>
                <w:rFonts w:ascii="Arial" w:cs="Arial" w:eastAsia="Arial" w:hAnsi="Arial"/>
                <w:color w:val="5B595A"/>
                <w:sz w:val="18"/>
                <w:szCs w:val="18"/>
              </w:rPr>
              <w:t xml:space="preserve">Have a simple, private conversation if you are concerned about a colleague. Ask if they are okay. Listen without judgement.</w:t>
            </w:r>
          </w:p>
          <w:p>
            <w:pPr>
              <w:pStyle w:val="ListParagraph"/>
              <w:numPr>
                <w:ilvl w:val="0"/>
                <w:numId w:val="2"/>
              </w:numPr>
              <w:spacing w:after="30" w:before="30"/>
            </w:pPr>
            <w:r>
              <w:rPr>
                <w:rFonts w:ascii="Arial" w:cs="Arial" w:eastAsia="Arial" w:hAnsi="Arial"/>
                <w:color w:val="5B595A"/>
                <w:sz w:val="18"/>
                <w:szCs w:val="18"/>
              </w:rPr>
              <w:t xml:space="preserve">Know the mental health support resources available to you, including any Employee Assistance Programme (EAP) or Mental Health First Aider.</w:t>
            </w:r>
          </w:p>
          <w:p>
            <w:pPr>
              <w:pStyle w:val="ListParagraph"/>
              <w:numPr>
                <w:ilvl w:val="0"/>
                <w:numId w:val="2"/>
              </w:numPr>
              <w:spacing w:after="30" w:before="30"/>
            </w:pPr>
            <w:r>
              <w:rPr>
                <w:rFonts w:ascii="Arial" w:cs="Arial" w:eastAsia="Arial" w:hAnsi="Arial"/>
                <w:color w:val="5B595A"/>
                <w:sz w:val="18"/>
                <w:szCs w:val="18"/>
              </w:rPr>
              <w:t xml:space="preserve">Speak to your manager or HR if you are experiencing difficulties, before they escalate.</w:t>
            </w:r>
          </w:p>
          <w:p>
            <w:pPr>
              <w:pStyle w:val="ListParagraph"/>
              <w:numPr>
                <w:ilvl w:val="0"/>
                <w:numId w:val="2"/>
              </w:numPr>
              <w:spacing w:after="30" w:before="30"/>
            </w:pPr>
            <w:r>
              <w:rPr>
                <w:rFonts w:ascii="Arial" w:cs="Arial" w:eastAsia="Arial" w:hAnsi="Arial"/>
                <w:color w:val="5B595A"/>
                <w:sz w:val="18"/>
                <w:szCs w:val="18"/>
              </w:rPr>
              <w:t xml:space="preserve">Take regular breaks, manage your workload, and use your annual leave entitlement.</w:t>
            </w:r>
          </w:p>
          <w:p>
            <w:pPr>
              <w:pStyle w:val="ListParagraph"/>
              <w:numPr>
                <w:ilvl w:val="0"/>
                <w:numId w:val="2"/>
              </w:numPr>
              <w:spacing w:after="30" w:before="30"/>
            </w:pPr>
            <w:r>
              <w:rPr>
                <w:rFonts w:ascii="Arial" w:cs="Arial" w:eastAsia="Arial" w:hAnsi="Arial"/>
                <w:color w:val="5B595A"/>
                <w:sz w:val="18"/>
                <w:szCs w:val="18"/>
              </w:rPr>
              <w:t xml:space="preserve">Look after your physical health. Exercise, sleep, and nutrition all have a direct impact on mental wellbeing.</w:t>
            </w:r>
          </w:p>
        </w:tc>
        <w:tc>
          <w:tcPr>
            <w:tcW w:type="dxa" w:w="4720"/>
            <w:tcBorders>
              <w:top w:val="single" w:color="CCCCCC" w:sz="4"/>
              <w:left w:val="single" w:color="CCCCCC" w:sz="4"/>
              <w:bottom w:val="single" w:color="CCCCCC" w:sz="4"/>
              <w:right w:val="single" w:color="CCCCCC" w:sz="4"/>
            </w:tcBorders>
            <w:shd w:fill="F3E8F5" w:val="clear"/>
            <w:tcMar>
              <w:top w:type="dxa" w:w="80"/>
              <w:left w:type="dxa" w:w="140"/>
              <w:bottom w:type="dxa" w:w="80"/>
              <w:right w:type="dxa" w:w="140"/>
            </w:tcMar>
          </w:tcPr>
          <w:p>
            <w:pPr>
              <w:pStyle w:val="ListParagraph"/>
              <w:numPr>
                <w:ilvl w:val="0"/>
                <w:numId w:val="2"/>
              </w:numPr>
              <w:spacing w:after="30" w:before="30"/>
            </w:pPr>
            <w:r>
              <w:rPr>
                <w:rFonts w:ascii="Arial" w:cs="Arial" w:eastAsia="Arial" w:hAnsi="Arial"/>
                <w:color w:val="5B595A"/>
                <w:sz w:val="18"/>
                <w:szCs w:val="18"/>
              </w:rPr>
              <w:t xml:space="preserve">Do not dismiss mental health concerns as weakness or make jokes at the expense of those struggling.</w:t>
            </w:r>
          </w:p>
          <w:p>
            <w:pPr>
              <w:pStyle w:val="ListParagraph"/>
              <w:numPr>
                <w:ilvl w:val="0"/>
                <w:numId w:val="2"/>
              </w:numPr>
              <w:spacing w:after="30" w:before="30"/>
            </w:pPr>
            <w:r>
              <w:rPr>
                <w:rFonts w:ascii="Arial" w:cs="Arial" w:eastAsia="Arial" w:hAnsi="Arial"/>
                <w:color w:val="5B595A"/>
                <w:sz w:val="18"/>
                <w:szCs w:val="18"/>
              </w:rPr>
              <w:t xml:space="preserve">Do not ignore signs of distress in a colleague hoping it will resolve itself without support.</w:t>
            </w:r>
          </w:p>
          <w:p>
            <w:pPr>
              <w:pStyle w:val="ListParagraph"/>
              <w:numPr>
                <w:ilvl w:val="0"/>
                <w:numId w:val="2"/>
              </w:numPr>
              <w:spacing w:after="30" w:before="30"/>
            </w:pPr>
            <w:r>
              <w:rPr>
                <w:rFonts w:ascii="Arial" w:cs="Arial" w:eastAsia="Arial" w:hAnsi="Arial"/>
                <w:color w:val="5B595A"/>
                <w:sz w:val="18"/>
                <w:szCs w:val="18"/>
              </w:rPr>
              <w:t xml:space="preserve">Do not allow work-related stress to build without speaking to someone. Seek support early.</w:t>
            </w:r>
          </w:p>
          <w:p>
            <w:pPr>
              <w:pStyle w:val="ListParagraph"/>
              <w:numPr>
                <w:ilvl w:val="0"/>
                <w:numId w:val="2"/>
              </w:numPr>
              <w:spacing w:after="30" w:before="30"/>
            </w:pPr>
            <w:r>
              <w:rPr>
                <w:rFonts w:ascii="Arial" w:cs="Arial" w:eastAsia="Arial" w:hAnsi="Arial"/>
                <w:color w:val="5B595A"/>
                <w:sz w:val="18"/>
                <w:szCs w:val="18"/>
              </w:rPr>
              <w:t xml:space="preserve">Do not breach a colleague's confidence if they have trusted you with something personal, unless you have genuine safety concerns.</w:t>
            </w:r>
          </w:p>
          <w:p>
            <w:pPr>
              <w:pStyle w:val="ListParagraph"/>
              <w:numPr>
                <w:ilvl w:val="0"/>
                <w:numId w:val="2"/>
              </w:numPr>
              <w:spacing w:after="30" w:before="30"/>
            </w:pPr>
            <w:r>
              <w:rPr>
                <w:rFonts w:ascii="Arial" w:cs="Arial" w:eastAsia="Arial" w:hAnsi="Arial"/>
                <w:color w:val="5B595A"/>
                <w:sz w:val="18"/>
                <w:szCs w:val="18"/>
              </w:rPr>
              <w:t xml:space="preserve">Do not assume someone is fine simply because they are present at work or appear to be functioning normally.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3348F" w:val="clear"/>
            <w:tcMar>
              <w:top w:type="dxa" w:w="80"/>
              <w:left w:type="dxa" w:w="160"/>
              <w:bottom w:type="dxa" w:w="80"/>
              <w:right w:type="dxa" w:w="160"/>
            </w:tcMar>
          </w:tcPr>
          <w:p>
            <w:r>
              <w:rPr>
                <w:rFonts w:ascii="Arial" w:cs="Arial" w:eastAsia="Arial" w:hAnsi="Arial"/>
                <w:b/>
                <w:bCs/>
                <w:color w:val="FFFFFF"/>
                <w:sz w:val="22"/>
                <w:szCs w:val="22"/>
              </w:rPr>
              <w:t xml:space="preserve">Discussion Questions</w:t>
            </w:r>
          </w:p>
        </w:tc>
      </w:tr>
      <w:tr>
        <w:tc>
          <w:tcPr>
            <w:tcW w:type="dxa" w:w="9360"/>
            <w:tcBorders>
              <w:top w:val="single" w:color="CCCCCC" w:sz="4"/>
              <w:left w:val="single" w:color="CCCCCC" w:sz="4"/>
              <w:bottom w:val="single" w:color="CCCCCC" w:sz="4"/>
              <w:right w:val="single" w:color="CCCCCC" w:sz="4"/>
            </w:tcBorders>
            <w:shd w:fill="F3E8F5" w:val="clear"/>
            <w:tcMar>
              <w:top w:type="dxa" w:w="100"/>
              <w:left w:type="dxa" w:w="160"/>
              <w:bottom w:type="dxa" w:w="100"/>
              <w:right w:type="dxa" w:w="160"/>
            </w:tcMar>
          </w:tcPr>
          <w:p>
            <w:pPr>
              <w:spacing w:after="40" w:before="40"/>
            </w:pPr>
            <w:r>
              <w:rPr>
                <w:rFonts w:ascii="Arial" w:cs="Arial" w:eastAsia="Arial" w:hAnsi="Arial"/>
                <w:b/>
                <w:bCs/>
                <w:color w:val="83348F"/>
                <w:sz w:val="20"/>
                <w:szCs w:val="20"/>
              </w:rPr>
              <w:t xml:space="preserve">1.  </w:t>
            </w:r>
            <w:r>
              <w:rPr>
                <w:rFonts w:ascii="Arial" w:cs="Arial" w:eastAsia="Arial" w:hAnsi="Arial"/>
                <w:color w:val="5B595A"/>
                <w:sz w:val="20"/>
                <w:szCs w:val="20"/>
              </w:rPr>
              <w:t xml:space="preserve">Do you know what mental health support resources are available to you through the company? Have you used them or signposted others to them?</w:t>
            </w:r>
          </w:p>
          <w:p>
            <w:pPr>
              <w:spacing w:after="40" w:before="40"/>
            </w:pPr>
            <w:r>
              <w:rPr>
                <w:rFonts w:ascii="Arial" w:cs="Arial" w:eastAsia="Arial" w:hAnsi="Arial"/>
                <w:b/>
                <w:bCs/>
                <w:color w:val="83348F"/>
                <w:sz w:val="20"/>
                <w:szCs w:val="20"/>
              </w:rPr>
              <w:t xml:space="preserve">2.  </w:t>
            </w:r>
            <w:r>
              <w:rPr>
                <w:rFonts w:ascii="Arial" w:cs="Arial" w:eastAsia="Arial" w:hAnsi="Arial"/>
                <w:color w:val="5B595A"/>
                <w:sz w:val="20"/>
                <w:szCs w:val="20"/>
              </w:rPr>
              <w:t xml:space="preserve">Can you think of any work pressures in our area that might be contributing to stress for the team? What could we do about them?</w:t>
            </w:r>
          </w:p>
          <w:p>
            <w:pPr>
              <w:spacing w:after="40" w:before="40"/>
            </w:pPr>
            <w:r>
              <w:rPr>
                <w:rFonts w:ascii="Arial" w:cs="Arial" w:eastAsia="Arial" w:hAnsi="Arial"/>
                <w:b/>
                <w:bCs/>
                <w:color w:val="83348F"/>
                <w:sz w:val="20"/>
                <w:szCs w:val="20"/>
              </w:rPr>
              <w:t xml:space="preserve">3.  </w:t>
            </w:r>
            <w:r>
              <w:rPr>
                <w:rFonts w:ascii="Arial" w:cs="Arial" w:eastAsia="Arial" w:hAnsi="Arial"/>
                <w:color w:val="5B595A"/>
                <w:sz w:val="20"/>
                <w:szCs w:val="20"/>
              </w:rPr>
              <w:t xml:space="preserve">How comfortable do you feel talking about mental health with your colleagues or manager? What would make it easier?</w:t>
            </w:r>
          </w:p>
          <w:p>
            <w:pPr>
              <w:spacing w:after="40" w:before="40"/>
            </w:pPr>
            <w:r>
              <w:rPr>
                <w:rFonts w:ascii="Arial" w:cs="Arial" w:eastAsia="Arial" w:hAnsi="Arial"/>
                <w:b/>
                <w:bCs/>
                <w:color w:val="83348F"/>
                <w:sz w:val="20"/>
                <w:szCs w:val="20"/>
              </w:rPr>
              <w:t xml:space="preserve">4.  </w:t>
            </w:r>
            <w:r>
              <w:rPr>
                <w:rFonts w:ascii="Arial" w:cs="Arial" w:eastAsia="Arial" w:hAnsi="Arial"/>
                <w:color w:val="5B595A"/>
                <w:sz w:val="20"/>
                <w:szCs w:val="20"/>
              </w:rPr>
              <w:t xml:space="preserve">Have you ever spotted signs that a colleague might be struggling? What did you do, or what would you do now?</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3348F" w:val="clear"/>
            <w:tcMar>
              <w:top w:type="dxa" w:w="80"/>
              <w:left w:type="dxa" w:w="160"/>
              <w:bottom w:type="dxa" w:w="80"/>
              <w:right w:type="dxa" w:w="160"/>
            </w:tcMar>
          </w:tcPr>
          <w:p>
            <w:r>
              <w:rPr>
                <w:rFonts w:ascii="Arial" w:cs="Arial" w:eastAsia="Arial" w:hAnsi="Arial"/>
                <w:b/>
                <w:bCs/>
                <w:color w:val="FFFFFF"/>
                <w:sz w:val="22"/>
                <w:szCs w:val="22"/>
              </w:rPr>
              <w:t xml:space="preserve">Key Takeaway</w:t>
            </w:r>
          </w:p>
        </w:tc>
      </w:tr>
      <w:tr>
        <w:tc>
          <w:tcPr>
            <w:tcW w:type="dxa" w:w="9360"/>
            <w:tcBorders>
              <w:top w:val="single" w:color="83348F" w:sz="4"/>
              <w:left w:val="single" w:color="83348F" w:sz="4"/>
              <w:bottom w:val="single" w:color="83348F" w:sz="4"/>
              <w:right w:val="single" w:color="83348F" w:sz="4"/>
            </w:tcBorders>
            <w:shd w:fill="F3E8F5" w:val="clear"/>
            <w:tcMar>
              <w:top w:type="dxa" w:w="100"/>
              <w:left w:type="dxa" w:w="160"/>
              <w:bottom w:type="dxa" w:w="100"/>
              <w:right w:type="dxa" w:w="160"/>
            </w:tcMar>
          </w:tcPr>
          <w:p>
            <w:r>
              <w:rPr>
                <w:rFonts w:ascii="Arial" w:cs="Arial" w:eastAsia="Arial" w:hAnsi="Arial"/>
                <w:b/>
                <w:bCs/>
                <w:i/>
                <w:iCs/>
                <w:color w:val="5B595A"/>
                <w:sz w:val="22"/>
                <w:szCs w:val="22"/>
              </w:rPr>
              <w:t xml:space="preserve">Mental health is not a personal weakness. It is a health issue, like any other. Look out for each other, speak up if something does not feel right, and remember that asking for help is a sign of strength, not weakness.</w:t>
            </w:r>
          </w:p>
        </w:tc>
      </w:tr>
    </w:tbl>
    <w:p>
      <w:pPr>
        <w:spacing w:after="0" w:before="200"/>
      </w:pPr>
      <w:r>
        <w:t xml:space="preserve"/>
      </w:r>
    </w:p>
    <w:p>
      <w:r>
        <w:rPr>
          <w:rFonts w:ascii="Arial" w:cs="Arial" w:eastAsia="Arial" w:hAnsi="Arial"/>
          <w:b/>
          <w:bCs/>
          <w:color w:val="009FE3"/>
          <w:sz w:val="26"/>
          <w:szCs w:val="26"/>
        </w:rPr>
        <w:t xml:space="preserve">Attendance and Sign-Off Record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color w:val="5B595A"/>
                <w:sz w:val="18"/>
                <w:szCs w:val="18"/>
              </w:rPr>
              <w:t xml:space="preserve">Facilitator Name:</w:t>
            </w:r>
          </w:p>
          <w:p>
            <w:r>
              <w:rPr>
                <w:rFonts w:ascii="Arial" w:cs="Arial" w:eastAsia="Arial" w:hAnsi="Arial"/>
                <w:sz w:val="18"/>
                <w:szCs w:val="18"/>
              </w:rPr>
              <w:t xml:space="preserve"> </w:t>
            </w:r>
          </w:p>
        </w:tc>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color w:val="5B595A"/>
                <w:sz w:val="18"/>
                <w:szCs w:val="18"/>
              </w:rPr>
              <w:t xml:space="preserve">Date:</w:t>
            </w:r>
          </w:p>
          <w:p>
            <w:r>
              <w:rPr>
                <w:rFonts w:ascii="Arial" w:cs="Arial" w:eastAsia="Arial" w:hAnsi="Arial"/>
                <w:sz w:val="18"/>
                <w:szCs w:val="18"/>
              </w:rPr>
              <w:t xml:space="preserve"> </w:t>
            </w:r>
          </w:p>
        </w:tc>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color w:val="5B595A"/>
                <w:sz w:val="18"/>
                <w:szCs w:val="18"/>
              </w:rPr>
              <w:t xml:space="preserve">Location:</w:t>
            </w:r>
          </w:p>
          <w:p>
            <w:r>
              <w:rPr>
                <w:rFonts w:ascii="Arial" w:cs="Arial" w:eastAsia="Arial" w:hAnsi="Arial"/>
                <w:sz w:val="18"/>
                <w:szCs w:val="18"/>
              </w:rPr>
              <w:t xml:space="preserve"> </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2600"/>
        <w:gridCol w:w="2200"/>
        <w:gridCol w:w="2200"/>
        <w:gridCol w:w="2120"/>
      </w:tblGrid>
      <w:tr>
        <w:tc>
          <w:tcPr>
            <w:tcW w:type="dxa" w:w="240"/>
            <w:tcBorders>
              <w:top w:val="single" w:color="CCCCCC" w:sz="4"/>
              <w:left w:val="single" w:color="CCCCCC" w:sz="4"/>
              <w:bottom w:val="single" w:color="CCCCCC" w:sz="4"/>
              <w:right w:val="single" w:color="CCCCCC" w:sz="4"/>
            </w:tcBorders>
            <w:shd w:fill="5B595A" w:val="clear"/>
            <w:tcMar>
              <w:top w:type="dxa" w:w="60"/>
              <w:left w:type="dxa" w:w="100"/>
              <w:bottom w:type="dxa" w:w="60"/>
              <w:right w:type="dxa" w:w="100"/>
            </w:tcMar>
          </w:tcPr>
          <w:p>
            <w:r>
              <w:rPr>
                <w:rFonts w:ascii="Arial" w:cs="Arial" w:eastAsia="Arial" w:hAnsi="Arial"/>
                <w:b/>
                <w:bCs/>
                <w:color w:val="FFFFFF"/>
                <w:sz w:val="17"/>
                <w:szCs w:val="17"/>
              </w:rPr>
              <w:t xml:space="preserve">#</w:t>
            </w:r>
          </w:p>
        </w:tc>
        <w:tc>
          <w:tcPr>
            <w:tcW w:type="dxa" w:w="2600"/>
            <w:tcBorders>
              <w:top w:val="single" w:color="CCCCCC" w:sz="4"/>
              <w:left w:val="single" w:color="CCCCCC" w:sz="4"/>
              <w:bottom w:val="single" w:color="CCCCCC" w:sz="4"/>
              <w:right w:val="single" w:color="CCCCCC" w:sz="4"/>
            </w:tcBorders>
            <w:shd w:fill="5B595A" w:val="clear"/>
            <w:tcMar>
              <w:top w:type="dxa" w:w="60"/>
              <w:left w:type="dxa" w:w="100"/>
              <w:bottom w:type="dxa" w:w="60"/>
              <w:right w:type="dxa" w:w="100"/>
            </w:tcMar>
          </w:tcPr>
          <w:p>
            <w:r>
              <w:rPr>
                <w:rFonts w:ascii="Arial" w:cs="Arial" w:eastAsia="Arial" w:hAnsi="Arial"/>
                <w:b/>
                <w:bCs/>
                <w:color w:val="FFFFFF"/>
                <w:sz w:val="17"/>
                <w:szCs w:val="17"/>
              </w:rPr>
              <w:t xml:space="preserve">Full Name (Print)</w:t>
            </w:r>
          </w:p>
        </w:tc>
        <w:tc>
          <w:tcPr>
            <w:tcW w:type="dxa" w:w="2200"/>
            <w:tcBorders>
              <w:top w:val="single" w:color="CCCCCC" w:sz="4"/>
              <w:left w:val="single" w:color="CCCCCC" w:sz="4"/>
              <w:bottom w:val="single" w:color="CCCCCC" w:sz="4"/>
              <w:right w:val="single" w:color="CCCCCC" w:sz="4"/>
            </w:tcBorders>
            <w:shd w:fill="5B595A" w:val="clear"/>
            <w:tcMar>
              <w:top w:type="dxa" w:w="60"/>
              <w:left w:type="dxa" w:w="100"/>
              <w:bottom w:type="dxa" w:w="60"/>
              <w:right w:type="dxa" w:w="100"/>
            </w:tcMar>
          </w:tcPr>
          <w:p>
            <w:r>
              <w:rPr>
                <w:rFonts w:ascii="Arial" w:cs="Arial" w:eastAsia="Arial" w:hAnsi="Arial"/>
                <w:b/>
                <w:bCs/>
                <w:color w:val="FFFFFF"/>
                <w:sz w:val="17"/>
                <w:szCs w:val="17"/>
              </w:rPr>
              <w:t xml:space="preserve">Job Title</w:t>
            </w:r>
          </w:p>
        </w:tc>
        <w:tc>
          <w:tcPr>
            <w:tcW w:type="dxa" w:w="2200"/>
            <w:tcBorders>
              <w:top w:val="single" w:color="CCCCCC" w:sz="4"/>
              <w:left w:val="single" w:color="CCCCCC" w:sz="4"/>
              <w:bottom w:val="single" w:color="CCCCCC" w:sz="4"/>
              <w:right w:val="single" w:color="CCCCCC" w:sz="4"/>
            </w:tcBorders>
            <w:shd w:fill="5B595A" w:val="clear"/>
            <w:tcMar>
              <w:top w:type="dxa" w:w="60"/>
              <w:left w:type="dxa" w:w="100"/>
              <w:bottom w:type="dxa" w:w="60"/>
              <w:right w:type="dxa" w:w="100"/>
            </w:tcMar>
          </w:tcPr>
          <w:p>
            <w:r>
              <w:rPr>
                <w:rFonts w:ascii="Arial" w:cs="Arial" w:eastAsia="Arial" w:hAnsi="Arial"/>
                <w:b/>
                <w:bCs/>
                <w:color w:val="FFFFFF"/>
                <w:sz w:val="17"/>
                <w:szCs w:val="17"/>
              </w:rPr>
              <w:t xml:space="preserve">Signature</w:t>
            </w:r>
          </w:p>
        </w:tc>
        <w:tc>
          <w:tcPr>
            <w:tcW w:type="dxa" w:w="2120"/>
            <w:tcBorders>
              <w:top w:val="single" w:color="CCCCCC" w:sz="4"/>
              <w:left w:val="single" w:color="CCCCCC" w:sz="4"/>
              <w:bottom w:val="single" w:color="CCCCCC" w:sz="4"/>
              <w:right w:val="single" w:color="CCCCCC" w:sz="4"/>
            </w:tcBorders>
            <w:shd w:fill="5B595A" w:val="clear"/>
            <w:tcMar>
              <w:top w:type="dxa" w:w="60"/>
              <w:left w:type="dxa" w:w="100"/>
              <w:bottom w:type="dxa" w:w="60"/>
              <w:right w:type="dxa" w:w="100"/>
            </w:tcMar>
          </w:tcPr>
          <w:p>
            <w:r>
              <w:rPr>
                <w:rFonts w:ascii="Arial" w:cs="Arial" w:eastAsia="Arial" w:hAnsi="Arial"/>
                <w:b/>
                <w:bCs/>
                <w:color w:val="FFFFFF"/>
                <w:sz w:val="17"/>
                <w:szCs w:val="17"/>
              </w:rPr>
              <w:t xml:space="preserve">Date</w:t>
            </w:r>
          </w:p>
        </w:tc>
      </w:tr>
      <w:tr>
        <w:trPr>
          <w:trHeight w:val="400" w:hRule="atLeast"/>
        </w:trPr>
        <w:tc>
          <w:tcPr>
            <w:tcW w:type="dxa" w:w="24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1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r>
      <w:tr>
        <w:trPr>
          <w:trHeight w:val="400" w:hRule="atLeast"/>
        </w:trPr>
        <w:tc>
          <w:tcPr>
            <w:tcW w:type="dxa" w:w="24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1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r>
      <w:tr>
        <w:trPr>
          <w:trHeight w:val="400" w:hRule="atLeast"/>
        </w:trPr>
        <w:tc>
          <w:tcPr>
            <w:tcW w:type="dxa" w:w="24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1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r>
      <w:tr>
        <w:trPr>
          <w:trHeight w:val="400" w:hRule="atLeast"/>
        </w:trPr>
        <w:tc>
          <w:tcPr>
            <w:tcW w:type="dxa" w:w="24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1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r>
      <w:tr>
        <w:trPr>
          <w:trHeight w:val="400" w:hRule="atLeast"/>
        </w:trPr>
        <w:tc>
          <w:tcPr>
            <w:tcW w:type="dxa" w:w="24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1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r>
      <w:tr>
        <w:trPr>
          <w:trHeight w:val="400" w:hRule="atLeast"/>
        </w:trPr>
        <w:tc>
          <w:tcPr>
            <w:tcW w:type="dxa" w:w="24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1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r>
      <w:tr>
        <w:trPr>
          <w:trHeight w:val="400" w:hRule="atLeast"/>
        </w:trPr>
        <w:tc>
          <w:tcPr>
            <w:tcW w:type="dxa" w:w="24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1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r>
      <w:tr>
        <w:trPr>
          <w:trHeight w:val="400" w:hRule="atLeast"/>
        </w:trPr>
        <w:tc>
          <w:tcPr>
            <w:tcW w:type="dxa" w:w="24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1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r>
      <w:tr>
        <w:trPr>
          <w:trHeight w:val="400" w:hRule="atLeast"/>
        </w:trPr>
        <w:tc>
          <w:tcPr>
            <w:tcW w:type="dxa" w:w="24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1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r>
      <w:tr>
        <w:trPr>
          <w:trHeight w:val="400" w:hRule="atLeast"/>
        </w:trPr>
        <w:tc>
          <w:tcPr>
            <w:tcW w:type="dxa" w:w="24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1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r>
      <w:tr>
        <w:trPr>
          <w:trHeight w:val="400" w:hRule="atLeast"/>
        </w:trPr>
        <w:tc>
          <w:tcPr>
            <w:tcW w:type="dxa" w:w="24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1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r>
      <w:tr>
        <w:trPr>
          <w:trHeight w:val="400" w:hRule="atLeast"/>
        </w:trPr>
        <w:tc>
          <w:tcPr>
            <w:tcW w:type="dxa" w:w="24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1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r>
    </w:tbl>
    <w:p>
      <w:pPr>
        <w:spacing w:after="0" w:before="120"/>
      </w:pPr>
      <w:r>
        <w:t xml:space="preserve"/>
      </w:r>
    </w:p>
    <w:p>
      <w:r>
        <w:rPr>
          <w:rFonts w:ascii="Arial" w:cs="Arial" w:eastAsia="Arial" w:hAnsi="Arial"/>
          <w:color w:val="5B595A"/>
          <w:sz w:val="18"/>
          <w:szCs w:val="18"/>
        </w:rPr>
        <w:t xml:space="preserve">Facilitator Signature: ____________________________      Date: ________________</w:t>
      </w:r>
    </w:p>
    <w:p>
      <w:pPr>
        <w:spacing w:after="0" w:before="60"/>
      </w:pPr>
      <w:r>
        <w:t xml:space="preserve"/>
      </w:r>
    </w:p>
    <w:p>
      <w:r>
        <w:rPr>
          <w:rFonts w:ascii="Arial" w:cs="Arial" w:eastAsia="Arial" w:hAnsi="Arial"/>
          <w:i/>
          <w:iCs/>
          <w:color w:val="5B595A"/>
          <w:sz w:val="16"/>
          <w:szCs w:val="16"/>
        </w:rPr>
        <w:t xml:space="preserve">This record must be retained on file. A copy should be provided to HR / QHSE for central records.</w:t>
      </w:r>
    </w:p>
    <w:sectPr>
      <w:headerReference w:type="default" r:id="rId7"/>
      <w:footerReference w:type="default" r:id="rId8"/>
      <w:pgSz w:w="12240" w:h="15840" w:orient="portrait"/>
      <w:pgMar w:top="1000" w:right="1080" w:bottom="1000" w:left="1080" w:header="283" w:footer="283"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spacing w:before="60" w:after="0"/>
      <w:pBdr>
        <w:top w:val="single" w:sz="6" w:space="1" w:color="29ABE2"/>
      </w:pBdr>
    </w:pPr>
    <w:r>
      <w:rPr>
        <w:rFonts w:ascii="Calibri" w:hAnsi="Calibri"/>
        <w:sz w:val="14"/>
        <w:color w:val="58595B"/>
      </w:rPr>
      <w:t xml:space="preserve">NucCol | Nuclear Collaboration Ltd  ·  Fit For Nuclear Programme  ·  Commercial in Confidence    |    Page </w:t>
    </w:r>
    <w:r>
      <w:rPr>
        <w:rFonts w:ascii="Calibri" w:hAnsi="Calibri"/>
        <w:sz w:val="14"/>
        <w:color w:val="58595B"/>
      </w:rPr>
      <w:fldChar w:fldCharType="begin"/>
      <w:instrText>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before="0" w:after="0"/>
      <w:pBdr>
        <w:bottom w:val="single" w:sz="12" w:space="1" w:color="29ABE2"/>
      </w:pBdr>
    </w:pP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5400"/>
      <w:gridCol w:w="5400"/>
    </w:tblGrid>
    <w:tr>
      <w:tc>
        <w:tcPr>
          <w:tcW w:type="dxa" w:w="1440"/>
          <w:tcBorders>
            <w:top w:val="none" w:sz="0" w:color="auto"/>
            <w:left w:val="none" w:sz="0" w:color="auto"/>
            <w:bottom w:val="none" w:sz="0" w:color="auto"/>
            <w:right w:val="none" w:sz="0" w:color="auto"/>
            <w:insideH w:val="none" w:sz="0" w:color="auto"/>
            <w:insideV w:val="none" w:sz="0" w:color="auto"/>
          </w:tcBorders>
        </w:tcPr>
        <w:p>
          <w:pPr>
            <w:spacing w:before="0" w:after="0"/>
            <w:jc w:val="left"/>
          </w:pPr>
          <w:r>
            <w:drawing>
              <wp:inline xmlns:a="http://schemas.openxmlformats.org/drawingml/2006/main" xmlns:pic="http://schemas.openxmlformats.org/drawingml/2006/picture">
                <wp:extent cx="475488" cy="475488"/>
                <wp:docPr id="1" name="Picture 1"/>
                <wp:cNvGraphicFramePr>
                  <a:graphicFrameLocks noChangeAspect="1"/>
                </wp:cNvGraphicFramePr>
                <a:graphic>
                  <a:graphicData uri="http://schemas.openxmlformats.org/drawingml/2006/picture">
                    <pic:pic>
                      <pic:nvPicPr>
                        <pic:cNvPr id="0" name="nuccol_logo.png"/>
                        <pic:cNvPicPr/>
                      </pic:nvPicPr>
                      <pic:blipFill>
                        <a:blip r:embed="rId1"/>
                        <a:stretch>
                          <a:fillRect/>
                        </a:stretch>
                      </pic:blipFill>
                      <pic:spPr>
                        <a:xfrm>
                          <a:off x="0" y="0"/>
                          <a:ext cx="475488" cy="475488"/>
                        </a:xfrm>
                        <a:prstGeom prst="rect"/>
                      </pic:spPr>
                    </pic:pic>
                  </a:graphicData>
                </a:graphic>
              </wp:inline>
            </w:drawing>
          </w:r>
        </w:p>
      </w:tc>
      <w:tc>
        <w:tcPr>
          <w:tcW w:type="dxa" w:w="9360"/>
          <w:tcBorders>
            <w:top w:val="none" w:sz="0" w:color="auto"/>
            <w:left w:val="none" w:sz="0" w:color="auto"/>
            <w:bottom w:val="none" w:sz="0" w:color="auto"/>
            <w:right w:val="none" w:sz="0" w:color="auto"/>
            <w:insideH w:val="none" w:sz="0" w:color="auto"/>
            <w:insideV w:val="none" w:sz="0" w:color="auto"/>
          </w:tcBorders>
        </w:tcPr>
        <w:p>
          <w:pPr>
            <w:spacing w:before="0" w:after="0"/>
            <w:jc w:val="right"/>
          </w:pPr>
          <w:r>
            <w:drawing>
              <wp:inline xmlns:a="http://schemas.openxmlformats.org/drawingml/2006/main" xmlns:pic="http://schemas.openxmlformats.org/drawingml/2006/picture">
                <wp:extent cx="472561" cy="320040"/>
                <wp:docPr id="2" name="Picture 2"/>
                <wp:cNvGraphicFramePr>
                  <a:graphicFrameLocks noChangeAspect="1"/>
                </wp:cNvGraphicFramePr>
                <a:graphic>
                  <a:graphicData uri="http://schemas.openxmlformats.org/drawingml/2006/picture">
                    <pic:pic>
                      <pic:nvPicPr>
                        <pic:cNvPr id="0" name="f4n_logo.png"/>
                        <pic:cNvPicPr/>
                      </pic:nvPicPr>
                      <pic:blipFill>
                        <a:blip r:embed="rId2"/>
                        <a:stretch>
                          <a:fillRect/>
                        </a:stretch>
                      </pic:blipFill>
                      <pic:spPr>
                        <a:xfrm>
                          <a:off x="0" y="0"/>
                          <a:ext cx="472561" cy="320040"/>
                        </a:xfrm>
                        <a:prstGeom prst="rect"/>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customXml" Target="../customXml/item1.xml"/><Relationship Id="rId4" Type="http://schemas.openxmlformats.org/officeDocument/2006/relationships/endnotes" Target="end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0" Type="http://schemas.openxmlformats.org/officeDocument/2006/relationships/image" Target="media/596d7fa67ae8256ebe24fbf0272572b5560f3264.jpg"/><Relationship Id="rId1" Type="http://schemas.openxmlformats.org/officeDocument/2006/relationships/image" Target="media/image1.png"/><Relationship Id="rId2" Type="http://schemas.openxmlformats.org/officeDocument/2006/relationships/image" Target="media/image2.pn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53F6056AA6464A99729F79B34ECED9" ma:contentTypeVersion="15" ma:contentTypeDescription="Create a new document." ma:contentTypeScope="" ma:versionID="5f61f7f6e9ac7af992ae58f204f4a905">
  <xsd:schema xmlns:xsd="http://www.w3.org/2001/XMLSchema" xmlns:xs="http://www.w3.org/2001/XMLSchema" xmlns:p="http://schemas.microsoft.com/office/2006/metadata/properties" xmlns:ns2="ecb9c8fd-b149-4da5-ae47-4cb2a6f921f7" xmlns:ns3="a57c75ee-0d51-4c06-b83a-21883992ef88" targetNamespace="http://schemas.microsoft.com/office/2006/metadata/properties" ma:root="true" ma:fieldsID="5bd49160a10d99efc7c2a57519ff9fe8" ns2:_="" ns3:_="">
    <xsd:import namespace="ecb9c8fd-b149-4da5-ae47-4cb2a6f921f7"/>
    <xsd:import namespace="a57c75ee-0d51-4c06-b83a-21883992ef88"/>
    <xsd:element name="properties">
      <xsd:complexType>
        <xsd:sequence>
          <xsd:element name="documentManagement">
            <xsd:complexType>
              <xsd:all>
                <xsd:element ref="ns2:MigrationSource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MediaServiceBillingMetadata"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b9c8fd-b149-4da5-ae47-4cb2a6f921f7" elementFormDefault="qualified">
    <xsd:import namespace="http://schemas.microsoft.com/office/2006/documentManagement/types"/>
    <xsd:import namespace="http://schemas.microsoft.com/office/infopath/2007/PartnerControls"/>
    <xsd:element name="MigrationSourceID" ma:index="8" nillable="true" ma:displayName="MigrationSourceID" ma:internalName="MigrationSourceID" ma:readOnly="true">
      <xsd:simpleType>
        <xsd:restriction base="dms:Text"/>
      </xsd:simpleType>
    </xsd:element>
    <xsd:element name="TaxCatchAll" ma:index="20" nillable="true" ma:displayName="Taxonomy Catch All Column" ma:hidden="true" ma:list="{3bbffa37-1fb4-4f8b-a66f-2651692f13f0}" ma:internalName="TaxCatchAll" ma:showField="CatchAllData" ma:web="ecb9c8fd-b149-4da5-ae47-4cb2a6f921f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57c75ee-0d51-4c06-b83a-21883992ef88"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BillingMetadata" ma:index="17" nillable="true" ma:displayName="MediaServiceBillingMetadata" ma:hidden="true" ma:internalName="MediaServiceBillingMetadata"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323488a-041b-479c-b98c-53326eeb9fc5"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cb9c8fd-b149-4da5-ae47-4cb2a6f921f7" xsi:nil="true"/>
    <lcf76f155ced4ddcb4097134ff3c332f xmlns="a57c75ee-0d51-4c06-b83a-21883992ef8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365E271-5020-4621-B1CE-6909D164E6D0}"/>
</file>

<file path=customXml/itemProps2.xml><?xml version="1.0" encoding="utf-8"?>
<ds:datastoreItem xmlns:ds="http://schemas.openxmlformats.org/officeDocument/2006/customXml" ds:itemID="{164E8346-86AD-4F11-8CB2-B31A42F06261}"/>
</file>

<file path=customXml/itemProps3.xml><?xml version="1.0" encoding="utf-8"?>
<ds:datastoreItem xmlns:ds="http://schemas.openxmlformats.org/officeDocument/2006/customXml" ds:itemID="{694D7241-A782-47E7-91EC-238D922156DD}"/>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TBT-12 Mental Health and Wellbeing at Work</dc:title>
  <dc:creator>John Hilton-Brammer</dc:creator>
  <cp:lastModifiedBy>John Hilton-Brammer</cp:lastModifiedBy>
  <dcterms:created xsi:type="dcterms:W3CDTF">2026-07-01T07:45:32Z</dcterms:created>
  <dcterms:modified xsi:type="dcterms:W3CDTF">2026-07-01T07:45:32Z</dcterms:modified>
  <cp:category>Fit For Nuclear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0x0101002453F6056AA6464A99729F79B34ECED9</vt:lpwstr>
  </property>
</Properties>
</file>