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Retract existing WSPs if they exist:</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Treasury.ECM.eCase.SusDeb.Common</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 .Extensions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 .Logging</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Treasury.ECM.eCase.SusDeb.Search</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Treasury.ECM.eCase.SusDeb.Site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Treasury.ECM.eCase.SusDeb.Web</w:t>
        <w:br/>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powershell scripts to point at the proper web application</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eCasesDeployment.ps1</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eCasesSiteProvisioner.ps1</w:t>
        <w:br/>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eCaseMembers.txt and eCaseOwners.txt files as appropriate.  These files should contain user login names, including domain, that are to be added to the associated Site Collection groups.  One login per line.  Ensure there are no empty/blank lines.  Ex: </w:t>
      </w:r>
      <w:r>
        <w:rPr>
          <w:rFonts w:ascii="Calibri" w:hAnsi="Calibri" w:cs="Calibri" w:eastAsia="Calibri"/>
          <w:b/>
          <w:color w:val="auto"/>
          <w:spacing w:val="0"/>
          <w:position w:val="0"/>
          <w:sz w:val="22"/>
          <w:shd w:fill="auto" w:val="clear"/>
        </w:rPr>
        <w:t xml:space="preserve">TREASURY\ORMONDA</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Managed Metadata Group, “eCase Terms”, if one does not already exist. Under this group, import the “Law Issue List” term set, using the LIL.csv file in the Managed Metadata folder.</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eCasesDeployment.ps1.  This script will add and deploy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WSPs in the folder in which it exists.  </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WSPs successfully deployed by navigating to Manage Farm Solutions in Central Admin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Diagnostic Area and Categories are present.  If not, perform the following:</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“Manage Farm Features”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Deactivate Treasury.ECM.eCase Logging Configurator</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Recycle the Central Admin app pool</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the Diagnostic Area/Categories below are removed</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Reactivate Treasury.ECM.eCase Logging Configurator</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Recycle the Central Admin app pool</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Diagnostic Area and Categories are correct.  If not, contact developer.</w:t>
        <w:br/>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4629" w:dyaOrig="1005">
          <v:rect xmlns:o="urn:schemas-microsoft-com:office:office" xmlns:v="urn:schemas-microsoft-com:vml" id="rectole0000000000" style="width:231.450000pt;height:5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Diagnostic Area/Categories Event and Trace levels as desired.  Note, custom code in the eCase Management system will not attempt to write to the Event Log, regardless of configuration.</w:t>
        <w:br/>
      </w:r>
    </w:p>
    <w:p>
      <w:pPr>
        <w:numPr>
          <w:ilvl w:val="0"/>
          <w:numId w:val="8"/>
        </w:num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eCase Database.  Recommend one database per eCases Site Collection.</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SQL Server Studio Management and connect to a SQL Server instance</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database named eCaseMgmt&lt;Bureau&gt;</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eCaseManagement.sql USE statement to reference the correct database</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the script</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the eCaseManagementDocumentIds-v2-Update script.</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SQL Authenticated user (e.g. eCaseUser)</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new user db_datareader and db_datawriter permissions on the new database</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the new user EXECUTE permissions on the stored procedures as shown in image.  eCaseManagementPermissions.sql script can be modified and used to accomplish this.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976" w:dyaOrig="8058">
          <v:rect xmlns:o="urn:schemas-microsoft-com:office:office" xmlns:v="urn:schemas-microsoft-com:vml" id="rectole0000000001" style="width:448.800000pt;height:40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eCasesSiteProvisioner.ps1.  This script will delete the existing site if present, and create a new site.  You can create the Site Collection using the Central Admin UI if preferred; the Site Collection Template will appear under the Treasury templates tab/group.</w:t>
        <w:br/>
      </w:r>
      <w:r>
        <w:object w:dxaOrig="9016" w:dyaOrig="4469">
          <v:rect xmlns:o="urn:schemas-microsoft-com:office:office" xmlns:v="urn:schemas-microsoft-com:vml" id="rectole0000000002" style="width:450.800000pt;height:22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4"/>
        </w:num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site opens correctly in IE.</w:t>
        <w:br/>
      </w:r>
      <w:r>
        <w:object w:dxaOrig="8945" w:dyaOrig="4577">
          <v:rect xmlns:o="urn:schemas-microsoft-com:office:office" xmlns:v="urn:schemas-microsoft-com:vml" id="rectole0000000003" style="width:447.250000pt;height:22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4"/>
        </w:num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the eCaseFastConfig.ps1 script to configure the Crawled Properties, Managed Properties, Managed Property Mappings, Full-Text Index, and Rank Profile used by the eCase FAST Search Center.</w:t>
        <w:br/>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Search Results page by executing a search in the SmallSearchInputBox control.  If the View control (directly beneath the search input box) does not function (it likely doesn’t, not sure why), perform the following:</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Publish Tab in the Ribbon</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“Unpublish”</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another search and verify that the View control will now alter the display </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945" w:dyaOrig="4577">
          <v:rect xmlns:o="urn:schemas-microsoft-com:office:office" xmlns:v="urn:schemas-microsoft-com:vml" id="rectole0000000004" style="width:447.250000pt;height:22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br/>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Search Results page, edit the eCase Core Results web part’s Fetched Properties property, within the Display section, by replacing the existing content with that found in eCaseSearchFetchedProperties.xml</w:t>
        <w:br/>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Search Results page, edit the Refinement Panel web part’s Filter Category Definition property, within the Refinement section, by replacing the existing content with that found in eCaseSearchFilterDefs.xml.</w:t>
        <w:br/>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ecasedb Property Bag setting on Site Collection in Central Admin to point at database.  Update ecasedocprefix if required.</w:t>
        <w:br/>
      </w:r>
      <w:r>
        <w:object w:dxaOrig="9058" w:dyaOrig="574">
          <v:rect xmlns:o="urn:schemas-microsoft-com:office:office" xmlns:v="urn:schemas-microsoft-com:vml" id="rectole0000000005" style="width:452.900000pt;height:2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2"/>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8">
    <w:abstractNumId w:val="12"/>
  </w:num>
  <w:num w:numId="14">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