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894" w14:textId="60640617" w:rsidR="00415015" w:rsidRPr="00415015" w:rsidRDefault="008D5665" w:rsidP="009A7CF4">
      <w:pPr>
        <w:spacing w:line="360" w:lineRule="auto"/>
        <w:rPr>
          <w:rFonts w:ascii="Arial" w:hAnsi="Arial" w:cs="Arial"/>
          <w:sz w:val="24"/>
          <w:szCs w:val="24"/>
          <w:lang w:val="es-DO"/>
        </w:rPr>
      </w:pPr>
      <w:r w:rsidRPr="009D0F5A">
        <w:rPr>
          <w:rFonts w:ascii="Arial" w:hAnsi="Arial" w:cs="Arial"/>
          <w:b/>
          <w:bCs/>
          <w:sz w:val="24"/>
          <w:szCs w:val="24"/>
          <w:lang w:val="es-DO"/>
        </w:rPr>
        <w:t>Análisis de datos masivos</w:t>
      </w:r>
    </w:p>
    <w:p w14:paraId="2DFC51B6" w14:textId="77777777" w:rsidR="00415015" w:rsidRPr="00415015" w:rsidRDefault="00415015" w:rsidP="009A7CF4">
      <w:pPr>
        <w:spacing w:line="360" w:lineRule="auto"/>
        <w:rPr>
          <w:rFonts w:ascii="Arial" w:hAnsi="Arial" w:cs="Arial"/>
          <w:sz w:val="24"/>
          <w:szCs w:val="24"/>
          <w:lang w:val="es-DO"/>
        </w:rPr>
      </w:pPr>
      <w:r w:rsidRPr="00415015">
        <w:rPr>
          <w:rFonts w:ascii="Arial" w:hAnsi="Arial" w:cs="Arial"/>
          <w:sz w:val="24"/>
          <w:szCs w:val="24"/>
          <w:lang w:val="es-DO"/>
        </w:rPr>
        <w:t>Datos del estudiante  </w:t>
      </w:r>
    </w:p>
    <w:p w14:paraId="43D77295" w14:textId="4C3D18C4" w:rsidR="00415015" w:rsidRPr="00415015" w:rsidRDefault="00415015" w:rsidP="009A7CF4">
      <w:pPr>
        <w:spacing w:line="360" w:lineRule="auto"/>
        <w:rPr>
          <w:rFonts w:ascii="Arial" w:hAnsi="Arial" w:cs="Arial"/>
          <w:sz w:val="24"/>
          <w:szCs w:val="24"/>
          <w:lang w:val="es-DO"/>
        </w:rPr>
      </w:pPr>
      <w:r w:rsidRPr="00415015">
        <w:rPr>
          <w:rFonts w:ascii="Arial" w:hAnsi="Arial" w:cs="Arial"/>
          <w:b/>
          <w:bCs/>
          <w:sz w:val="24"/>
          <w:szCs w:val="24"/>
          <w:lang w:val="es-DO"/>
        </w:rPr>
        <w:t>Nombre y apellido: </w:t>
      </w:r>
      <w:r w:rsidRPr="00415015">
        <w:rPr>
          <w:rFonts w:ascii="Arial" w:hAnsi="Arial" w:cs="Arial"/>
          <w:sz w:val="24"/>
          <w:szCs w:val="24"/>
          <w:lang w:val="es-DO"/>
        </w:rPr>
        <w:t>Renso Paulino Brazob</w:t>
      </w:r>
      <w:r w:rsidR="00F60A35">
        <w:rPr>
          <w:rFonts w:ascii="Arial" w:hAnsi="Arial" w:cs="Arial"/>
          <w:sz w:val="24"/>
          <w:szCs w:val="24"/>
          <w:lang w:val="es-DO"/>
        </w:rPr>
        <w:t>á</w:t>
      </w:r>
      <w:r w:rsidRPr="00415015">
        <w:rPr>
          <w:rFonts w:ascii="Arial" w:hAnsi="Arial" w:cs="Arial"/>
          <w:sz w:val="24"/>
          <w:szCs w:val="24"/>
          <w:lang w:val="es-DO"/>
        </w:rPr>
        <w:t>n Dur</w:t>
      </w:r>
      <w:r w:rsidR="00F60A35">
        <w:rPr>
          <w:rFonts w:ascii="Arial" w:hAnsi="Arial" w:cs="Arial"/>
          <w:sz w:val="24"/>
          <w:szCs w:val="24"/>
          <w:lang w:val="es-DO"/>
        </w:rPr>
        <w:t>á</w:t>
      </w:r>
      <w:r w:rsidRPr="00415015">
        <w:rPr>
          <w:rFonts w:ascii="Arial" w:hAnsi="Arial" w:cs="Arial"/>
          <w:sz w:val="24"/>
          <w:szCs w:val="24"/>
          <w:lang w:val="es-DO"/>
        </w:rPr>
        <w:t>n  </w:t>
      </w:r>
    </w:p>
    <w:p w14:paraId="3B539233" w14:textId="77777777" w:rsidR="00415015" w:rsidRPr="00415015" w:rsidRDefault="00415015" w:rsidP="009A7CF4">
      <w:pPr>
        <w:spacing w:line="360" w:lineRule="auto"/>
        <w:rPr>
          <w:rFonts w:ascii="Arial" w:hAnsi="Arial" w:cs="Arial"/>
          <w:sz w:val="24"/>
          <w:szCs w:val="24"/>
          <w:lang w:val="es-DO"/>
        </w:rPr>
      </w:pPr>
      <w:r w:rsidRPr="00415015">
        <w:rPr>
          <w:rFonts w:ascii="Arial" w:hAnsi="Arial" w:cs="Arial"/>
          <w:b/>
          <w:bCs/>
          <w:sz w:val="24"/>
          <w:szCs w:val="24"/>
          <w:lang w:val="es-DO"/>
        </w:rPr>
        <w:t>Fecha de entrega: </w:t>
      </w:r>
      <w:r w:rsidRPr="00415015">
        <w:rPr>
          <w:rFonts w:ascii="Arial" w:hAnsi="Arial" w:cs="Arial"/>
          <w:sz w:val="24"/>
          <w:szCs w:val="24"/>
          <w:lang w:val="es-DO"/>
        </w:rPr>
        <w:t>22 de febrero, 2026 </w:t>
      </w:r>
    </w:p>
    <w:p w14:paraId="03B9EBA3" w14:textId="44346ADC" w:rsidR="0017796A" w:rsidRPr="009D0F5A" w:rsidRDefault="00365341" w:rsidP="009A7CF4">
      <w:pPr>
        <w:spacing w:line="360" w:lineRule="auto"/>
        <w:rPr>
          <w:rFonts w:ascii="Arial" w:hAnsi="Arial" w:cs="Arial"/>
          <w:b/>
          <w:bCs/>
          <w:sz w:val="24"/>
          <w:szCs w:val="24"/>
          <w:lang w:val="es-DO"/>
        </w:rPr>
      </w:pPr>
      <w:r w:rsidRPr="009D0F5A">
        <w:rPr>
          <w:rFonts w:ascii="Arial" w:hAnsi="Arial" w:cs="Arial"/>
          <w:b/>
          <w:bCs/>
          <w:sz w:val="24"/>
          <w:szCs w:val="24"/>
          <w:lang w:val="es-DO"/>
        </w:rPr>
        <w:t>Análisis</w:t>
      </w:r>
      <w:r w:rsidR="008D5665" w:rsidRPr="009D0F5A">
        <w:rPr>
          <w:rFonts w:ascii="Arial" w:hAnsi="Arial" w:cs="Arial"/>
          <w:b/>
          <w:bCs/>
          <w:sz w:val="24"/>
          <w:szCs w:val="24"/>
          <w:lang w:val="es-DO"/>
        </w:rPr>
        <w:t xml:space="preserve"> exploratorio de datos </w:t>
      </w:r>
      <w:r w:rsidRPr="009D0F5A">
        <w:rPr>
          <w:rFonts w:ascii="Arial" w:hAnsi="Arial" w:cs="Arial"/>
          <w:b/>
          <w:bCs/>
          <w:sz w:val="24"/>
          <w:szCs w:val="24"/>
          <w:lang w:val="es-DO"/>
        </w:rPr>
        <w:t xml:space="preserve">y tratamiento de series temporales </w:t>
      </w:r>
    </w:p>
    <w:p w14:paraId="19BF9F52" w14:textId="7AAB1CA0" w:rsidR="00EB5269" w:rsidRPr="009D0F5A" w:rsidRDefault="00E06364" w:rsidP="000A78C8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Identificación de Variables</w:t>
      </w:r>
    </w:p>
    <w:p w14:paraId="36363499" w14:textId="77777777" w:rsidR="000458EF" w:rsidRPr="009D0F5A" w:rsidRDefault="000A78C8" w:rsidP="000458E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Fecha</w:t>
      </w:r>
      <w:r w:rsidR="000458EF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: cuantitativa</w:t>
      </w:r>
    </w:p>
    <w:p w14:paraId="63D0F029" w14:textId="77777777" w:rsidR="000458EF" w:rsidRPr="009D0F5A" w:rsidRDefault="000458EF" w:rsidP="000458E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Precio promedio: cuantitativa continua</w:t>
      </w:r>
    </w:p>
    <w:p w14:paraId="2A7CCE68" w14:textId="77777777" w:rsidR="00B772CF" w:rsidRPr="009D0F5A" w:rsidRDefault="000458EF" w:rsidP="000458E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Volumen total: cuantitativa continua</w:t>
      </w:r>
    </w:p>
    <w:p w14:paraId="4CC88DF5" w14:textId="5B890F93" w:rsidR="00ED3463" w:rsidRPr="009D0F5A" w:rsidRDefault="00B772CF" w:rsidP="000458E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4046, 4225 y</w:t>
      </w:r>
      <w:r w:rsidR="00B335D9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4770 (</w:t>
      </w:r>
      <w:r w:rsidR="008801DA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indicadores del producto</w:t>
      </w:r>
      <w:r w:rsidR="00ED3463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): cuantitativa continua</w:t>
      </w:r>
    </w:p>
    <w:p w14:paraId="5D6D0149" w14:textId="7F894734" w:rsidR="00D232A5" w:rsidRPr="009D0F5A" w:rsidRDefault="008D4141" w:rsidP="000458E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Las cuatro columnas </w:t>
      </w:r>
      <w:r w:rsidR="006D1B3A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que indican</w:t>
      </w:r>
      <w:r w:rsidR="00D232A5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cantidad de bags o paquetes son: cuantitativas continuas y especificas</w:t>
      </w:r>
    </w:p>
    <w:p w14:paraId="0D1568EE" w14:textId="77777777" w:rsidR="00CF2146" w:rsidRPr="009D0F5A" w:rsidRDefault="006D1B3A" w:rsidP="000458E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Tipo: categórica nominal</w:t>
      </w:r>
    </w:p>
    <w:p w14:paraId="18D364D4" w14:textId="77777777" w:rsidR="00CF2146" w:rsidRPr="009D0F5A" w:rsidRDefault="00CF2146" w:rsidP="000458E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Año: cuantitativa </w:t>
      </w:r>
    </w:p>
    <w:p w14:paraId="435A401A" w14:textId="70978082" w:rsidR="00711D85" w:rsidRPr="00C06424" w:rsidRDefault="00CF2146" w:rsidP="00EB5269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Geografía: </w:t>
      </w:r>
      <w:r w:rsidR="00EB5269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categórica nominal</w:t>
      </w:r>
    </w:p>
    <w:p w14:paraId="142E84DD" w14:textId="77777777" w:rsidR="00717BCC" w:rsidRDefault="00E06364" w:rsidP="009A7CF4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2. Análisis Descriptivo</w:t>
      </w:r>
    </w:p>
    <w:p w14:paraId="6E7F0BD8" w14:textId="77777777" w:rsidR="0018466C" w:rsidRPr="009D0F5A" w:rsidRDefault="0018466C" w:rsidP="0018466C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Media: 1.71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br/>
        <w:t>Varianza: 0.05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br/>
        <w:t>Mínimo: 1.13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br/>
        <w:t>Máximo: 2.19</w:t>
      </w:r>
    </w:p>
    <w:p w14:paraId="1AF6592E" w14:textId="22A2A798" w:rsidR="0021123B" w:rsidRDefault="0018466C" w:rsidP="0021123B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En la 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>siguiente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tabla se identifica un análisis descriptivo de los precios del aguacate </w:t>
      </w:r>
      <w:r w:rsidRPr="009D0F5A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orgánico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en las ciudades </w:t>
      </w:r>
      <w:r w:rsidRPr="009D0F5A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Albany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y </w:t>
      </w:r>
      <w:r w:rsidRPr="009D0F5A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Boston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, donde se observa que el precio promedio utilizando la segmentación mencionada es 1.71 (el valor de la media).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</w:p>
    <w:p w14:paraId="7DE0B2AD" w14:textId="5D3B90BB" w:rsidR="0021123B" w:rsidRDefault="00E17F96" w:rsidP="0021123B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noProof/>
          <w:sz w:val="24"/>
          <w:szCs w:val="24"/>
        </w:rPr>
        <w:lastRenderedPageBreak/>
        <w:drawing>
          <wp:inline distT="0" distB="0" distL="0" distR="0" wp14:anchorId="0D2A9DFE" wp14:editId="7DB64257">
            <wp:extent cx="2781300" cy="3051002"/>
            <wp:effectExtent l="0" t="0" r="0" b="0"/>
            <wp:docPr id="10253213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05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58F5" w14:textId="77CB93E9" w:rsidR="0021123B" w:rsidRPr="0021123B" w:rsidRDefault="0021123B" w:rsidP="0021123B">
      <w:pPr>
        <w:spacing w:after="0"/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>Tabla.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  <w:t xml:space="preserve"> Precio promedio de los aguacates orgánicos en Albany y Boston.</w:t>
      </w:r>
    </w:p>
    <w:p w14:paraId="7859F58A" w14:textId="585F6E4E" w:rsidR="0021123B" w:rsidRDefault="00E06364" w:rsidP="0021123B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br/>
      </w:r>
      <w:r w:rsidR="006F3B23">
        <w:rPr>
          <w:noProof/>
        </w:rPr>
        <mc:AlternateContent>
          <mc:Choice Requires="cx1">
            <w:drawing>
              <wp:inline distT="0" distB="0" distL="0" distR="0" wp14:anchorId="70856D2D" wp14:editId="42F97180">
                <wp:extent cx="5219700" cy="3139440"/>
                <wp:effectExtent l="0" t="0" r="0" b="3810"/>
                <wp:docPr id="912606411" name="Gráfic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754D16-107C-2EFD-5436-A6BCC2B6E8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7"/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>
            <w:drawing>
              <wp:inline distT="0" distB="0" distL="0" distR="0" wp14:anchorId="48650783" wp14:editId="42F97180">
                <wp:extent cx="5219700" cy="3139440"/>
                <wp:effectExtent l="0" t="0" r="0" b="3810"/>
                <wp:docPr id="1249802276" name="Gráfic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754D16-107C-2EFD-5436-A6BCC2B6E8D0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606411" name="Gráfico 1">
                          <a:extLst>
                            <a:ext uri="{FF2B5EF4-FFF2-40B4-BE49-F238E27FC236}">
                              <a16:creationId xmlns:a16="http://schemas.microsoft.com/office/drawing/2014/main" id="{16754D16-107C-2EFD-5436-A6BCC2B6E8D0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9700" cy="3139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5F6B770" w14:textId="74CDD8D2" w:rsidR="0021123B" w:rsidRPr="0021123B" w:rsidRDefault="0021123B" w:rsidP="0021123B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Grafico. 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  <w:t>Precio promedio de los aguacates orgánicos en Albany y Boston.</w:t>
      </w:r>
    </w:p>
    <w:p w14:paraId="235025B0" w14:textId="77777777" w:rsidR="00DD61A7" w:rsidRDefault="00E06364" w:rsidP="00A767C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3. Segmentación de Datos</w:t>
      </w:r>
    </w:p>
    <w:p w14:paraId="1848F5DE" w14:textId="00FC3372" w:rsidR="00081C65" w:rsidRPr="00DD61A7" w:rsidRDefault="00081C65" w:rsidP="00DD61A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</w:pPr>
      <w:r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Debido a que la información cambia </w:t>
      </w:r>
      <w:r w:rsidR="0028577D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>de acuerdo con</w:t>
      </w:r>
      <w:r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la segmentación</w:t>
      </w:r>
      <w:r w:rsidR="0028577D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se </w:t>
      </w:r>
      <w:r w:rsidR="00751D33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>filtró</w:t>
      </w:r>
      <w:r w:rsidR="0028577D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la información enfocándonos en los aguacates orgánicos en Albany y Boston </w:t>
      </w:r>
      <w:r w:rsidR="00751D33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para el precio promedio. También para la correlación y covarianza </w:t>
      </w:r>
      <w:r w:rsidR="00B3478D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se </w:t>
      </w:r>
      <w:r w:rsidR="07AF2A40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>utilizó</w:t>
      </w:r>
      <w:r w:rsidR="00B3478D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un enfoque </w:t>
      </w:r>
      <w:r w:rsidR="00B3478D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lastRenderedPageBreak/>
        <w:t xml:space="preserve">en los aguacates orgánicos y convencionales de forma </w:t>
      </w:r>
      <w:r w:rsidR="16531995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>independiente,</w:t>
      </w:r>
      <w:r w:rsidR="00B3478D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pero uti</w:t>
      </w:r>
      <w:r w:rsidR="00DD61A7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lizando a Albany y Boston en ambas situaciones. </w:t>
      </w:r>
    </w:p>
    <w:p w14:paraId="4ED2600B" w14:textId="77777777" w:rsidR="00C600C6" w:rsidRDefault="00AB5D70" w:rsidP="00C600C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Con la segmentación de ciudades y productos conseguimos enfocarnos únicamente en los datos que necesitamos analizar en esta ocasión. </w:t>
      </w:r>
    </w:p>
    <w:p w14:paraId="38EA9DAE" w14:textId="4AECF8D1" w:rsidR="00C600C6" w:rsidRPr="00C600C6" w:rsidRDefault="00E06364" w:rsidP="00D7156A">
      <w:pPr>
        <w:tabs>
          <w:tab w:val="left" w:pos="6996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</w:pPr>
      <w:r w:rsidRPr="00C600C6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4. Correlación y Covarianza</w:t>
      </w:r>
      <w:r w:rsidR="00D7156A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ab/>
      </w:r>
    </w:p>
    <w:p w14:paraId="76EB0E98" w14:textId="77777777" w:rsidR="00D7156A" w:rsidRDefault="00BE6AD7" w:rsidP="00D7156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La </w:t>
      </w:r>
      <w:r w:rsidR="005E3D22">
        <w:rPr>
          <w:rFonts w:ascii="Arial" w:hAnsi="Arial" w:cs="Arial"/>
          <w:color w:val="000000" w:themeColor="text1"/>
          <w:sz w:val="24"/>
          <w:szCs w:val="24"/>
          <w:lang w:val="es-DO"/>
        </w:rPr>
        <w:t>fórmula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utilizada para obtener la covarianza fue: </w:t>
      </w:r>
      <w:r w:rsidR="00705050" w:rsidRPr="00705050">
        <w:rPr>
          <w:rFonts w:ascii="Arial" w:hAnsi="Arial" w:cs="Arial"/>
          <w:color w:val="000000" w:themeColor="text1"/>
          <w:sz w:val="24"/>
          <w:szCs w:val="24"/>
          <w:lang w:val="es-DO"/>
        </w:rPr>
        <w:t>=COVARIANZA.M(</w:t>
      </w:r>
      <w:r w:rsidR="00AA27E6">
        <w:rPr>
          <w:rFonts w:ascii="Arial" w:hAnsi="Arial" w:cs="Arial"/>
          <w:color w:val="000000" w:themeColor="text1"/>
          <w:sz w:val="24"/>
          <w:szCs w:val="24"/>
          <w:lang w:val="es-DO"/>
        </w:rPr>
        <w:t>Matriz</w:t>
      </w:r>
      <w:r w:rsidR="005E3D22">
        <w:rPr>
          <w:rFonts w:ascii="Arial" w:hAnsi="Arial" w:cs="Arial"/>
          <w:color w:val="000000" w:themeColor="text1"/>
          <w:sz w:val="24"/>
          <w:szCs w:val="24"/>
          <w:lang w:val="es-DO"/>
        </w:rPr>
        <w:t>1</w:t>
      </w:r>
      <w:r w:rsidR="005E3D22" w:rsidRPr="00705050">
        <w:rPr>
          <w:rFonts w:ascii="Arial" w:hAnsi="Arial" w:cs="Arial"/>
          <w:color w:val="000000" w:themeColor="text1"/>
          <w:sz w:val="24"/>
          <w:szCs w:val="24"/>
          <w:lang w:val="es-DO"/>
        </w:rPr>
        <w:t>;</w:t>
      </w:r>
      <w:r w:rsidR="005E3D22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Matriz</w:t>
      </w:r>
      <w:r w:rsidR="00AA27E6">
        <w:rPr>
          <w:rFonts w:ascii="Arial" w:hAnsi="Arial" w:cs="Arial"/>
          <w:color w:val="000000" w:themeColor="text1"/>
          <w:sz w:val="24"/>
          <w:szCs w:val="24"/>
          <w:lang w:val="es-DO"/>
        </w:rPr>
        <w:t>2</w:t>
      </w:r>
      <w:r w:rsidR="00705050" w:rsidRPr="00705050">
        <w:rPr>
          <w:rFonts w:ascii="Arial" w:hAnsi="Arial" w:cs="Arial"/>
          <w:color w:val="000000" w:themeColor="text1"/>
          <w:sz w:val="24"/>
          <w:szCs w:val="24"/>
          <w:lang w:val="es-DO"/>
        </w:rPr>
        <w:t>)</w:t>
      </w:r>
      <w:r w:rsidR="0088518D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. Para obtener la correlación: </w:t>
      </w:r>
      <w:r w:rsidR="008B013A" w:rsidRPr="008B013A">
        <w:rPr>
          <w:rFonts w:ascii="Arial" w:hAnsi="Arial" w:cs="Arial"/>
          <w:color w:val="000000" w:themeColor="text1"/>
          <w:sz w:val="24"/>
          <w:szCs w:val="24"/>
          <w:lang w:val="es-DO"/>
        </w:rPr>
        <w:t>=COEF.DE.CORREL(</w:t>
      </w:r>
      <w:r w:rsidR="008B013A">
        <w:rPr>
          <w:rFonts w:ascii="Arial" w:hAnsi="Arial" w:cs="Arial"/>
          <w:color w:val="000000" w:themeColor="text1"/>
          <w:sz w:val="24"/>
          <w:szCs w:val="24"/>
          <w:lang w:val="es-DO"/>
        </w:rPr>
        <w:t>Matriz</w:t>
      </w:r>
      <w:r w:rsidR="00AC5E5A">
        <w:rPr>
          <w:rFonts w:ascii="Arial" w:hAnsi="Arial" w:cs="Arial"/>
          <w:color w:val="000000" w:themeColor="text1"/>
          <w:sz w:val="24"/>
          <w:szCs w:val="24"/>
          <w:lang w:val="es-DO"/>
        </w:rPr>
        <w:t>1; Matriz2).</w:t>
      </w: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7156A" w14:paraId="18667F76" w14:textId="77777777" w:rsidTr="00F66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19562217" w14:textId="0356B609" w:rsidR="00D7156A" w:rsidRPr="006556CF" w:rsidRDefault="006556CF" w:rsidP="00D7156A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  <w:t>Aguacates orgánicos</w:t>
            </w:r>
          </w:p>
        </w:tc>
      </w:tr>
      <w:tr w:rsidR="00D7156A" w:rsidRPr="006556CF" w14:paraId="2C1D91BF" w14:textId="77777777" w:rsidTr="00F66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F3480B3" w14:textId="3F9F8ADD" w:rsidR="00D7156A" w:rsidRPr="006556CF" w:rsidRDefault="00575F90" w:rsidP="00D7156A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  <w:t>Matriz de correlación</w:t>
            </w:r>
          </w:p>
        </w:tc>
        <w:tc>
          <w:tcPr>
            <w:tcW w:w="4315" w:type="dxa"/>
          </w:tcPr>
          <w:p w14:paraId="0C3A1AAA" w14:textId="1CFFC127" w:rsidR="00D7156A" w:rsidRPr="006556CF" w:rsidRDefault="0035738F" w:rsidP="00D7156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  <w:t>0.06</w:t>
            </w:r>
          </w:p>
        </w:tc>
      </w:tr>
      <w:tr w:rsidR="00D7156A" w:rsidRPr="006556CF" w14:paraId="13F3D347" w14:textId="77777777" w:rsidTr="00F667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56D29C0" w14:textId="79A46800" w:rsidR="00D7156A" w:rsidRPr="006556CF" w:rsidRDefault="00D5698E" w:rsidP="00D7156A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  <w:t>Covarianza</w:t>
            </w:r>
          </w:p>
        </w:tc>
        <w:tc>
          <w:tcPr>
            <w:tcW w:w="4315" w:type="dxa"/>
          </w:tcPr>
          <w:p w14:paraId="47E76AAA" w14:textId="4E87B2D6" w:rsidR="00D7156A" w:rsidRPr="006556CF" w:rsidRDefault="00974048" w:rsidP="00D7156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  <w:t>177.44</w:t>
            </w:r>
          </w:p>
        </w:tc>
      </w:tr>
    </w:tbl>
    <w:p w14:paraId="551EEA38" w14:textId="0C7CEC3C" w:rsidR="00255D13" w:rsidRPr="00255D13" w:rsidRDefault="00255D13" w:rsidP="00E721EF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Tabla. 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  <w:t xml:space="preserve">Covarianza y correlación de aguacates orgánicos </w:t>
      </w:r>
      <w:r w:rsidR="006648B1"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  <w:t xml:space="preserve">en </w:t>
      </w:r>
      <w:r w:rsidR="002464EA"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  <w:t>Albany y Boston.</w:t>
      </w:r>
    </w:p>
    <w:p w14:paraId="0FD575D2" w14:textId="45AB3BB8" w:rsidR="006556CF" w:rsidRPr="006556CF" w:rsidRDefault="00AD3743" w:rsidP="00E721E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>E</w:t>
      </w:r>
      <w:r w:rsidR="009510B3">
        <w:rPr>
          <w:rFonts w:ascii="Arial" w:hAnsi="Arial" w:cs="Arial"/>
          <w:color w:val="000000" w:themeColor="text1"/>
          <w:sz w:val="24"/>
          <w:szCs w:val="24"/>
          <w:lang w:val="es-DO"/>
        </w:rPr>
        <w:t>ste análisis indica una relación lineal débil pero positiva</w:t>
      </w:r>
      <w:r w:rsidR="00731455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entre ambas variables</w:t>
      </w:r>
      <w:r w:rsidR="007B55F7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, además se puede ver que ambas </w:t>
      </w:r>
      <w:r w:rsidR="003A40A2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variables se mueven en la misma dirección. </w:t>
      </w:r>
      <w:r w:rsidR="00F13728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Para obtener resultados más confiables </w:t>
      </w:r>
      <w:r w:rsidR="00E721EF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sería bueno incluir otros factores como la estación del año. </w:t>
      </w: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556CF" w:rsidRPr="006556CF" w14:paraId="5AA88054" w14:textId="77777777" w:rsidTr="0093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0B15B409" w14:textId="485AF998" w:rsidR="006556CF" w:rsidRPr="006556CF" w:rsidRDefault="006556CF" w:rsidP="00932175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</w:pPr>
            <w:r w:rsidRPr="006556CF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  <w:t>Aguacates convencionales</w:t>
            </w:r>
          </w:p>
        </w:tc>
      </w:tr>
      <w:tr w:rsidR="006556CF" w:rsidRPr="006556CF" w14:paraId="42FAD182" w14:textId="77777777" w:rsidTr="00932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D50062A" w14:textId="17D5CB49" w:rsidR="006556CF" w:rsidRPr="006556CF" w:rsidRDefault="00D5698E" w:rsidP="00932175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  <w:t>Matriz de correlación</w:t>
            </w:r>
          </w:p>
        </w:tc>
        <w:tc>
          <w:tcPr>
            <w:tcW w:w="4315" w:type="dxa"/>
          </w:tcPr>
          <w:p w14:paraId="52091F19" w14:textId="42BB4EBA" w:rsidR="006556CF" w:rsidRPr="006556CF" w:rsidRDefault="001A2C55" w:rsidP="0093217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  <w:t>-0.01</w:t>
            </w:r>
          </w:p>
        </w:tc>
      </w:tr>
      <w:tr w:rsidR="006556CF" w:rsidRPr="006556CF" w14:paraId="29F85B07" w14:textId="77777777" w:rsidTr="00932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B443062" w14:textId="2AE13135" w:rsidR="006556CF" w:rsidRPr="006556CF" w:rsidRDefault="00D5698E" w:rsidP="00932175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DO"/>
              </w:rPr>
              <w:t xml:space="preserve">Covarianza </w:t>
            </w:r>
          </w:p>
        </w:tc>
        <w:tc>
          <w:tcPr>
            <w:tcW w:w="4315" w:type="dxa"/>
          </w:tcPr>
          <w:p w14:paraId="7200F65E" w14:textId="7100E2C9" w:rsidR="006556CF" w:rsidRPr="006556CF" w:rsidRDefault="001A2C55" w:rsidP="0093217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s-DO"/>
              </w:rPr>
              <w:t>-474.23</w:t>
            </w:r>
          </w:p>
        </w:tc>
      </w:tr>
    </w:tbl>
    <w:p w14:paraId="47114248" w14:textId="6D755058" w:rsidR="002464EA" w:rsidRPr="002464EA" w:rsidRDefault="002464EA" w:rsidP="00D7156A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Tabla. </w:t>
      </w:r>
      <w:r w:rsidR="005256D4">
        <w:rPr>
          <w:rFonts w:ascii="Arial" w:hAnsi="Arial" w:cs="Arial"/>
          <w:i/>
          <w:iCs/>
          <w:color w:val="000000" w:themeColor="text1"/>
          <w:sz w:val="24"/>
          <w:szCs w:val="24"/>
          <w:lang w:val="es-DO"/>
        </w:rPr>
        <w:t>Covarianza y correlación de aguacates convencionales en Albany y Boston.</w:t>
      </w:r>
    </w:p>
    <w:p w14:paraId="0965E6D5" w14:textId="2F7F70A5" w:rsidR="004A1D44" w:rsidRDefault="007D494D" w:rsidP="00D7156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>Este resultado indica u</w:t>
      </w:r>
      <w:r w:rsidR="00C642BD">
        <w:rPr>
          <w:rFonts w:ascii="Arial" w:hAnsi="Arial" w:cs="Arial"/>
          <w:color w:val="000000" w:themeColor="text1"/>
          <w:sz w:val="24"/>
          <w:szCs w:val="24"/>
          <w:lang w:val="es-DO"/>
        </w:rPr>
        <w:t>na relación</w:t>
      </w:r>
      <w:r w:rsidR="00A42D5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  <w:r w:rsidR="00257F8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lineal totalmente nula entre el precio y el volumen. Se puede concluir en que </w:t>
      </w:r>
      <w:r w:rsidR="002F20EB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el precio no </w:t>
      </w:r>
      <w:r w:rsidR="00E35299">
        <w:rPr>
          <w:rFonts w:ascii="Arial" w:hAnsi="Arial" w:cs="Arial"/>
          <w:color w:val="000000" w:themeColor="text1"/>
          <w:sz w:val="24"/>
          <w:szCs w:val="24"/>
          <w:lang w:val="es-DO"/>
        </w:rPr>
        <w:t>cambia</w:t>
      </w:r>
      <w:r w:rsidR="002F20EB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de forma consistente cuando cambia el volumen de venta. </w:t>
      </w:r>
    </w:p>
    <w:p w14:paraId="2AAC1C68" w14:textId="261B8910" w:rsidR="00711D85" w:rsidRDefault="00E06364" w:rsidP="00D7156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br/>
      </w:r>
    </w:p>
    <w:p w14:paraId="18FCDBED" w14:textId="77777777" w:rsidR="00D31B69" w:rsidRDefault="00D31B69" w:rsidP="00D7156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</w:p>
    <w:p w14:paraId="263119D2" w14:textId="77777777" w:rsidR="00D31B69" w:rsidRDefault="00D31B69" w:rsidP="00D7156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</w:p>
    <w:p w14:paraId="2FBAE6E3" w14:textId="77777777" w:rsidR="00927C86" w:rsidRDefault="00927C86" w:rsidP="009A7CF4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  <w:sectPr w:rsidR="00927C8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6DBB6DB" w14:textId="7BE96859" w:rsidR="003850FE" w:rsidRDefault="00E06364" w:rsidP="009A7CF4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081B7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5. </w:t>
      </w:r>
      <w:proofErr w:type="spellStart"/>
      <w:r w:rsidRPr="00081B72">
        <w:rPr>
          <w:rFonts w:ascii="Arial" w:hAnsi="Arial" w:cs="Arial"/>
          <w:b/>
          <w:bCs/>
          <w:color w:val="000000" w:themeColor="text1"/>
          <w:sz w:val="24"/>
          <w:szCs w:val="24"/>
        </w:rPr>
        <w:t>Regresión</w:t>
      </w:r>
      <w:proofErr w:type="spellEnd"/>
      <w:r w:rsidRPr="00081B7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Lineal</w:t>
      </w:r>
      <w:r w:rsidR="00B615B2" w:rsidRPr="00081B72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B615B2" w:rsidRPr="00081B72">
        <w:rPr>
          <w:rFonts w:ascii="Arial" w:hAnsi="Arial" w:cs="Arial"/>
          <w:b/>
          <w:bCs/>
          <w:color w:val="000000" w:themeColor="text1"/>
          <w:sz w:val="24"/>
          <w:szCs w:val="24"/>
        </w:rPr>
        <w:t>Albany-Boston Organic.</w:t>
      </w:r>
      <w:r w:rsidRPr="00081B72">
        <w:rPr>
          <w:rFonts w:ascii="Arial" w:hAnsi="Arial" w:cs="Arial"/>
          <w:color w:val="000000" w:themeColor="text1"/>
          <w:sz w:val="24"/>
          <w:szCs w:val="24"/>
        </w:rPr>
        <w:br/>
      </w:r>
      <w:r w:rsidR="00AA04E0" w:rsidRPr="00AA04E0">
        <w:rPr>
          <w:noProof/>
        </w:rPr>
        <w:drawing>
          <wp:inline distT="0" distB="0" distL="0" distR="0" wp14:anchorId="607CA2AA" wp14:editId="0F2E2E41">
            <wp:extent cx="8229600" cy="2733040"/>
            <wp:effectExtent l="0" t="0" r="0" b="0"/>
            <wp:docPr id="6567013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1B72">
        <w:rPr>
          <w:rFonts w:ascii="Arial" w:hAnsi="Arial" w:cs="Arial"/>
          <w:color w:val="000000" w:themeColor="text1"/>
          <w:sz w:val="24"/>
          <w:szCs w:val="24"/>
        </w:rPr>
        <w:br/>
      </w:r>
      <w:r w:rsidRPr="00081B72">
        <w:rPr>
          <w:rFonts w:ascii="Arial" w:hAnsi="Arial" w:cs="Arial"/>
          <w:color w:val="000000" w:themeColor="text1"/>
          <w:sz w:val="24"/>
          <w:szCs w:val="24"/>
        </w:rPr>
        <w:br/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Coeficiente:</w:t>
      </w:r>
      <w:r w:rsidR="00317B3F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  <w:r w:rsidR="004C5675">
        <w:rPr>
          <w:rFonts w:ascii="Arial" w:hAnsi="Arial" w:cs="Arial"/>
          <w:color w:val="000000" w:themeColor="text1"/>
          <w:sz w:val="24"/>
          <w:szCs w:val="24"/>
          <w:lang w:val="es-DO"/>
        </w:rPr>
        <w:t>Regresión</w:t>
      </w:r>
      <w:r w:rsidR="003850FE">
        <w:rPr>
          <w:rFonts w:ascii="Arial" w:hAnsi="Arial" w:cs="Arial"/>
          <w:color w:val="000000" w:themeColor="text1"/>
          <w:sz w:val="24"/>
          <w:szCs w:val="24"/>
          <w:lang w:val="es-DO"/>
        </w:rPr>
        <w:t>,</w:t>
      </w:r>
      <w:r w:rsidR="004C5675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1; intercepci</w:t>
      </w:r>
      <w:r w:rsidR="00AF4E04">
        <w:rPr>
          <w:rFonts w:ascii="Arial" w:hAnsi="Arial" w:cs="Arial"/>
          <w:color w:val="000000" w:themeColor="text1"/>
          <w:sz w:val="24"/>
          <w:szCs w:val="24"/>
          <w:lang w:val="es-DO"/>
        </w:rPr>
        <w:t>ón</w:t>
      </w:r>
      <w:r w:rsidR="003850FE">
        <w:rPr>
          <w:rFonts w:ascii="Arial" w:hAnsi="Arial" w:cs="Arial"/>
          <w:color w:val="000000" w:themeColor="text1"/>
          <w:sz w:val="24"/>
          <w:szCs w:val="24"/>
          <w:lang w:val="es-DO"/>
        </w:rPr>
        <w:t>,</w:t>
      </w:r>
      <w:r w:rsidR="00AF4E04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6209.95; variable x 1</w:t>
      </w:r>
      <w:r w:rsidR="003850FE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, 3868.29. </w:t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br/>
        <w:t>R²:</w:t>
      </w:r>
      <w:r w:rsidR="003A4105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  <w:r w:rsidR="00EC5200">
        <w:rPr>
          <w:rFonts w:ascii="Arial" w:hAnsi="Arial" w:cs="Arial"/>
          <w:color w:val="000000" w:themeColor="text1"/>
          <w:sz w:val="24"/>
          <w:szCs w:val="24"/>
          <w:lang w:val="es-DO"/>
        </w:rPr>
        <w:t>El resultado es 0.003.</w:t>
      </w:r>
      <w:r w:rsidR="00724F07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</w:p>
    <w:p w14:paraId="27CA85AB" w14:textId="0A8E0A05" w:rsidR="00711D85" w:rsidRDefault="00E56438" w:rsidP="00DA040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>El resultado de R² indica que menos del 1%</w:t>
      </w:r>
      <w:r w:rsidR="00AC3276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de la variabilidad del producto es explicada por el precio. Esto se explica también con el coeficiente, ya que el volumen de venta no </w:t>
      </w:r>
      <w:r w:rsidR="731ECEFA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>está</w:t>
      </w:r>
      <w:r w:rsidR="00AC3276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ligado totalmente al precio del producto y el resultado del coeficiente indica que por cada dólar de aumento</w:t>
      </w:r>
      <w:r w:rsidR="000E1E92" w:rsidRPr="2DDBD97A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también aumentara el volumen de ventas en 3,868.29 unidades. </w:t>
      </w:r>
      <w:r w:rsidRPr="00081B72">
        <w:rPr>
          <w:lang w:val="es-DO"/>
        </w:rPr>
        <w:br/>
      </w:r>
    </w:p>
    <w:p w14:paraId="2E4D3630" w14:textId="77777777" w:rsidR="00B615B2" w:rsidRPr="009D0F5A" w:rsidRDefault="00B615B2" w:rsidP="009A7CF4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</w:p>
    <w:p w14:paraId="2CCBC5EA" w14:textId="5C168A06" w:rsidR="00B615B2" w:rsidRDefault="00E06364" w:rsidP="009A7CF4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B615B2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lastRenderedPageBreak/>
        <w:t>6. Modelo Logarítmico (Elasticidad)</w:t>
      </w:r>
      <w:r w:rsidR="00A26D01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 xml:space="preserve">. </w:t>
      </w:r>
      <w:r w:rsidR="4E4D9430" w:rsidRPr="61FCE3C6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Orgánico</w:t>
      </w:r>
      <w:r w:rsidR="00A26D01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 xml:space="preserve"> y convencional en Albany y Boston</w:t>
      </w:r>
    </w:p>
    <w:p w14:paraId="674431D4" w14:textId="77777777" w:rsidR="00524629" w:rsidRDefault="00B615B2" w:rsidP="009A7CF4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La </w:t>
      </w:r>
      <w:r w:rsidR="00BB1AB5">
        <w:rPr>
          <w:rFonts w:ascii="Arial" w:hAnsi="Arial" w:cs="Arial"/>
          <w:color w:val="000000" w:themeColor="text1"/>
          <w:sz w:val="24"/>
          <w:szCs w:val="24"/>
          <w:lang w:val="es-DO"/>
        </w:rPr>
        <w:t>fórmula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para obtener </w:t>
      </w:r>
      <w:r w:rsidR="00BB1AB5">
        <w:rPr>
          <w:rFonts w:ascii="Arial" w:hAnsi="Arial" w:cs="Arial"/>
          <w:color w:val="000000" w:themeColor="text1"/>
          <w:sz w:val="24"/>
          <w:szCs w:val="24"/>
          <w:lang w:val="es-DO"/>
        </w:rPr>
        <w:t>los valores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DO"/>
        </w:rPr>
        <w:t>Ln</w:t>
      </w:r>
      <w:proofErr w:type="spellEnd"/>
      <w:r w:rsidR="00B50C20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fue: </w:t>
      </w:r>
      <w:r w:rsidR="00C50E03">
        <w:rPr>
          <w:rFonts w:ascii="Arial" w:hAnsi="Arial" w:cs="Arial"/>
          <w:color w:val="000000" w:themeColor="text1"/>
          <w:sz w:val="24"/>
          <w:szCs w:val="24"/>
          <w:lang w:val="es-DO"/>
        </w:rPr>
        <w:t>=</w:t>
      </w:r>
      <w:proofErr w:type="spellStart"/>
      <w:r w:rsidR="00C50E03">
        <w:rPr>
          <w:rFonts w:ascii="Arial" w:hAnsi="Arial" w:cs="Arial"/>
          <w:color w:val="000000" w:themeColor="text1"/>
          <w:sz w:val="24"/>
          <w:szCs w:val="24"/>
          <w:lang w:val="es-DO"/>
        </w:rPr>
        <w:t>Ln</w:t>
      </w:r>
      <w:proofErr w:type="spellEnd"/>
      <w:r w:rsidR="00C50E03">
        <w:rPr>
          <w:rFonts w:ascii="Arial" w:hAnsi="Arial" w:cs="Arial"/>
          <w:color w:val="000000" w:themeColor="text1"/>
          <w:sz w:val="24"/>
          <w:szCs w:val="24"/>
          <w:lang w:val="es-DO"/>
        </w:rPr>
        <w:t>(numero).</w:t>
      </w:r>
    </w:p>
    <w:p w14:paraId="1CC1BD3D" w14:textId="77777777" w:rsidR="00DA040C" w:rsidRDefault="00F42222" w:rsidP="009A7CF4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F42222">
        <w:rPr>
          <w:noProof/>
        </w:rPr>
        <w:drawing>
          <wp:inline distT="0" distB="0" distL="0" distR="0" wp14:anchorId="14D589F9" wp14:editId="3F2A8A4C">
            <wp:extent cx="8229600" cy="2395220"/>
            <wp:effectExtent l="0" t="0" r="0" b="5080"/>
            <wp:docPr id="13720606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br/>
        <w:t>Coeficiente: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  <w:r w:rsidR="006C3B12">
        <w:rPr>
          <w:rFonts w:ascii="Arial" w:hAnsi="Arial" w:cs="Arial"/>
          <w:color w:val="000000" w:themeColor="text1"/>
          <w:sz w:val="24"/>
          <w:szCs w:val="24"/>
          <w:lang w:val="es-DO"/>
        </w:rPr>
        <w:t>-</w:t>
      </w:r>
      <w:r w:rsidR="00DA040C">
        <w:rPr>
          <w:rFonts w:ascii="Arial" w:hAnsi="Arial" w:cs="Arial"/>
          <w:color w:val="000000" w:themeColor="text1"/>
          <w:sz w:val="24"/>
          <w:szCs w:val="24"/>
          <w:lang w:val="es-DO"/>
        </w:rPr>
        <w:t>5%</w:t>
      </w:r>
      <w:r w:rsidR="006C3B12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por cada dólar. </w:t>
      </w:r>
    </w:p>
    <w:p w14:paraId="1F76BA54" w14:textId="642307D3" w:rsidR="00711D85" w:rsidRPr="009D0F5A" w:rsidRDefault="007D2753" w:rsidP="00DA040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Para estos valores se </w:t>
      </w:r>
      <w:r w:rsidR="009C33C6">
        <w:rPr>
          <w:rFonts w:ascii="Arial" w:hAnsi="Arial" w:cs="Arial"/>
          <w:color w:val="000000" w:themeColor="text1"/>
          <w:sz w:val="24"/>
          <w:szCs w:val="24"/>
          <w:lang w:val="es-DO"/>
        </w:rPr>
        <w:t>utilizó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la muestra de los aguacates </w:t>
      </w:r>
      <w:r w:rsidR="00DA040C">
        <w:rPr>
          <w:rFonts w:ascii="Arial" w:hAnsi="Arial" w:cs="Arial"/>
          <w:color w:val="000000" w:themeColor="text1"/>
          <w:sz w:val="24"/>
          <w:szCs w:val="24"/>
          <w:lang w:val="es-DO"/>
        </w:rPr>
        <w:t>orgánicos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y convencionales vendidos en Albany y Boston. El resultado indica que el volumen depende en un </w:t>
      </w:r>
      <w:r w:rsidR="0075047F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36.01% del precio. Esto se refleja en el coeficiente, </w:t>
      </w:r>
      <w:r w:rsidR="00B46A3F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indicando una reducción de </w:t>
      </w:r>
      <w:r w:rsidR="00DA040C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5% en el volumen de ventas por cada 1 de aumento en el precio. </w:t>
      </w:r>
    </w:p>
    <w:p w14:paraId="5EDF56C5" w14:textId="15C9BA66" w:rsidR="00CB3CB3" w:rsidRPr="00081B72" w:rsidRDefault="00CB3CB3" w:rsidP="009A7CF4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sectPr w:rsidR="00CB3CB3" w:rsidRPr="00081B72" w:rsidSect="00FF282F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594AE141" w14:textId="725E41F7" w:rsidR="00EB3C76" w:rsidRPr="00CB3CB3" w:rsidRDefault="00E06364" w:rsidP="009A7CF4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</w:pPr>
      <w:r w:rsidRPr="00CB3CB3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lastRenderedPageBreak/>
        <w:t>7. F</w:t>
      </w:r>
      <w:proofErr w:type="spellStart"/>
      <w:r w:rsidRPr="00CB3CB3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>orecast</w:t>
      </w:r>
      <w:proofErr w:type="spellEnd"/>
      <w:r w:rsidRPr="00CB3CB3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 xml:space="preserve"> a 3 Meses</w:t>
      </w:r>
      <w:r w:rsidR="007E354C" w:rsidRPr="00CB3CB3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 xml:space="preserve">. Aguacates orgánicos, Albany. </w:t>
      </w:r>
    </w:p>
    <w:p w14:paraId="0598771F" w14:textId="77777777" w:rsidR="001C0A4A" w:rsidRDefault="00EB3C76" w:rsidP="001C0A4A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noProof/>
        </w:rPr>
        <w:drawing>
          <wp:inline distT="0" distB="0" distL="0" distR="0" wp14:anchorId="338896AD" wp14:editId="61CA9374">
            <wp:extent cx="5577840" cy="3314700"/>
            <wp:effectExtent l="0" t="0" r="3810" b="0"/>
            <wp:docPr id="23788654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C37A7CA-CABD-F139-92BD-889094CCB2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A94BF1F" w14:textId="56D9A6AC" w:rsidR="001C0A4A" w:rsidRDefault="001C0A4A" w:rsidP="001C0A4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La </w:t>
      </w:r>
      <w:r w:rsidR="263B9BE9" w:rsidRPr="61FCE3C6">
        <w:rPr>
          <w:rFonts w:ascii="Arial" w:hAnsi="Arial" w:cs="Arial"/>
          <w:color w:val="000000" w:themeColor="text1"/>
          <w:sz w:val="24"/>
          <w:szCs w:val="24"/>
          <w:lang w:val="es-DO"/>
        </w:rPr>
        <w:t>fórmula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se </w:t>
      </w:r>
      <w:r w:rsidR="5523F4AB" w:rsidRPr="61FCE3C6">
        <w:rPr>
          <w:rFonts w:ascii="Arial" w:hAnsi="Arial" w:cs="Arial"/>
          <w:color w:val="000000" w:themeColor="text1"/>
          <w:sz w:val="24"/>
          <w:szCs w:val="24"/>
          <w:lang w:val="es-DO"/>
        </w:rPr>
        <w:t>realizó</w:t>
      </w: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con los valores de</w:t>
      </w:r>
      <w:r w:rsidR="007E354C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l precio de los aguacates orgánicos vendidos en Albany. </w:t>
      </w:r>
    </w:p>
    <w:p w14:paraId="01FB886C" w14:textId="2AE33916" w:rsidR="00032659" w:rsidRDefault="00E06364" w:rsidP="001C0A4A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Proyección estimada:</w:t>
      </w:r>
      <w:r w:rsidR="00FF07E9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disminución del precio</w:t>
      </w:r>
      <w:r w:rsidR="00032659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y </w:t>
      </w:r>
      <w:r w:rsidR="00032659" w:rsidRPr="009D0F5A">
        <w:rPr>
          <w:rFonts w:ascii="Arial" w:hAnsi="Arial" w:cs="Arial"/>
          <w:color w:val="000000" w:themeColor="text1"/>
          <w:sz w:val="24"/>
          <w:szCs w:val="24"/>
          <w:lang w:val="es-DO"/>
        </w:rPr>
        <w:t>R²</w:t>
      </w:r>
      <w:r w:rsidR="00032659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en 31.72%.</w:t>
      </w:r>
    </w:p>
    <w:p w14:paraId="46339B06" w14:textId="77D4A375" w:rsidR="00032659" w:rsidRPr="009D0F5A" w:rsidRDefault="00E235EA" w:rsidP="004D038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DO"/>
        </w:rPr>
      </w:pPr>
      <w:r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Es necesario </w:t>
      </w:r>
      <w:r w:rsidR="005035D8">
        <w:rPr>
          <w:rFonts w:ascii="Arial" w:hAnsi="Arial" w:cs="Arial"/>
          <w:color w:val="000000" w:themeColor="text1"/>
          <w:sz w:val="24"/>
          <w:szCs w:val="24"/>
          <w:lang w:val="es-DO"/>
        </w:rPr>
        <w:t>actuar preventivamente realizando ajuste de promoción, logística</w:t>
      </w:r>
      <w:r w:rsidR="004D0387">
        <w:rPr>
          <w:rFonts w:ascii="Arial" w:hAnsi="Arial" w:cs="Arial"/>
          <w:color w:val="000000" w:themeColor="text1"/>
          <w:sz w:val="24"/>
          <w:szCs w:val="24"/>
          <w:lang w:val="es-DO"/>
        </w:rPr>
        <w:t>, optimización de costos</w:t>
      </w:r>
      <w:r w:rsidR="005035D8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y almacenamiento por la posible reducción de precios en 3 meses. Un punto positivo que tenemos es que en otras áreas geográficas la situación es distinta, pero aun </w:t>
      </w:r>
      <w:r w:rsidR="00CB3CB3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así no </w:t>
      </w:r>
      <w:r w:rsidR="005026EF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se debe descuidar Albany. </w:t>
      </w:r>
    </w:p>
    <w:sectPr w:rsidR="00032659" w:rsidRPr="009D0F5A" w:rsidSect="00CB3C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0D40BE"/>
    <w:multiLevelType w:val="hybridMultilevel"/>
    <w:tmpl w:val="E2E6531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E2FAE"/>
    <w:multiLevelType w:val="hybridMultilevel"/>
    <w:tmpl w:val="BA5A9C4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732DD"/>
    <w:multiLevelType w:val="hybridMultilevel"/>
    <w:tmpl w:val="E0128CC2"/>
    <w:lvl w:ilvl="0" w:tplc="4C3AC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84E54"/>
    <w:multiLevelType w:val="hybridMultilevel"/>
    <w:tmpl w:val="84564E6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A5C5F"/>
    <w:multiLevelType w:val="hybridMultilevel"/>
    <w:tmpl w:val="D68EA56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249435">
    <w:abstractNumId w:val="8"/>
  </w:num>
  <w:num w:numId="2" w16cid:durableId="1124812085">
    <w:abstractNumId w:val="6"/>
  </w:num>
  <w:num w:numId="3" w16cid:durableId="1611235321">
    <w:abstractNumId w:val="5"/>
  </w:num>
  <w:num w:numId="4" w16cid:durableId="527378777">
    <w:abstractNumId w:val="4"/>
  </w:num>
  <w:num w:numId="5" w16cid:durableId="1838810442">
    <w:abstractNumId w:val="7"/>
  </w:num>
  <w:num w:numId="6" w16cid:durableId="69890188">
    <w:abstractNumId w:val="3"/>
  </w:num>
  <w:num w:numId="7" w16cid:durableId="440028406">
    <w:abstractNumId w:val="2"/>
  </w:num>
  <w:num w:numId="8" w16cid:durableId="442773837">
    <w:abstractNumId w:val="1"/>
  </w:num>
  <w:num w:numId="9" w16cid:durableId="1095054039">
    <w:abstractNumId w:val="0"/>
  </w:num>
  <w:num w:numId="10" w16cid:durableId="1229077834">
    <w:abstractNumId w:val="13"/>
  </w:num>
  <w:num w:numId="11" w16cid:durableId="517626596">
    <w:abstractNumId w:val="11"/>
  </w:num>
  <w:num w:numId="12" w16cid:durableId="1024986214">
    <w:abstractNumId w:val="12"/>
  </w:num>
  <w:num w:numId="13" w16cid:durableId="440761669">
    <w:abstractNumId w:val="9"/>
  </w:num>
  <w:num w:numId="14" w16cid:durableId="1359308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659"/>
    <w:rsid w:val="00034616"/>
    <w:rsid w:val="000458EF"/>
    <w:rsid w:val="0006063C"/>
    <w:rsid w:val="00081B72"/>
    <w:rsid w:val="00081C65"/>
    <w:rsid w:val="000A78C8"/>
    <w:rsid w:val="000E1E92"/>
    <w:rsid w:val="00126433"/>
    <w:rsid w:val="0015074B"/>
    <w:rsid w:val="0017165C"/>
    <w:rsid w:val="0017796A"/>
    <w:rsid w:val="0018466C"/>
    <w:rsid w:val="001A2C55"/>
    <w:rsid w:val="001B4396"/>
    <w:rsid w:val="001C0A4A"/>
    <w:rsid w:val="0021123B"/>
    <w:rsid w:val="002464EA"/>
    <w:rsid w:val="00255D13"/>
    <w:rsid w:val="00257F8A"/>
    <w:rsid w:val="0028577D"/>
    <w:rsid w:val="00292832"/>
    <w:rsid w:val="0029639D"/>
    <w:rsid w:val="002F20EB"/>
    <w:rsid w:val="00317B3F"/>
    <w:rsid w:val="00326F90"/>
    <w:rsid w:val="0035738F"/>
    <w:rsid w:val="00365341"/>
    <w:rsid w:val="003850FE"/>
    <w:rsid w:val="003A40A2"/>
    <w:rsid w:val="003A4105"/>
    <w:rsid w:val="00415015"/>
    <w:rsid w:val="004A1D44"/>
    <w:rsid w:val="004C5675"/>
    <w:rsid w:val="004D0387"/>
    <w:rsid w:val="005026EF"/>
    <w:rsid w:val="005035D8"/>
    <w:rsid w:val="00524629"/>
    <w:rsid w:val="005256D4"/>
    <w:rsid w:val="00545735"/>
    <w:rsid w:val="00575F90"/>
    <w:rsid w:val="005A54D7"/>
    <w:rsid w:val="005E3D22"/>
    <w:rsid w:val="0062257E"/>
    <w:rsid w:val="00624549"/>
    <w:rsid w:val="0065309E"/>
    <w:rsid w:val="006556CF"/>
    <w:rsid w:val="006648B1"/>
    <w:rsid w:val="006C3B12"/>
    <w:rsid w:val="006D1B3A"/>
    <w:rsid w:val="006D326E"/>
    <w:rsid w:val="006F3B23"/>
    <w:rsid w:val="00705050"/>
    <w:rsid w:val="0071191F"/>
    <w:rsid w:val="00711D85"/>
    <w:rsid w:val="00717BCC"/>
    <w:rsid w:val="00724F07"/>
    <w:rsid w:val="00731455"/>
    <w:rsid w:val="0075047F"/>
    <w:rsid w:val="00751D33"/>
    <w:rsid w:val="00770EBB"/>
    <w:rsid w:val="007B55F7"/>
    <w:rsid w:val="007D190D"/>
    <w:rsid w:val="007D2753"/>
    <w:rsid w:val="007D494D"/>
    <w:rsid w:val="007E354C"/>
    <w:rsid w:val="008106AF"/>
    <w:rsid w:val="008536B8"/>
    <w:rsid w:val="008801DA"/>
    <w:rsid w:val="0088518D"/>
    <w:rsid w:val="008B013A"/>
    <w:rsid w:val="008D27C9"/>
    <w:rsid w:val="008D4141"/>
    <w:rsid w:val="008D5665"/>
    <w:rsid w:val="00927C86"/>
    <w:rsid w:val="009510B3"/>
    <w:rsid w:val="00974048"/>
    <w:rsid w:val="009A7CF4"/>
    <w:rsid w:val="009C33C6"/>
    <w:rsid w:val="009D0F5A"/>
    <w:rsid w:val="00A26D01"/>
    <w:rsid w:val="00A30894"/>
    <w:rsid w:val="00A42D5A"/>
    <w:rsid w:val="00A544EB"/>
    <w:rsid w:val="00A767C8"/>
    <w:rsid w:val="00AA04E0"/>
    <w:rsid w:val="00AA1D8D"/>
    <w:rsid w:val="00AA27E6"/>
    <w:rsid w:val="00AB5D70"/>
    <w:rsid w:val="00AC3276"/>
    <w:rsid w:val="00AC5E5A"/>
    <w:rsid w:val="00AD3743"/>
    <w:rsid w:val="00AF1C37"/>
    <w:rsid w:val="00AF4E04"/>
    <w:rsid w:val="00B335D9"/>
    <w:rsid w:val="00B3478D"/>
    <w:rsid w:val="00B46A3F"/>
    <w:rsid w:val="00B47730"/>
    <w:rsid w:val="00B50C20"/>
    <w:rsid w:val="00B615B2"/>
    <w:rsid w:val="00B772CF"/>
    <w:rsid w:val="00BB1AB5"/>
    <w:rsid w:val="00BE6AD7"/>
    <w:rsid w:val="00BF7728"/>
    <w:rsid w:val="00C02681"/>
    <w:rsid w:val="00C06424"/>
    <w:rsid w:val="00C4262C"/>
    <w:rsid w:val="00C50E03"/>
    <w:rsid w:val="00C600C6"/>
    <w:rsid w:val="00C642BD"/>
    <w:rsid w:val="00CB0664"/>
    <w:rsid w:val="00CB3CB3"/>
    <w:rsid w:val="00CD2006"/>
    <w:rsid w:val="00CE00CA"/>
    <w:rsid w:val="00CF2146"/>
    <w:rsid w:val="00D232A5"/>
    <w:rsid w:val="00D31B69"/>
    <w:rsid w:val="00D448B7"/>
    <w:rsid w:val="00D5698E"/>
    <w:rsid w:val="00D70548"/>
    <w:rsid w:val="00D7156A"/>
    <w:rsid w:val="00DA040C"/>
    <w:rsid w:val="00DB478D"/>
    <w:rsid w:val="00DD61A7"/>
    <w:rsid w:val="00DE3AA9"/>
    <w:rsid w:val="00E02EF1"/>
    <w:rsid w:val="00E06364"/>
    <w:rsid w:val="00E06951"/>
    <w:rsid w:val="00E17F96"/>
    <w:rsid w:val="00E235EA"/>
    <w:rsid w:val="00E35299"/>
    <w:rsid w:val="00E56438"/>
    <w:rsid w:val="00E57F47"/>
    <w:rsid w:val="00E721EF"/>
    <w:rsid w:val="00E76150"/>
    <w:rsid w:val="00EB3C76"/>
    <w:rsid w:val="00EB5269"/>
    <w:rsid w:val="00EC5200"/>
    <w:rsid w:val="00ED3463"/>
    <w:rsid w:val="00F13728"/>
    <w:rsid w:val="00F1734F"/>
    <w:rsid w:val="00F42222"/>
    <w:rsid w:val="00F47ADB"/>
    <w:rsid w:val="00F60A35"/>
    <w:rsid w:val="00F6676F"/>
    <w:rsid w:val="00FC693F"/>
    <w:rsid w:val="00FF07E9"/>
    <w:rsid w:val="00FF282F"/>
    <w:rsid w:val="07AF2A40"/>
    <w:rsid w:val="11EF3ECA"/>
    <w:rsid w:val="16531995"/>
    <w:rsid w:val="263B9BE9"/>
    <w:rsid w:val="2DDBD97A"/>
    <w:rsid w:val="4E4D9430"/>
    <w:rsid w:val="5523F4AB"/>
    <w:rsid w:val="61FCE3C6"/>
    <w:rsid w:val="731EC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E87D84"/>
  <w14:defaultImageDpi w14:val="300"/>
  <w15:docId w15:val="{B976A516-A56E-B846-BD99-186658EC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3-nfasis3">
    <w:name w:val="Grid Table 3 Accent 3"/>
    <w:basedOn w:val="Tablanormal"/>
    <w:uiPriority w:val="48"/>
    <w:rsid w:val="00AF1C3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4-nfasis3">
    <w:name w:val="Grid Table 4 Accent 3"/>
    <w:basedOn w:val="Tablanormal"/>
    <w:uiPriority w:val="49"/>
    <w:rsid w:val="00AF1C3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AF1C3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normal1">
    <w:name w:val="Plain Table 1"/>
    <w:basedOn w:val="Tablanormal"/>
    <w:uiPriority w:val="99"/>
    <w:rsid w:val="00AF1C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7concolores">
    <w:name w:val="Grid Table 7 Colorful"/>
    <w:basedOn w:val="Tablanormal"/>
    <w:uiPriority w:val="52"/>
    <w:rsid w:val="00F6676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4/relationships/chartEx" Target="charts/chartEx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napecedu-my.sharepoint.com/personal/r_brazoban1_unapec_edu_do/Documents/Master%20business%20intelligence%20+%20Data/Semestre%20ene-may%202026/An&#225;lisis%20de%20Datos%20Masivos%20para%20Negocios/Actividad%201.%20Dato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https://unapecedu-my.sharepoint.com/personal/r_brazoban1_unapec_edu_do/Documents/Master%20business%20intelligence%20+%20Data/Semestre%20ene-may%202026/An&#225;lisis%20de%20Datos%20Masivos%20para%20Negocios/Actividad%201.%20Datos.xlsx" TargetMode="External"/><Relationship Id="rId4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DO"/>
              <a:t>Forecast 3 meses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D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12"/>
            <c:dispRSqr val="1"/>
            <c:dispEq val="1"/>
            <c:trendlineLbl>
              <c:layout>
                <c:manualLayout>
                  <c:x val="1.9289310690468329E-2"/>
                  <c:y val="0.138858845305544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DO"/>
                </a:p>
              </c:txPr>
            </c:trendlineLbl>
          </c:trendline>
          <c:cat>
            <c:numRef>
              <c:f>Forecast!$A$3:$A$308</c:f>
              <c:numCache>
                <c:formatCode>m/d/yyyy</c:formatCode>
                <c:ptCount val="306"/>
                <c:pt idx="0">
                  <c:v>42008</c:v>
                </c:pt>
                <c:pt idx="1">
                  <c:v>42015</c:v>
                </c:pt>
                <c:pt idx="2">
                  <c:v>42022</c:v>
                </c:pt>
                <c:pt idx="3">
                  <c:v>42029</c:v>
                </c:pt>
                <c:pt idx="4">
                  <c:v>42036</c:v>
                </c:pt>
                <c:pt idx="5">
                  <c:v>42043</c:v>
                </c:pt>
                <c:pt idx="6">
                  <c:v>42050</c:v>
                </c:pt>
                <c:pt idx="7">
                  <c:v>42057</c:v>
                </c:pt>
                <c:pt idx="8">
                  <c:v>42064</c:v>
                </c:pt>
                <c:pt idx="9">
                  <c:v>42071</c:v>
                </c:pt>
                <c:pt idx="10">
                  <c:v>42078</c:v>
                </c:pt>
                <c:pt idx="11">
                  <c:v>42085</c:v>
                </c:pt>
                <c:pt idx="12">
                  <c:v>42092</c:v>
                </c:pt>
                <c:pt idx="13">
                  <c:v>42099</c:v>
                </c:pt>
                <c:pt idx="14">
                  <c:v>42106</c:v>
                </c:pt>
                <c:pt idx="15">
                  <c:v>42113</c:v>
                </c:pt>
                <c:pt idx="16">
                  <c:v>42120</c:v>
                </c:pt>
                <c:pt idx="17">
                  <c:v>42127</c:v>
                </c:pt>
                <c:pt idx="18">
                  <c:v>42134</c:v>
                </c:pt>
                <c:pt idx="19">
                  <c:v>42141</c:v>
                </c:pt>
                <c:pt idx="20">
                  <c:v>42148</c:v>
                </c:pt>
                <c:pt idx="21">
                  <c:v>42155</c:v>
                </c:pt>
                <c:pt idx="22">
                  <c:v>42162</c:v>
                </c:pt>
                <c:pt idx="23">
                  <c:v>42169</c:v>
                </c:pt>
                <c:pt idx="24">
                  <c:v>42176</c:v>
                </c:pt>
                <c:pt idx="25">
                  <c:v>42183</c:v>
                </c:pt>
                <c:pt idx="26">
                  <c:v>42190</c:v>
                </c:pt>
                <c:pt idx="27">
                  <c:v>42197</c:v>
                </c:pt>
                <c:pt idx="28">
                  <c:v>42204</c:v>
                </c:pt>
                <c:pt idx="29">
                  <c:v>42211</c:v>
                </c:pt>
                <c:pt idx="30">
                  <c:v>42218</c:v>
                </c:pt>
                <c:pt idx="31">
                  <c:v>42225</c:v>
                </c:pt>
                <c:pt idx="32">
                  <c:v>42232</c:v>
                </c:pt>
                <c:pt idx="33">
                  <c:v>42239</c:v>
                </c:pt>
                <c:pt idx="34">
                  <c:v>42246</c:v>
                </c:pt>
                <c:pt idx="35">
                  <c:v>42253</c:v>
                </c:pt>
                <c:pt idx="36">
                  <c:v>42260</c:v>
                </c:pt>
                <c:pt idx="37">
                  <c:v>42267</c:v>
                </c:pt>
                <c:pt idx="38">
                  <c:v>42274</c:v>
                </c:pt>
                <c:pt idx="39">
                  <c:v>42281</c:v>
                </c:pt>
                <c:pt idx="40">
                  <c:v>42288</c:v>
                </c:pt>
                <c:pt idx="41">
                  <c:v>42295</c:v>
                </c:pt>
                <c:pt idx="42">
                  <c:v>42302</c:v>
                </c:pt>
                <c:pt idx="43">
                  <c:v>42309</c:v>
                </c:pt>
                <c:pt idx="44">
                  <c:v>42316</c:v>
                </c:pt>
                <c:pt idx="45">
                  <c:v>42323</c:v>
                </c:pt>
                <c:pt idx="46">
                  <c:v>42330</c:v>
                </c:pt>
                <c:pt idx="47">
                  <c:v>42337</c:v>
                </c:pt>
                <c:pt idx="48">
                  <c:v>42344</c:v>
                </c:pt>
                <c:pt idx="49">
                  <c:v>42351</c:v>
                </c:pt>
                <c:pt idx="50">
                  <c:v>42358</c:v>
                </c:pt>
                <c:pt idx="51">
                  <c:v>42365</c:v>
                </c:pt>
                <c:pt idx="52">
                  <c:v>42372</c:v>
                </c:pt>
                <c:pt idx="53">
                  <c:v>42379</c:v>
                </c:pt>
                <c:pt idx="54">
                  <c:v>42386</c:v>
                </c:pt>
                <c:pt idx="55">
                  <c:v>42393</c:v>
                </c:pt>
                <c:pt idx="56">
                  <c:v>42400</c:v>
                </c:pt>
                <c:pt idx="57">
                  <c:v>42407</c:v>
                </c:pt>
                <c:pt idx="58">
                  <c:v>42414</c:v>
                </c:pt>
                <c:pt idx="59">
                  <c:v>42421</c:v>
                </c:pt>
                <c:pt idx="60">
                  <c:v>42428</c:v>
                </c:pt>
                <c:pt idx="61">
                  <c:v>42435</c:v>
                </c:pt>
                <c:pt idx="62">
                  <c:v>42442</c:v>
                </c:pt>
                <c:pt idx="63">
                  <c:v>42449</c:v>
                </c:pt>
                <c:pt idx="64">
                  <c:v>42456</c:v>
                </c:pt>
                <c:pt idx="65">
                  <c:v>42463</c:v>
                </c:pt>
                <c:pt idx="66">
                  <c:v>42470</c:v>
                </c:pt>
                <c:pt idx="67">
                  <c:v>42477</c:v>
                </c:pt>
                <c:pt idx="68">
                  <c:v>42484</c:v>
                </c:pt>
                <c:pt idx="69">
                  <c:v>42491</c:v>
                </c:pt>
                <c:pt idx="70">
                  <c:v>42498</c:v>
                </c:pt>
                <c:pt idx="71">
                  <c:v>42505</c:v>
                </c:pt>
                <c:pt idx="72">
                  <c:v>42512</c:v>
                </c:pt>
                <c:pt idx="73">
                  <c:v>42519</c:v>
                </c:pt>
                <c:pt idx="74">
                  <c:v>42526</c:v>
                </c:pt>
                <c:pt idx="75">
                  <c:v>42533</c:v>
                </c:pt>
                <c:pt idx="76">
                  <c:v>42540</c:v>
                </c:pt>
                <c:pt idx="77">
                  <c:v>42547</c:v>
                </c:pt>
                <c:pt idx="78">
                  <c:v>42554</c:v>
                </c:pt>
                <c:pt idx="79">
                  <c:v>42561</c:v>
                </c:pt>
                <c:pt idx="80">
                  <c:v>42568</c:v>
                </c:pt>
                <c:pt idx="81">
                  <c:v>42575</c:v>
                </c:pt>
                <c:pt idx="82">
                  <c:v>42582</c:v>
                </c:pt>
                <c:pt idx="83">
                  <c:v>42589</c:v>
                </c:pt>
                <c:pt idx="84">
                  <c:v>42596</c:v>
                </c:pt>
                <c:pt idx="85">
                  <c:v>42603</c:v>
                </c:pt>
                <c:pt idx="86">
                  <c:v>42610</c:v>
                </c:pt>
                <c:pt idx="87">
                  <c:v>42617</c:v>
                </c:pt>
                <c:pt idx="88">
                  <c:v>42624</c:v>
                </c:pt>
                <c:pt idx="89">
                  <c:v>42631</c:v>
                </c:pt>
                <c:pt idx="90">
                  <c:v>42638</c:v>
                </c:pt>
                <c:pt idx="91">
                  <c:v>42645</c:v>
                </c:pt>
                <c:pt idx="92">
                  <c:v>42652</c:v>
                </c:pt>
                <c:pt idx="93">
                  <c:v>42659</c:v>
                </c:pt>
                <c:pt idx="94">
                  <c:v>42666</c:v>
                </c:pt>
                <c:pt idx="95">
                  <c:v>42673</c:v>
                </c:pt>
                <c:pt idx="96">
                  <c:v>42680</c:v>
                </c:pt>
                <c:pt idx="97">
                  <c:v>42687</c:v>
                </c:pt>
                <c:pt idx="98">
                  <c:v>42694</c:v>
                </c:pt>
                <c:pt idx="99">
                  <c:v>42701</c:v>
                </c:pt>
                <c:pt idx="100">
                  <c:v>42708</c:v>
                </c:pt>
                <c:pt idx="101">
                  <c:v>42715</c:v>
                </c:pt>
                <c:pt idx="102">
                  <c:v>42722</c:v>
                </c:pt>
                <c:pt idx="103">
                  <c:v>42729</c:v>
                </c:pt>
                <c:pt idx="104">
                  <c:v>42736</c:v>
                </c:pt>
                <c:pt idx="105">
                  <c:v>42743</c:v>
                </c:pt>
                <c:pt idx="106">
                  <c:v>42750</c:v>
                </c:pt>
                <c:pt idx="107">
                  <c:v>42757</c:v>
                </c:pt>
                <c:pt idx="108">
                  <c:v>42764</c:v>
                </c:pt>
                <c:pt idx="109">
                  <c:v>42771</c:v>
                </c:pt>
                <c:pt idx="110">
                  <c:v>42778</c:v>
                </c:pt>
                <c:pt idx="111">
                  <c:v>42785</c:v>
                </c:pt>
                <c:pt idx="112">
                  <c:v>42792</c:v>
                </c:pt>
                <c:pt idx="113">
                  <c:v>42799</c:v>
                </c:pt>
                <c:pt idx="114">
                  <c:v>42806</c:v>
                </c:pt>
                <c:pt idx="115">
                  <c:v>42813</c:v>
                </c:pt>
                <c:pt idx="116">
                  <c:v>42820</c:v>
                </c:pt>
                <c:pt idx="117">
                  <c:v>42827</c:v>
                </c:pt>
                <c:pt idx="118">
                  <c:v>42834</c:v>
                </c:pt>
                <c:pt idx="119">
                  <c:v>42841</c:v>
                </c:pt>
                <c:pt idx="120">
                  <c:v>42848</c:v>
                </c:pt>
                <c:pt idx="121">
                  <c:v>42855</c:v>
                </c:pt>
                <c:pt idx="122">
                  <c:v>42862</c:v>
                </c:pt>
                <c:pt idx="123">
                  <c:v>42869</c:v>
                </c:pt>
                <c:pt idx="124">
                  <c:v>42876</c:v>
                </c:pt>
                <c:pt idx="125">
                  <c:v>42883</c:v>
                </c:pt>
                <c:pt idx="126">
                  <c:v>42890</c:v>
                </c:pt>
                <c:pt idx="127">
                  <c:v>42897</c:v>
                </c:pt>
                <c:pt idx="128">
                  <c:v>42904</c:v>
                </c:pt>
                <c:pt idx="129">
                  <c:v>42911</c:v>
                </c:pt>
                <c:pt idx="130">
                  <c:v>42918</c:v>
                </c:pt>
                <c:pt idx="131">
                  <c:v>42925</c:v>
                </c:pt>
                <c:pt idx="132">
                  <c:v>42932</c:v>
                </c:pt>
                <c:pt idx="133">
                  <c:v>42939</c:v>
                </c:pt>
                <c:pt idx="134">
                  <c:v>42946</c:v>
                </c:pt>
                <c:pt idx="135">
                  <c:v>42953</c:v>
                </c:pt>
                <c:pt idx="136">
                  <c:v>42960</c:v>
                </c:pt>
                <c:pt idx="137">
                  <c:v>42967</c:v>
                </c:pt>
                <c:pt idx="138">
                  <c:v>42974</c:v>
                </c:pt>
                <c:pt idx="139">
                  <c:v>42981</c:v>
                </c:pt>
                <c:pt idx="140">
                  <c:v>42988</c:v>
                </c:pt>
                <c:pt idx="141">
                  <c:v>42995</c:v>
                </c:pt>
                <c:pt idx="142">
                  <c:v>43002</c:v>
                </c:pt>
                <c:pt idx="143">
                  <c:v>43009</c:v>
                </c:pt>
                <c:pt idx="144">
                  <c:v>43016</c:v>
                </c:pt>
                <c:pt idx="145">
                  <c:v>43023</c:v>
                </c:pt>
                <c:pt idx="146">
                  <c:v>43030</c:v>
                </c:pt>
                <c:pt idx="147">
                  <c:v>43037</c:v>
                </c:pt>
                <c:pt idx="148">
                  <c:v>43044</c:v>
                </c:pt>
                <c:pt idx="149">
                  <c:v>43051</c:v>
                </c:pt>
                <c:pt idx="150">
                  <c:v>43058</c:v>
                </c:pt>
                <c:pt idx="151">
                  <c:v>43065</c:v>
                </c:pt>
                <c:pt idx="152">
                  <c:v>43072</c:v>
                </c:pt>
                <c:pt idx="153">
                  <c:v>43079</c:v>
                </c:pt>
                <c:pt idx="154">
                  <c:v>43086</c:v>
                </c:pt>
                <c:pt idx="155">
                  <c:v>43093</c:v>
                </c:pt>
                <c:pt idx="156">
                  <c:v>43100</c:v>
                </c:pt>
                <c:pt idx="157">
                  <c:v>43101</c:v>
                </c:pt>
                <c:pt idx="158">
                  <c:v>43107</c:v>
                </c:pt>
                <c:pt idx="159">
                  <c:v>43114</c:v>
                </c:pt>
                <c:pt idx="160">
                  <c:v>43121</c:v>
                </c:pt>
                <c:pt idx="161">
                  <c:v>43128</c:v>
                </c:pt>
                <c:pt idx="162">
                  <c:v>43135</c:v>
                </c:pt>
                <c:pt idx="163">
                  <c:v>43142</c:v>
                </c:pt>
                <c:pt idx="164">
                  <c:v>43149</c:v>
                </c:pt>
                <c:pt idx="165">
                  <c:v>43156</c:v>
                </c:pt>
                <c:pt idx="166">
                  <c:v>43163</c:v>
                </c:pt>
                <c:pt idx="167">
                  <c:v>43170</c:v>
                </c:pt>
                <c:pt idx="168">
                  <c:v>43177</c:v>
                </c:pt>
                <c:pt idx="169">
                  <c:v>43184</c:v>
                </c:pt>
                <c:pt idx="170">
                  <c:v>43191</c:v>
                </c:pt>
                <c:pt idx="171">
                  <c:v>43198</c:v>
                </c:pt>
                <c:pt idx="172">
                  <c:v>43205</c:v>
                </c:pt>
                <c:pt idx="173">
                  <c:v>43212</c:v>
                </c:pt>
                <c:pt idx="174">
                  <c:v>43219</c:v>
                </c:pt>
                <c:pt idx="175">
                  <c:v>43226</c:v>
                </c:pt>
                <c:pt idx="176">
                  <c:v>43233</c:v>
                </c:pt>
                <c:pt idx="177">
                  <c:v>43240</c:v>
                </c:pt>
                <c:pt idx="178">
                  <c:v>43247</c:v>
                </c:pt>
                <c:pt idx="179">
                  <c:v>43254</c:v>
                </c:pt>
                <c:pt idx="180">
                  <c:v>43261</c:v>
                </c:pt>
                <c:pt idx="181">
                  <c:v>43268</c:v>
                </c:pt>
                <c:pt idx="182">
                  <c:v>43275</c:v>
                </c:pt>
                <c:pt idx="183">
                  <c:v>43282</c:v>
                </c:pt>
                <c:pt idx="184">
                  <c:v>43289</c:v>
                </c:pt>
                <c:pt idx="185">
                  <c:v>43296</c:v>
                </c:pt>
                <c:pt idx="186">
                  <c:v>43303</c:v>
                </c:pt>
                <c:pt idx="187">
                  <c:v>43310</c:v>
                </c:pt>
                <c:pt idx="188">
                  <c:v>43317</c:v>
                </c:pt>
                <c:pt idx="189">
                  <c:v>43324</c:v>
                </c:pt>
                <c:pt idx="190">
                  <c:v>43331</c:v>
                </c:pt>
                <c:pt idx="191">
                  <c:v>43338</c:v>
                </c:pt>
                <c:pt idx="192">
                  <c:v>43345</c:v>
                </c:pt>
                <c:pt idx="193">
                  <c:v>43352</c:v>
                </c:pt>
                <c:pt idx="194">
                  <c:v>43359</c:v>
                </c:pt>
                <c:pt idx="195">
                  <c:v>43366</c:v>
                </c:pt>
                <c:pt idx="196">
                  <c:v>43373</c:v>
                </c:pt>
                <c:pt idx="197">
                  <c:v>43380</c:v>
                </c:pt>
                <c:pt idx="198">
                  <c:v>43387</c:v>
                </c:pt>
                <c:pt idx="199">
                  <c:v>43394</c:v>
                </c:pt>
                <c:pt idx="200">
                  <c:v>43401</c:v>
                </c:pt>
                <c:pt idx="201">
                  <c:v>43408</c:v>
                </c:pt>
                <c:pt idx="202">
                  <c:v>43415</c:v>
                </c:pt>
                <c:pt idx="203">
                  <c:v>43422</c:v>
                </c:pt>
                <c:pt idx="204">
                  <c:v>43429</c:v>
                </c:pt>
                <c:pt idx="205">
                  <c:v>43436</c:v>
                </c:pt>
                <c:pt idx="206">
                  <c:v>43472</c:v>
                </c:pt>
                <c:pt idx="207">
                  <c:v>43478</c:v>
                </c:pt>
                <c:pt idx="208">
                  <c:v>43485</c:v>
                </c:pt>
                <c:pt idx="209">
                  <c:v>43492</c:v>
                </c:pt>
                <c:pt idx="210">
                  <c:v>43499</c:v>
                </c:pt>
                <c:pt idx="211">
                  <c:v>43506</c:v>
                </c:pt>
                <c:pt idx="212">
                  <c:v>43513</c:v>
                </c:pt>
                <c:pt idx="213">
                  <c:v>43520</c:v>
                </c:pt>
                <c:pt idx="214">
                  <c:v>43527</c:v>
                </c:pt>
                <c:pt idx="215">
                  <c:v>43534</c:v>
                </c:pt>
                <c:pt idx="216">
                  <c:v>43541</c:v>
                </c:pt>
                <c:pt idx="217">
                  <c:v>43548</c:v>
                </c:pt>
                <c:pt idx="218">
                  <c:v>43555</c:v>
                </c:pt>
                <c:pt idx="219">
                  <c:v>43562</c:v>
                </c:pt>
                <c:pt idx="220">
                  <c:v>43569</c:v>
                </c:pt>
                <c:pt idx="221">
                  <c:v>43576</c:v>
                </c:pt>
                <c:pt idx="222">
                  <c:v>43583</c:v>
                </c:pt>
                <c:pt idx="223">
                  <c:v>43590</c:v>
                </c:pt>
                <c:pt idx="224">
                  <c:v>43597</c:v>
                </c:pt>
                <c:pt idx="225">
                  <c:v>43604</c:v>
                </c:pt>
                <c:pt idx="226">
                  <c:v>43611</c:v>
                </c:pt>
                <c:pt idx="227">
                  <c:v>43618</c:v>
                </c:pt>
                <c:pt idx="228">
                  <c:v>43625</c:v>
                </c:pt>
                <c:pt idx="229">
                  <c:v>43632</c:v>
                </c:pt>
                <c:pt idx="230">
                  <c:v>43639</c:v>
                </c:pt>
                <c:pt idx="231">
                  <c:v>43646</c:v>
                </c:pt>
                <c:pt idx="232">
                  <c:v>43653</c:v>
                </c:pt>
                <c:pt idx="233">
                  <c:v>43660</c:v>
                </c:pt>
                <c:pt idx="234">
                  <c:v>43667</c:v>
                </c:pt>
                <c:pt idx="235">
                  <c:v>43674</c:v>
                </c:pt>
                <c:pt idx="236">
                  <c:v>43681</c:v>
                </c:pt>
                <c:pt idx="237">
                  <c:v>43688</c:v>
                </c:pt>
                <c:pt idx="238">
                  <c:v>43695</c:v>
                </c:pt>
                <c:pt idx="239">
                  <c:v>43702</c:v>
                </c:pt>
                <c:pt idx="240">
                  <c:v>43709</c:v>
                </c:pt>
                <c:pt idx="241">
                  <c:v>43716</c:v>
                </c:pt>
                <c:pt idx="242">
                  <c:v>43723</c:v>
                </c:pt>
                <c:pt idx="243">
                  <c:v>43730</c:v>
                </c:pt>
                <c:pt idx="244">
                  <c:v>43737</c:v>
                </c:pt>
                <c:pt idx="245">
                  <c:v>43744</c:v>
                </c:pt>
                <c:pt idx="246">
                  <c:v>43751</c:v>
                </c:pt>
                <c:pt idx="247">
                  <c:v>43758</c:v>
                </c:pt>
                <c:pt idx="248">
                  <c:v>43765</c:v>
                </c:pt>
                <c:pt idx="249">
                  <c:v>43772</c:v>
                </c:pt>
                <c:pt idx="250">
                  <c:v>43779</c:v>
                </c:pt>
                <c:pt idx="251">
                  <c:v>43786</c:v>
                </c:pt>
                <c:pt idx="252">
                  <c:v>43793</c:v>
                </c:pt>
                <c:pt idx="253">
                  <c:v>43800</c:v>
                </c:pt>
                <c:pt idx="254">
                  <c:v>43807</c:v>
                </c:pt>
                <c:pt idx="255">
                  <c:v>43814</c:v>
                </c:pt>
                <c:pt idx="256">
                  <c:v>43821</c:v>
                </c:pt>
                <c:pt idx="257">
                  <c:v>43828</c:v>
                </c:pt>
                <c:pt idx="258">
                  <c:v>43836</c:v>
                </c:pt>
                <c:pt idx="259">
                  <c:v>43842</c:v>
                </c:pt>
                <c:pt idx="260">
                  <c:v>43849</c:v>
                </c:pt>
                <c:pt idx="261">
                  <c:v>43856</c:v>
                </c:pt>
                <c:pt idx="262">
                  <c:v>43863</c:v>
                </c:pt>
                <c:pt idx="263">
                  <c:v>43870</c:v>
                </c:pt>
                <c:pt idx="264">
                  <c:v>43877</c:v>
                </c:pt>
                <c:pt idx="265">
                  <c:v>43884</c:v>
                </c:pt>
                <c:pt idx="266">
                  <c:v>43891</c:v>
                </c:pt>
                <c:pt idx="267">
                  <c:v>43898</c:v>
                </c:pt>
                <c:pt idx="268">
                  <c:v>43905</c:v>
                </c:pt>
                <c:pt idx="269">
                  <c:v>43912</c:v>
                </c:pt>
                <c:pt idx="270">
                  <c:v>43919</c:v>
                </c:pt>
                <c:pt idx="271">
                  <c:v>43926</c:v>
                </c:pt>
                <c:pt idx="272">
                  <c:v>43933</c:v>
                </c:pt>
                <c:pt idx="273">
                  <c:v>43940</c:v>
                </c:pt>
                <c:pt idx="274">
                  <c:v>43947</c:v>
                </c:pt>
                <c:pt idx="275">
                  <c:v>43954</c:v>
                </c:pt>
                <c:pt idx="276">
                  <c:v>43961</c:v>
                </c:pt>
                <c:pt idx="277">
                  <c:v>43968</c:v>
                </c:pt>
                <c:pt idx="278">
                  <c:v>43975</c:v>
                </c:pt>
                <c:pt idx="279">
                  <c:v>43982</c:v>
                </c:pt>
                <c:pt idx="280">
                  <c:v>43989</c:v>
                </c:pt>
                <c:pt idx="281">
                  <c:v>43996</c:v>
                </c:pt>
                <c:pt idx="282">
                  <c:v>44003</c:v>
                </c:pt>
                <c:pt idx="283">
                  <c:v>44010</c:v>
                </c:pt>
                <c:pt idx="284">
                  <c:v>44017</c:v>
                </c:pt>
                <c:pt idx="285">
                  <c:v>44024</c:v>
                </c:pt>
                <c:pt idx="286">
                  <c:v>44031</c:v>
                </c:pt>
                <c:pt idx="287">
                  <c:v>44038</c:v>
                </c:pt>
                <c:pt idx="288">
                  <c:v>44045</c:v>
                </c:pt>
                <c:pt idx="289">
                  <c:v>44052</c:v>
                </c:pt>
                <c:pt idx="290">
                  <c:v>44059</c:v>
                </c:pt>
                <c:pt idx="291">
                  <c:v>44066</c:v>
                </c:pt>
                <c:pt idx="292">
                  <c:v>44073</c:v>
                </c:pt>
                <c:pt idx="293">
                  <c:v>44080</c:v>
                </c:pt>
                <c:pt idx="294">
                  <c:v>44087</c:v>
                </c:pt>
                <c:pt idx="295">
                  <c:v>44094</c:v>
                </c:pt>
                <c:pt idx="296">
                  <c:v>44101</c:v>
                </c:pt>
                <c:pt idx="297">
                  <c:v>44108</c:v>
                </c:pt>
                <c:pt idx="298">
                  <c:v>44115</c:v>
                </c:pt>
                <c:pt idx="299">
                  <c:v>44122</c:v>
                </c:pt>
                <c:pt idx="300">
                  <c:v>44129</c:v>
                </c:pt>
                <c:pt idx="301">
                  <c:v>44136</c:v>
                </c:pt>
                <c:pt idx="302">
                  <c:v>44143</c:v>
                </c:pt>
                <c:pt idx="303">
                  <c:v>44150</c:v>
                </c:pt>
                <c:pt idx="304">
                  <c:v>44157</c:v>
                </c:pt>
                <c:pt idx="305">
                  <c:v>44164</c:v>
                </c:pt>
              </c:numCache>
            </c:numRef>
          </c:cat>
          <c:val>
            <c:numRef>
              <c:f>Forecast!$B$3:$B$308</c:f>
              <c:numCache>
                <c:formatCode>0.00</c:formatCode>
                <c:ptCount val="306"/>
                <c:pt idx="0">
                  <c:v>1.79</c:v>
                </c:pt>
                <c:pt idx="1">
                  <c:v>1.77</c:v>
                </c:pt>
                <c:pt idx="2">
                  <c:v>1.93</c:v>
                </c:pt>
                <c:pt idx="3">
                  <c:v>1.89</c:v>
                </c:pt>
                <c:pt idx="4">
                  <c:v>1.83</c:v>
                </c:pt>
                <c:pt idx="5">
                  <c:v>1.59</c:v>
                </c:pt>
                <c:pt idx="6">
                  <c:v>1.81</c:v>
                </c:pt>
                <c:pt idx="7">
                  <c:v>1.82</c:v>
                </c:pt>
                <c:pt idx="8">
                  <c:v>1.76</c:v>
                </c:pt>
                <c:pt idx="9">
                  <c:v>1.79</c:v>
                </c:pt>
                <c:pt idx="10">
                  <c:v>1.79</c:v>
                </c:pt>
                <c:pt idx="11">
                  <c:v>1.86</c:v>
                </c:pt>
                <c:pt idx="12">
                  <c:v>1.93</c:v>
                </c:pt>
                <c:pt idx="13">
                  <c:v>1.93</c:v>
                </c:pt>
                <c:pt idx="14">
                  <c:v>1.76</c:v>
                </c:pt>
                <c:pt idx="15">
                  <c:v>1.96</c:v>
                </c:pt>
                <c:pt idx="16">
                  <c:v>1.9</c:v>
                </c:pt>
                <c:pt idx="17">
                  <c:v>2.0299999999999998</c:v>
                </c:pt>
                <c:pt idx="18">
                  <c:v>1.98</c:v>
                </c:pt>
                <c:pt idx="19">
                  <c:v>1.87</c:v>
                </c:pt>
                <c:pt idx="20">
                  <c:v>1.93</c:v>
                </c:pt>
                <c:pt idx="21">
                  <c:v>1.9</c:v>
                </c:pt>
                <c:pt idx="22">
                  <c:v>1.93</c:v>
                </c:pt>
                <c:pt idx="23">
                  <c:v>2.0299999999999998</c:v>
                </c:pt>
                <c:pt idx="24">
                  <c:v>2.09</c:v>
                </c:pt>
                <c:pt idx="25">
                  <c:v>2.02</c:v>
                </c:pt>
                <c:pt idx="26">
                  <c:v>2.04</c:v>
                </c:pt>
                <c:pt idx="27">
                  <c:v>2.0099999999999998</c:v>
                </c:pt>
                <c:pt idx="28">
                  <c:v>2.08</c:v>
                </c:pt>
                <c:pt idx="29">
                  <c:v>2.0099999999999998</c:v>
                </c:pt>
                <c:pt idx="30">
                  <c:v>2</c:v>
                </c:pt>
                <c:pt idx="31">
                  <c:v>1.88</c:v>
                </c:pt>
                <c:pt idx="32">
                  <c:v>2</c:v>
                </c:pt>
                <c:pt idx="33">
                  <c:v>1.87</c:v>
                </c:pt>
                <c:pt idx="34">
                  <c:v>1.88</c:v>
                </c:pt>
                <c:pt idx="35">
                  <c:v>1.86</c:v>
                </c:pt>
                <c:pt idx="36">
                  <c:v>1.99</c:v>
                </c:pt>
                <c:pt idx="37">
                  <c:v>1.98</c:v>
                </c:pt>
                <c:pt idx="38">
                  <c:v>1.98</c:v>
                </c:pt>
                <c:pt idx="39">
                  <c:v>1.98</c:v>
                </c:pt>
                <c:pt idx="40">
                  <c:v>1.9</c:v>
                </c:pt>
                <c:pt idx="41">
                  <c:v>1.97</c:v>
                </c:pt>
                <c:pt idx="42">
                  <c:v>1.83</c:v>
                </c:pt>
                <c:pt idx="43">
                  <c:v>1.88</c:v>
                </c:pt>
                <c:pt idx="44">
                  <c:v>1.88</c:v>
                </c:pt>
                <c:pt idx="45">
                  <c:v>1.89</c:v>
                </c:pt>
                <c:pt idx="46">
                  <c:v>1.94</c:v>
                </c:pt>
                <c:pt idx="47">
                  <c:v>1.94</c:v>
                </c:pt>
                <c:pt idx="48">
                  <c:v>1.84</c:v>
                </c:pt>
                <c:pt idx="49">
                  <c:v>1.85</c:v>
                </c:pt>
                <c:pt idx="50">
                  <c:v>1.89</c:v>
                </c:pt>
                <c:pt idx="51">
                  <c:v>1.83</c:v>
                </c:pt>
                <c:pt idx="52">
                  <c:v>1.75</c:v>
                </c:pt>
                <c:pt idx="53">
                  <c:v>1.83</c:v>
                </c:pt>
                <c:pt idx="54">
                  <c:v>1.67</c:v>
                </c:pt>
                <c:pt idx="55">
                  <c:v>1.83</c:v>
                </c:pt>
                <c:pt idx="56">
                  <c:v>1.79</c:v>
                </c:pt>
                <c:pt idx="57">
                  <c:v>1.81</c:v>
                </c:pt>
                <c:pt idx="58">
                  <c:v>1.81</c:v>
                </c:pt>
                <c:pt idx="59">
                  <c:v>1.79</c:v>
                </c:pt>
                <c:pt idx="60">
                  <c:v>1.79</c:v>
                </c:pt>
                <c:pt idx="61">
                  <c:v>1.92</c:v>
                </c:pt>
                <c:pt idx="62">
                  <c:v>1.79</c:v>
                </c:pt>
                <c:pt idx="63">
                  <c:v>1.76</c:v>
                </c:pt>
                <c:pt idx="64">
                  <c:v>1.65</c:v>
                </c:pt>
                <c:pt idx="65">
                  <c:v>1.56</c:v>
                </c:pt>
                <c:pt idx="66">
                  <c:v>1.62</c:v>
                </c:pt>
                <c:pt idx="67">
                  <c:v>1.82</c:v>
                </c:pt>
                <c:pt idx="68">
                  <c:v>1.77</c:v>
                </c:pt>
                <c:pt idx="69">
                  <c:v>1.78</c:v>
                </c:pt>
                <c:pt idx="70">
                  <c:v>1.83</c:v>
                </c:pt>
                <c:pt idx="71">
                  <c:v>1.59</c:v>
                </c:pt>
                <c:pt idx="72">
                  <c:v>1.55</c:v>
                </c:pt>
                <c:pt idx="73">
                  <c:v>1.49</c:v>
                </c:pt>
                <c:pt idx="74">
                  <c:v>1.47</c:v>
                </c:pt>
                <c:pt idx="75">
                  <c:v>1.43</c:v>
                </c:pt>
                <c:pt idx="76">
                  <c:v>1.45</c:v>
                </c:pt>
                <c:pt idx="77">
                  <c:v>1.53</c:v>
                </c:pt>
                <c:pt idx="78">
                  <c:v>1.43</c:v>
                </c:pt>
                <c:pt idx="79">
                  <c:v>1.58</c:v>
                </c:pt>
                <c:pt idx="80">
                  <c:v>1.57</c:v>
                </c:pt>
                <c:pt idx="81">
                  <c:v>1.42</c:v>
                </c:pt>
                <c:pt idx="82">
                  <c:v>1.43</c:v>
                </c:pt>
                <c:pt idx="83">
                  <c:v>1.67</c:v>
                </c:pt>
                <c:pt idx="84">
                  <c:v>1.72</c:v>
                </c:pt>
                <c:pt idx="85">
                  <c:v>1.67</c:v>
                </c:pt>
                <c:pt idx="86">
                  <c:v>1.66</c:v>
                </c:pt>
                <c:pt idx="87">
                  <c:v>1.73</c:v>
                </c:pt>
                <c:pt idx="88">
                  <c:v>1.68</c:v>
                </c:pt>
                <c:pt idx="89">
                  <c:v>1.69</c:v>
                </c:pt>
                <c:pt idx="90">
                  <c:v>1.68</c:v>
                </c:pt>
                <c:pt idx="91">
                  <c:v>1.73</c:v>
                </c:pt>
                <c:pt idx="92">
                  <c:v>1.75</c:v>
                </c:pt>
                <c:pt idx="93">
                  <c:v>1.75</c:v>
                </c:pt>
                <c:pt idx="94">
                  <c:v>1.86</c:v>
                </c:pt>
                <c:pt idx="95">
                  <c:v>1.96</c:v>
                </c:pt>
                <c:pt idx="96">
                  <c:v>1.93</c:v>
                </c:pt>
                <c:pt idx="97">
                  <c:v>2</c:v>
                </c:pt>
                <c:pt idx="98">
                  <c:v>1.93</c:v>
                </c:pt>
                <c:pt idx="99">
                  <c:v>1.97</c:v>
                </c:pt>
                <c:pt idx="100">
                  <c:v>1.97</c:v>
                </c:pt>
                <c:pt idx="101">
                  <c:v>1.9</c:v>
                </c:pt>
                <c:pt idx="102">
                  <c:v>1.86</c:v>
                </c:pt>
                <c:pt idx="103">
                  <c:v>1.93</c:v>
                </c:pt>
                <c:pt idx="104">
                  <c:v>1.87</c:v>
                </c:pt>
                <c:pt idx="105">
                  <c:v>1.94</c:v>
                </c:pt>
                <c:pt idx="106">
                  <c:v>1.84</c:v>
                </c:pt>
                <c:pt idx="107">
                  <c:v>1.82</c:v>
                </c:pt>
                <c:pt idx="108">
                  <c:v>1.86</c:v>
                </c:pt>
                <c:pt idx="109">
                  <c:v>1.72</c:v>
                </c:pt>
                <c:pt idx="110">
                  <c:v>1.78</c:v>
                </c:pt>
                <c:pt idx="111">
                  <c:v>1.67</c:v>
                </c:pt>
                <c:pt idx="112">
                  <c:v>1.71</c:v>
                </c:pt>
                <c:pt idx="113">
                  <c:v>1.84</c:v>
                </c:pt>
                <c:pt idx="114">
                  <c:v>1.97</c:v>
                </c:pt>
                <c:pt idx="115">
                  <c:v>1.87</c:v>
                </c:pt>
                <c:pt idx="116">
                  <c:v>2.02</c:v>
                </c:pt>
                <c:pt idx="117">
                  <c:v>1.86</c:v>
                </c:pt>
                <c:pt idx="118">
                  <c:v>1.92</c:v>
                </c:pt>
                <c:pt idx="119">
                  <c:v>1.85</c:v>
                </c:pt>
                <c:pt idx="120">
                  <c:v>1.92</c:v>
                </c:pt>
                <c:pt idx="121">
                  <c:v>1.74</c:v>
                </c:pt>
                <c:pt idx="122">
                  <c:v>1.79</c:v>
                </c:pt>
                <c:pt idx="123">
                  <c:v>1.57</c:v>
                </c:pt>
                <c:pt idx="124">
                  <c:v>1.84</c:v>
                </c:pt>
                <c:pt idx="125">
                  <c:v>1.87</c:v>
                </c:pt>
                <c:pt idx="126">
                  <c:v>1.63</c:v>
                </c:pt>
                <c:pt idx="127">
                  <c:v>2.04</c:v>
                </c:pt>
                <c:pt idx="128">
                  <c:v>2.0299999999999998</c:v>
                </c:pt>
                <c:pt idx="129">
                  <c:v>2.13</c:v>
                </c:pt>
                <c:pt idx="130">
                  <c:v>2.0299999999999998</c:v>
                </c:pt>
                <c:pt idx="131">
                  <c:v>2</c:v>
                </c:pt>
                <c:pt idx="132">
                  <c:v>1.87</c:v>
                </c:pt>
                <c:pt idx="133">
                  <c:v>1.42</c:v>
                </c:pt>
                <c:pt idx="134">
                  <c:v>1.67</c:v>
                </c:pt>
                <c:pt idx="135">
                  <c:v>1.98</c:v>
                </c:pt>
                <c:pt idx="136">
                  <c:v>1.9</c:v>
                </c:pt>
                <c:pt idx="137">
                  <c:v>1.86</c:v>
                </c:pt>
                <c:pt idx="138">
                  <c:v>1.91</c:v>
                </c:pt>
                <c:pt idx="139">
                  <c:v>2</c:v>
                </c:pt>
                <c:pt idx="140">
                  <c:v>1.78</c:v>
                </c:pt>
                <c:pt idx="141">
                  <c:v>1.55</c:v>
                </c:pt>
                <c:pt idx="142">
                  <c:v>1.42</c:v>
                </c:pt>
                <c:pt idx="143">
                  <c:v>1.59</c:v>
                </c:pt>
                <c:pt idx="144">
                  <c:v>1.4</c:v>
                </c:pt>
                <c:pt idx="145">
                  <c:v>1.47</c:v>
                </c:pt>
                <c:pt idx="146">
                  <c:v>1.49</c:v>
                </c:pt>
                <c:pt idx="147">
                  <c:v>1.38</c:v>
                </c:pt>
                <c:pt idx="148">
                  <c:v>1.5</c:v>
                </c:pt>
                <c:pt idx="149">
                  <c:v>1.71</c:v>
                </c:pt>
                <c:pt idx="150">
                  <c:v>1.75</c:v>
                </c:pt>
                <c:pt idx="151">
                  <c:v>1.57</c:v>
                </c:pt>
                <c:pt idx="152">
                  <c:v>1.44</c:v>
                </c:pt>
                <c:pt idx="153">
                  <c:v>1.45</c:v>
                </c:pt>
                <c:pt idx="154">
                  <c:v>1.43</c:v>
                </c:pt>
                <c:pt idx="155">
                  <c:v>1.58</c:v>
                </c:pt>
                <c:pt idx="156">
                  <c:v>1.46</c:v>
                </c:pt>
                <c:pt idx="157">
                  <c:v>1.46</c:v>
                </c:pt>
                <c:pt idx="158">
                  <c:v>1.54</c:v>
                </c:pt>
                <c:pt idx="159">
                  <c:v>1.47</c:v>
                </c:pt>
                <c:pt idx="160">
                  <c:v>1.54</c:v>
                </c:pt>
                <c:pt idx="161">
                  <c:v>1.32</c:v>
                </c:pt>
                <c:pt idx="162">
                  <c:v>1.52</c:v>
                </c:pt>
                <c:pt idx="163">
                  <c:v>1.43</c:v>
                </c:pt>
                <c:pt idx="164">
                  <c:v>1.43</c:v>
                </c:pt>
                <c:pt idx="165">
                  <c:v>1.56</c:v>
                </c:pt>
                <c:pt idx="166">
                  <c:v>1.48</c:v>
                </c:pt>
                <c:pt idx="167">
                  <c:v>1.68</c:v>
                </c:pt>
                <c:pt idx="168">
                  <c:v>1.66</c:v>
                </c:pt>
                <c:pt idx="169">
                  <c:v>1.71</c:v>
                </c:pt>
                <c:pt idx="170">
                  <c:v>1.67</c:v>
                </c:pt>
                <c:pt idx="171">
                  <c:v>1.69</c:v>
                </c:pt>
                <c:pt idx="172">
                  <c:v>1.77</c:v>
                </c:pt>
                <c:pt idx="173">
                  <c:v>1.48</c:v>
                </c:pt>
                <c:pt idx="174">
                  <c:v>1.79</c:v>
                </c:pt>
                <c:pt idx="175">
                  <c:v>1.68</c:v>
                </c:pt>
                <c:pt idx="176">
                  <c:v>1.45</c:v>
                </c:pt>
                <c:pt idx="177">
                  <c:v>1.5</c:v>
                </c:pt>
                <c:pt idx="178">
                  <c:v>1.64</c:v>
                </c:pt>
                <c:pt idx="179">
                  <c:v>1.64</c:v>
                </c:pt>
                <c:pt idx="180">
                  <c:v>1.68</c:v>
                </c:pt>
                <c:pt idx="181">
                  <c:v>1.66</c:v>
                </c:pt>
                <c:pt idx="182">
                  <c:v>1.64</c:v>
                </c:pt>
                <c:pt idx="183">
                  <c:v>1.57</c:v>
                </c:pt>
                <c:pt idx="184">
                  <c:v>1.64</c:v>
                </c:pt>
                <c:pt idx="185">
                  <c:v>1.59</c:v>
                </c:pt>
                <c:pt idx="186">
                  <c:v>1.42</c:v>
                </c:pt>
                <c:pt idx="187">
                  <c:v>1.57</c:v>
                </c:pt>
                <c:pt idx="188">
                  <c:v>1.71</c:v>
                </c:pt>
                <c:pt idx="189">
                  <c:v>1.65</c:v>
                </c:pt>
                <c:pt idx="190">
                  <c:v>1.64</c:v>
                </c:pt>
                <c:pt idx="191">
                  <c:v>1.71</c:v>
                </c:pt>
                <c:pt idx="192">
                  <c:v>1.72</c:v>
                </c:pt>
                <c:pt idx="193">
                  <c:v>1.69</c:v>
                </c:pt>
                <c:pt idx="194">
                  <c:v>1.63</c:v>
                </c:pt>
                <c:pt idx="195">
                  <c:v>1.66</c:v>
                </c:pt>
                <c:pt idx="196">
                  <c:v>1.66</c:v>
                </c:pt>
                <c:pt idx="197">
                  <c:v>1.39</c:v>
                </c:pt>
                <c:pt idx="198">
                  <c:v>1.45</c:v>
                </c:pt>
                <c:pt idx="199">
                  <c:v>1.45</c:v>
                </c:pt>
                <c:pt idx="200">
                  <c:v>1.49</c:v>
                </c:pt>
                <c:pt idx="201">
                  <c:v>1.61</c:v>
                </c:pt>
                <c:pt idx="202">
                  <c:v>1.59</c:v>
                </c:pt>
                <c:pt idx="203">
                  <c:v>1.4</c:v>
                </c:pt>
                <c:pt idx="204">
                  <c:v>1.46</c:v>
                </c:pt>
                <c:pt idx="205">
                  <c:v>1.4</c:v>
                </c:pt>
                <c:pt idx="206">
                  <c:v>1.41</c:v>
                </c:pt>
                <c:pt idx="207">
                  <c:v>1.28</c:v>
                </c:pt>
                <c:pt idx="208">
                  <c:v>1.44</c:v>
                </c:pt>
                <c:pt idx="209">
                  <c:v>1.31</c:v>
                </c:pt>
                <c:pt idx="210">
                  <c:v>1.27</c:v>
                </c:pt>
                <c:pt idx="211">
                  <c:v>1.24</c:v>
                </c:pt>
                <c:pt idx="212">
                  <c:v>1.35</c:v>
                </c:pt>
                <c:pt idx="213">
                  <c:v>1.35</c:v>
                </c:pt>
                <c:pt idx="214">
                  <c:v>1.23</c:v>
                </c:pt>
                <c:pt idx="215">
                  <c:v>1.2</c:v>
                </c:pt>
                <c:pt idx="216">
                  <c:v>1.26</c:v>
                </c:pt>
                <c:pt idx="217">
                  <c:v>1.27</c:v>
                </c:pt>
                <c:pt idx="218">
                  <c:v>1.57</c:v>
                </c:pt>
                <c:pt idx="219">
                  <c:v>1.57</c:v>
                </c:pt>
                <c:pt idx="220">
                  <c:v>1.55</c:v>
                </c:pt>
                <c:pt idx="221">
                  <c:v>1.92</c:v>
                </c:pt>
                <c:pt idx="222">
                  <c:v>1.87</c:v>
                </c:pt>
                <c:pt idx="223">
                  <c:v>1.89</c:v>
                </c:pt>
                <c:pt idx="224">
                  <c:v>1.76</c:v>
                </c:pt>
                <c:pt idx="225">
                  <c:v>1.62</c:v>
                </c:pt>
                <c:pt idx="226">
                  <c:v>1.84</c:v>
                </c:pt>
                <c:pt idx="227">
                  <c:v>1.88</c:v>
                </c:pt>
                <c:pt idx="228">
                  <c:v>1.92</c:v>
                </c:pt>
                <c:pt idx="229">
                  <c:v>1.89</c:v>
                </c:pt>
                <c:pt idx="230">
                  <c:v>1.78</c:v>
                </c:pt>
                <c:pt idx="231">
                  <c:v>1.73</c:v>
                </c:pt>
                <c:pt idx="232">
                  <c:v>1.63</c:v>
                </c:pt>
                <c:pt idx="233">
                  <c:v>1.69</c:v>
                </c:pt>
                <c:pt idx="234">
                  <c:v>1.75</c:v>
                </c:pt>
                <c:pt idx="235">
                  <c:v>1.59</c:v>
                </c:pt>
                <c:pt idx="236">
                  <c:v>1.63</c:v>
                </c:pt>
                <c:pt idx="237">
                  <c:v>1.75</c:v>
                </c:pt>
                <c:pt idx="238">
                  <c:v>1.65</c:v>
                </c:pt>
                <c:pt idx="239">
                  <c:v>1.91</c:v>
                </c:pt>
                <c:pt idx="240">
                  <c:v>1.89</c:v>
                </c:pt>
                <c:pt idx="241">
                  <c:v>1.84</c:v>
                </c:pt>
                <c:pt idx="242">
                  <c:v>1.32</c:v>
                </c:pt>
                <c:pt idx="243">
                  <c:v>1.45</c:v>
                </c:pt>
                <c:pt idx="244">
                  <c:v>1.49</c:v>
                </c:pt>
                <c:pt idx="245">
                  <c:v>1.31</c:v>
                </c:pt>
                <c:pt idx="246">
                  <c:v>1.38</c:v>
                </c:pt>
                <c:pt idx="247">
                  <c:v>1.48</c:v>
                </c:pt>
                <c:pt idx="248">
                  <c:v>1.63</c:v>
                </c:pt>
                <c:pt idx="249">
                  <c:v>1.59</c:v>
                </c:pt>
                <c:pt idx="250">
                  <c:v>1.46</c:v>
                </c:pt>
                <c:pt idx="251">
                  <c:v>1.48</c:v>
                </c:pt>
                <c:pt idx="252">
                  <c:v>1.71</c:v>
                </c:pt>
                <c:pt idx="253">
                  <c:v>1.84</c:v>
                </c:pt>
                <c:pt idx="254">
                  <c:v>1.77</c:v>
                </c:pt>
                <c:pt idx="255">
                  <c:v>1.79</c:v>
                </c:pt>
                <c:pt idx="256">
                  <c:v>1.68</c:v>
                </c:pt>
                <c:pt idx="257">
                  <c:v>1.77</c:v>
                </c:pt>
                <c:pt idx="258">
                  <c:v>1.47</c:v>
                </c:pt>
                <c:pt idx="259">
                  <c:v>1.48</c:v>
                </c:pt>
                <c:pt idx="260">
                  <c:v>1.51</c:v>
                </c:pt>
                <c:pt idx="261">
                  <c:v>1.55</c:v>
                </c:pt>
                <c:pt idx="262">
                  <c:v>1.58</c:v>
                </c:pt>
                <c:pt idx="263">
                  <c:v>1.48</c:v>
                </c:pt>
                <c:pt idx="264">
                  <c:v>1.5</c:v>
                </c:pt>
                <c:pt idx="265">
                  <c:v>1.5</c:v>
                </c:pt>
                <c:pt idx="266">
                  <c:v>1.38</c:v>
                </c:pt>
                <c:pt idx="267">
                  <c:v>1.59</c:v>
                </c:pt>
                <c:pt idx="268">
                  <c:v>1.54</c:v>
                </c:pt>
                <c:pt idx="269">
                  <c:v>1.51</c:v>
                </c:pt>
                <c:pt idx="270">
                  <c:v>1.49</c:v>
                </c:pt>
                <c:pt idx="271">
                  <c:v>1.58</c:v>
                </c:pt>
                <c:pt idx="272">
                  <c:v>1.64</c:v>
                </c:pt>
                <c:pt idx="273">
                  <c:v>1.63</c:v>
                </c:pt>
                <c:pt idx="274">
                  <c:v>1.59</c:v>
                </c:pt>
                <c:pt idx="275">
                  <c:v>1.59</c:v>
                </c:pt>
                <c:pt idx="276">
                  <c:v>1.52</c:v>
                </c:pt>
                <c:pt idx="277">
                  <c:v>1.57</c:v>
                </c:pt>
                <c:pt idx="278">
                  <c:v>1.64</c:v>
                </c:pt>
                <c:pt idx="279">
                  <c:v>1.57</c:v>
                </c:pt>
                <c:pt idx="280">
                  <c:v>1.65</c:v>
                </c:pt>
                <c:pt idx="281">
                  <c:v>1.58</c:v>
                </c:pt>
                <c:pt idx="282">
                  <c:v>1.54</c:v>
                </c:pt>
                <c:pt idx="283">
                  <c:v>1.57</c:v>
                </c:pt>
                <c:pt idx="284">
                  <c:v>1.53</c:v>
                </c:pt>
                <c:pt idx="285">
                  <c:v>1.52</c:v>
                </c:pt>
                <c:pt idx="286">
                  <c:v>1.58</c:v>
                </c:pt>
                <c:pt idx="287">
                  <c:v>1.19</c:v>
                </c:pt>
                <c:pt idx="288">
                  <c:v>1.25</c:v>
                </c:pt>
                <c:pt idx="289">
                  <c:v>1.69</c:v>
                </c:pt>
                <c:pt idx="290">
                  <c:v>1.79</c:v>
                </c:pt>
                <c:pt idx="291">
                  <c:v>1.76</c:v>
                </c:pt>
                <c:pt idx="292">
                  <c:v>1.63</c:v>
                </c:pt>
                <c:pt idx="293">
                  <c:v>1.66</c:v>
                </c:pt>
                <c:pt idx="294">
                  <c:v>1.51</c:v>
                </c:pt>
                <c:pt idx="295">
                  <c:v>1.69</c:v>
                </c:pt>
                <c:pt idx="296">
                  <c:v>1.62</c:v>
                </c:pt>
                <c:pt idx="297">
                  <c:v>1.54</c:v>
                </c:pt>
                <c:pt idx="298">
                  <c:v>1.51</c:v>
                </c:pt>
                <c:pt idx="299">
                  <c:v>1.49</c:v>
                </c:pt>
                <c:pt idx="300">
                  <c:v>1.49</c:v>
                </c:pt>
                <c:pt idx="301">
                  <c:v>1.33</c:v>
                </c:pt>
                <c:pt idx="302">
                  <c:v>1.44</c:v>
                </c:pt>
                <c:pt idx="303">
                  <c:v>1.38</c:v>
                </c:pt>
                <c:pt idx="304">
                  <c:v>1.44</c:v>
                </c:pt>
                <c:pt idx="305">
                  <c:v>1.45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35A-45FC-8E72-CC9070B599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4204351"/>
        <c:axId val="278426591"/>
      </c:lineChart>
      <c:dateAx>
        <c:axId val="1514204351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DO"/>
          </a:p>
        </c:txPr>
        <c:crossAx val="278426591"/>
        <c:crosses val="autoZero"/>
        <c:auto val="1"/>
        <c:lblOffset val="100"/>
        <c:baseTimeUnit val="days"/>
      </c:dateAx>
      <c:valAx>
        <c:axId val="278426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DO"/>
          </a:p>
        </c:txPr>
        <c:crossAx val="15142043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DO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'Albaby-Boston Organic'!$B$2:$B$613</cx:f>
        <cx:lvl ptCount="612" formatCode="General">
          <cx:pt idx="0">1.79</cx:pt>
          <cx:pt idx="1">1.8300000000000001</cx:pt>
          <cx:pt idx="2">1.77</cx:pt>
          <cx:pt idx="3">1.9399999999999999</cx:pt>
          <cx:pt idx="4">1.9299999999999999</cx:pt>
          <cx:pt idx="5">2</cx:pt>
          <cx:pt idx="6">1.8899999999999999</cx:pt>
          <cx:pt idx="7">2.0099999999999998</cx:pt>
          <cx:pt idx="8">1.8300000000000001</cx:pt>
          <cx:pt idx="9">1.78</cx:pt>
          <cx:pt idx="10">1.5900000000000001</cx:pt>
          <cx:pt idx="11">1.9099999999999999</cx:pt>
          <cx:pt idx="12">1.8100000000000001</cx:pt>
          <cx:pt idx="13">1.9099999999999999</cx:pt>
          <cx:pt idx="14">1.8200000000000001</cx:pt>
          <cx:pt idx="15">1.74</cx:pt>
          <cx:pt idx="16">1.76</cx:pt>
          <cx:pt idx="17">1.8500000000000001</cx:pt>
          <cx:pt idx="18">1.79</cx:pt>
          <cx:pt idx="19">1.9099999999999999</cx:pt>
          <cx:pt idx="20">1.79</cx:pt>
          <cx:pt idx="21">1.99</cx:pt>
          <cx:pt idx="22">1.8600000000000001</cx:pt>
          <cx:pt idx="23">1.9399999999999999</cx:pt>
          <cx:pt idx="24">1.9299999999999999</cx:pt>
          <cx:pt idx="25">1.98</cx:pt>
          <cx:pt idx="26">1.9299999999999999</cx:pt>
          <cx:pt idx="27">1.9099999999999999</cx:pt>
          <cx:pt idx="28">1.76</cx:pt>
          <cx:pt idx="29">1.8600000000000001</cx:pt>
          <cx:pt idx="30">1.96</cx:pt>
          <cx:pt idx="31">1.9399999999999999</cx:pt>
          <cx:pt idx="32">1.8999999999999999</cx:pt>
          <cx:pt idx="33">1.8600000000000001</cx:pt>
          <cx:pt idx="34">2.0299999999999998</cx:pt>
          <cx:pt idx="35">1.8200000000000001</cx:pt>
          <cx:pt idx="36">1.98</cx:pt>
          <cx:pt idx="37">2.02</cx:pt>
          <cx:pt idx="38">1.8700000000000001</cx:pt>
          <cx:pt idx="39">1.9099999999999999</cx:pt>
          <cx:pt idx="40">1.9299999999999999</cx:pt>
          <cx:pt idx="41">1.9399999999999999</cx:pt>
          <cx:pt idx="42">1.8999999999999999</cx:pt>
          <cx:pt idx="43">1.9399999999999999</cx:pt>
          <cx:pt idx="44">1.9299999999999999</cx:pt>
          <cx:pt idx="45">2</cx:pt>
          <cx:pt idx="46">2.0299999999999998</cx:pt>
          <cx:pt idx="47">2.0299999999999998</cx:pt>
          <cx:pt idx="48">2.0899999999999999</cx:pt>
          <cx:pt idx="49">2.0600000000000001</cx:pt>
          <cx:pt idx="50">2.02</cx:pt>
          <cx:pt idx="51">2.0299999999999998</cx:pt>
          <cx:pt idx="52">2.04</cx:pt>
          <cx:pt idx="53">2.1299999999999999</cx:pt>
          <cx:pt idx="54">2.0099999999999998</cx:pt>
          <cx:pt idx="55">2.1899999999999999</cx:pt>
          <cx:pt idx="56">2.0800000000000001</cx:pt>
          <cx:pt idx="57">2.0499999999999998</cx:pt>
          <cx:pt idx="58">2.0099999999999998</cx:pt>
          <cx:pt idx="59">2.02</cx:pt>
          <cx:pt idx="60">2</cx:pt>
          <cx:pt idx="61">2.1200000000000001</cx:pt>
          <cx:pt idx="62">1.8799999999999999</cx:pt>
          <cx:pt idx="63">2.02</cx:pt>
          <cx:pt idx="64">2</cx:pt>
          <cx:pt idx="65">2.0899999999999999</cx:pt>
          <cx:pt idx="66">1.8700000000000001</cx:pt>
          <cx:pt idx="67">2</cx:pt>
          <cx:pt idx="68">1.8799999999999999</cx:pt>
          <cx:pt idx="69">2.0299999999999998</cx:pt>
          <cx:pt idx="70">1.8600000000000001</cx:pt>
          <cx:pt idx="71">1.97</cx:pt>
          <cx:pt idx="72">1.99</cx:pt>
          <cx:pt idx="73">2</cx:pt>
          <cx:pt idx="74">1.98</cx:pt>
          <cx:pt idx="75">2.0099999999999998</cx:pt>
          <cx:pt idx="76">1.98</cx:pt>
          <cx:pt idx="77">2</cx:pt>
          <cx:pt idx="78">1.98</cx:pt>
          <cx:pt idx="79">1.28</cx:pt>
          <cx:pt idx="80">1.8999999999999999</cx:pt>
          <cx:pt idx="81">1.26</cx:pt>
          <cx:pt idx="82">1.97</cx:pt>
          <cx:pt idx="83">1.26</cx:pt>
          <cx:pt idx="84">1.8300000000000001</cx:pt>
          <cx:pt idx="85">1.27</cx:pt>
          <cx:pt idx="86">1.8799999999999999</cx:pt>
          <cx:pt idx="87">1.3</cx:pt>
          <cx:pt idx="88">1.8799999999999999</cx:pt>
          <cx:pt idx="89">1.22</cx:pt>
          <cx:pt idx="90">1.8899999999999999</cx:pt>
          <cx:pt idx="91">1.1499999999999999</cx:pt>
          <cx:pt idx="92">1.9399999999999999</cx:pt>
          <cx:pt idx="93">1.27</cx:pt>
          <cx:pt idx="94">1.9399999999999999</cx:pt>
          <cx:pt idx="95">1.28</cx:pt>
          <cx:pt idx="96">1.8400000000000001</cx:pt>
          <cx:pt idx="97">1.29</cx:pt>
          <cx:pt idx="98">1.8500000000000001</cx:pt>
          <cx:pt idx="99">1.55</cx:pt>
          <cx:pt idx="100">1.8899999999999999</cx:pt>
          <cx:pt idx="101">1.4099999999999999</cx:pt>
          <cx:pt idx="102">1.8300000000000001</cx:pt>
          <cx:pt idx="103">1.48</cx:pt>
          <cx:pt idx="104">1.75</cx:pt>
          <cx:pt idx="105">1.26</cx:pt>
          <cx:pt idx="106">1.8300000000000001</cx:pt>
          <cx:pt idx="107">1.3200000000000001</cx:pt>
          <cx:pt idx="108">1.6699999999999999</cx:pt>
          <cx:pt idx="109">1.1299999999999999</cx:pt>
          <cx:pt idx="110">1.8300000000000001</cx:pt>
          <cx:pt idx="111">1.46</cx:pt>
          <cx:pt idx="112">1.79</cx:pt>
          <cx:pt idx="113">1.52</cx:pt>
          <cx:pt idx="114">1.8100000000000001</cx:pt>
          <cx:pt idx="115">1.6200000000000001</cx:pt>
          <cx:pt idx="116">1.8100000000000001</cx:pt>
          <cx:pt idx="117">1.5900000000000001</cx:pt>
          <cx:pt idx="118">1.79</cx:pt>
          <cx:pt idx="119">1.52</cx:pt>
          <cx:pt idx="120">1.79</cx:pt>
          <cx:pt idx="121">1.6399999999999999</cx:pt>
          <cx:pt idx="122">1.9199999999999999</cx:pt>
          <cx:pt idx="123">1.7</cx:pt>
          <cx:pt idx="124">1.79</cx:pt>
          <cx:pt idx="125">1.5900000000000001</cx:pt>
          <cx:pt idx="126">1.76</cx:pt>
          <cx:pt idx="127">1.5900000000000001</cx:pt>
          <cx:pt idx="128">1.6499999999999999</cx:pt>
          <cx:pt idx="129">1.5900000000000001</cx:pt>
          <cx:pt idx="130">1.5600000000000001</cx:pt>
          <cx:pt idx="131">1.73</cx:pt>
          <cx:pt idx="132">1.6200000000000001</cx:pt>
          <cx:pt idx="133">1.6799999999999999</cx:pt>
          <cx:pt idx="134">1.8200000000000001</cx:pt>
          <cx:pt idx="135">1.5900000000000001</cx:pt>
          <cx:pt idx="136">1.77</cx:pt>
          <cx:pt idx="137">1.73</cx:pt>
          <cx:pt idx="138">1.78</cx:pt>
          <cx:pt idx="139">1.79</cx:pt>
          <cx:pt idx="140">1.8300000000000001</cx:pt>
          <cx:pt idx="141">1.5800000000000001</cx:pt>
          <cx:pt idx="142">1.5900000000000001</cx:pt>
          <cx:pt idx="143">1.5800000000000001</cx:pt>
          <cx:pt idx="144">1.55</cx:pt>
          <cx:pt idx="145">1.5700000000000001</cx:pt>
          <cx:pt idx="146">1.49</cx:pt>
          <cx:pt idx="147">1.5900000000000001</cx:pt>
          <cx:pt idx="148">1.47</cx:pt>
          <cx:pt idx="149">1.49</cx:pt>
          <cx:pt idx="150">1.4299999999999999</cx:pt>
          <cx:pt idx="151">1.3700000000000001</cx:pt>
          <cx:pt idx="152">1.45</cx:pt>
          <cx:pt idx="153">1.53</cx:pt>
          <cx:pt idx="154">1.53</cx:pt>
          <cx:pt idx="155">1.6000000000000001</cx:pt>
          <cx:pt idx="156">1.4299999999999999</cx:pt>
          <cx:pt idx="157">1.6100000000000001</cx:pt>
          <cx:pt idx="158">1.5800000000000001</cx:pt>
          <cx:pt idx="159">1.5900000000000001</cx:pt>
          <cx:pt idx="160">1.5700000000000001</cx:pt>
          <cx:pt idx="161">1.77</cx:pt>
          <cx:pt idx="162">1.4199999999999999</cx:pt>
          <cx:pt idx="163">1.49</cx:pt>
          <cx:pt idx="164">1.4299999999999999</cx:pt>
          <cx:pt idx="165">1.1399999999999999</cx:pt>
          <cx:pt idx="166">1.6699999999999999</cx:pt>
          <cx:pt idx="167">1.3100000000000001</cx:pt>
          <cx:pt idx="168">1.72</cx:pt>
          <cx:pt idx="169">1.23</cx:pt>
          <cx:pt idx="170">1.6699999999999999</cx:pt>
          <cx:pt idx="171">1.28</cx:pt>
          <cx:pt idx="172">1.6599999999999999</cx:pt>
          <cx:pt idx="173">1.3600000000000001</cx:pt>
          <cx:pt idx="174">1.73</cx:pt>
          <cx:pt idx="175">1.73</cx:pt>
          <cx:pt idx="176">1.6799999999999999</cx:pt>
          <cx:pt idx="177">1.8400000000000001</cx:pt>
          <cx:pt idx="178">1.6899999999999999</cx:pt>
          <cx:pt idx="179">1.8600000000000001</cx:pt>
          <cx:pt idx="180">1.6799999999999999</cx:pt>
          <cx:pt idx="181">1.72</cx:pt>
          <cx:pt idx="182">1.73</cx:pt>
          <cx:pt idx="183">1.6299999999999999</cx:pt>
          <cx:pt idx="184">1.75</cx:pt>
          <cx:pt idx="185">1.5700000000000001</cx:pt>
          <cx:pt idx="186">1.75</cx:pt>
          <cx:pt idx="187">1.4299999999999999</cx:pt>
          <cx:pt idx="188">1.8600000000000001</cx:pt>
          <cx:pt idx="189">1.3200000000000001</cx:pt>
          <cx:pt idx="190">1.96</cx:pt>
          <cx:pt idx="191">1.49</cx:pt>
          <cx:pt idx="192">1.9299999999999999</cx:pt>
          <cx:pt idx="193">1.72</cx:pt>
          <cx:pt idx="194">2</cx:pt>
          <cx:pt idx="195">1.5900000000000001</cx:pt>
          <cx:pt idx="196">1.9299999999999999</cx:pt>
          <cx:pt idx="197">1.8</cx:pt>
          <cx:pt idx="198">1.97</cx:pt>
          <cx:pt idx="199">1.9399999999999999</cx:pt>
          <cx:pt idx="200">1.97</cx:pt>
          <cx:pt idx="201">2</cx:pt>
          <cx:pt idx="202">1.8999999999999999</cx:pt>
          <cx:pt idx="203">1.8799999999999999</cx:pt>
          <cx:pt idx="204">1.8600000000000001</cx:pt>
          <cx:pt idx="205">2</cx:pt>
          <cx:pt idx="206">1.9299999999999999</cx:pt>
          <cx:pt idx="207">1.98</cx:pt>
          <cx:pt idx="208">1.8700000000000001</cx:pt>
          <cx:pt idx="209">2.0600000000000001</cx:pt>
          <cx:pt idx="210">1.9399999999999999</cx:pt>
          <cx:pt idx="211">1.95</cx:pt>
          <cx:pt idx="212">1.8400000000000001</cx:pt>
          <cx:pt idx="213">1.8799999999999999</cx:pt>
          <cx:pt idx="214">1.8200000000000001</cx:pt>
          <cx:pt idx="215">1.9299999999999999</cx:pt>
          <cx:pt idx="216">1.8600000000000001</cx:pt>
          <cx:pt idx="217">1.8999999999999999</cx:pt>
          <cx:pt idx="218">1.72</cx:pt>
          <cx:pt idx="219">1.6299999999999999</cx:pt>
          <cx:pt idx="220">1.78</cx:pt>
          <cx:pt idx="221">1.95</cx:pt>
          <cx:pt idx="222">1.6699999999999999</cx:pt>
          <cx:pt idx="223">2.0600000000000001</cx:pt>
          <cx:pt idx="224">1.71</cx:pt>
          <cx:pt idx="225">2.0099999999999998</cx:pt>
          <cx:pt idx="226">1.8400000000000001</cx:pt>
          <cx:pt idx="227">1.72</cx:pt>
          <cx:pt idx="228">1.97</cx:pt>
          <cx:pt idx="229">2.0899999999999999</cx:pt>
          <cx:pt idx="230">1.8700000000000001</cx:pt>
          <cx:pt idx="231">2.0600000000000001</cx:pt>
          <cx:pt idx="232">2.02</cx:pt>
          <cx:pt idx="233">2.02</cx:pt>
          <cx:pt idx="234">1.8600000000000001</cx:pt>
          <cx:pt idx="235">2</cx:pt>
          <cx:pt idx="236">1.9199999999999999</cx:pt>
          <cx:pt idx="237">2</cx:pt>
          <cx:pt idx="238">1.8500000000000001</cx:pt>
          <cx:pt idx="239">2</cx:pt>
          <cx:pt idx="240">1.9199999999999999</cx:pt>
          <cx:pt idx="241">1.8799999999999999</cx:pt>
          <cx:pt idx="242">1.74</cx:pt>
          <cx:pt idx="243">2.02</cx:pt>
          <cx:pt idx="244">1.79</cx:pt>
          <cx:pt idx="245">1.98</cx:pt>
          <cx:pt idx="246">1.5700000000000001</cx:pt>
          <cx:pt idx="247">1.99</cx:pt>
          <cx:pt idx="248">1.8400000000000001</cx:pt>
          <cx:pt idx="249">1.9199999999999999</cx:pt>
          <cx:pt idx="250">1.8700000000000001</cx:pt>
          <cx:pt idx="251">2.04</cx:pt>
          <cx:pt idx="252">1.6299999999999999</cx:pt>
          <cx:pt idx="253">2.04</cx:pt>
          <cx:pt idx="254">2.04</cx:pt>
          <cx:pt idx="255">2.0699999999999998</cx:pt>
          <cx:pt idx="256">2.0299999999999998</cx:pt>
          <cx:pt idx="257">2.1200000000000001</cx:pt>
          <cx:pt idx="258">2.1299999999999999</cx:pt>
          <cx:pt idx="259">2.1299999999999999</cx:pt>
          <cx:pt idx="260">2.0299999999999998</cx:pt>
          <cx:pt idx="261">2.1299999999999999</cx:pt>
          <cx:pt idx="262">2</cx:pt>
          <cx:pt idx="263">2.1699999999999999</cx:pt>
          <cx:pt idx="264">1.8700000000000001</cx:pt>
          <cx:pt idx="265">1.6100000000000001</cx:pt>
          <cx:pt idx="266">1.4199999999999999</cx:pt>
          <cx:pt idx="267">1.5900000000000001</cx:pt>
          <cx:pt idx="268">1.6699999999999999</cx:pt>
          <cx:pt idx="269">1.6100000000000001</cx:pt>
          <cx:pt idx="270">1.98</cx:pt>
          <cx:pt idx="271">1.6100000000000001</cx:pt>
          <cx:pt idx="272">1.8999999999999999</cx:pt>
          <cx:pt idx="273">1.77</cx:pt>
          <cx:pt idx="274">1.8600000000000001</cx:pt>
          <cx:pt idx="275">1.72</cx:pt>
          <cx:pt idx="276">1.9099999999999999</cx:pt>
          <cx:pt idx="277">1.75</cx:pt>
          <cx:pt idx="278">2</cx:pt>
          <cx:pt idx="279">1.76</cx:pt>
          <cx:pt idx="280">1.78</cx:pt>
          <cx:pt idx="281">1.74</cx:pt>
          <cx:pt idx="282">1.55</cx:pt>
          <cx:pt idx="283">1.5600000000000001</cx:pt>
          <cx:pt idx="284">1.4199999999999999</cx:pt>
          <cx:pt idx="285">1.5600000000000001</cx:pt>
          <cx:pt idx="286">1.5900000000000001</cx:pt>
          <cx:pt idx="287">1.6100000000000001</cx:pt>
          <cx:pt idx="288">1.3999999999999999</cx:pt>
          <cx:pt idx="289">1.5600000000000001</cx:pt>
          <cx:pt idx="290">1.47</cx:pt>
          <cx:pt idx="291">1.6000000000000001</cx:pt>
          <cx:pt idx="292">1.49</cx:pt>
          <cx:pt idx="293">1.5800000000000001</cx:pt>
          <cx:pt idx="294">1.3799999999999999</cx:pt>
          <cx:pt idx="295">1.8300000000000001</cx:pt>
          <cx:pt idx="296">1.5</cx:pt>
          <cx:pt idx="297">1.95</cx:pt>
          <cx:pt idx="298">1.71</cx:pt>
          <cx:pt idx="299">1.8700000000000001</cx:pt>
          <cx:pt idx="300">1.75</cx:pt>
          <cx:pt idx="301">1.8100000000000001</cx:pt>
          <cx:pt idx="302">1.5700000000000001</cx:pt>
          <cx:pt idx="303">1.8100000000000001</cx:pt>
          <cx:pt idx="304">1.4399999999999999</cx:pt>
          <cx:pt idx="305">1.8799999999999999</cx:pt>
          <cx:pt idx="306">1.45</cx:pt>
          <cx:pt idx="307">1.74</cx:pt>
          <cx:pt idx="308">1.4299999999999999</cx:pt>
          <cx:pt idx="309">1.8200000000000001</cx:pt>
          <cx:pt idx="310">1.5800000000000001</cx:pt>
          <cx:pt idx="311">1.8300000000000001</cx:pt>
          <cx:pt idx="312">1.46</cx:pt>
          <cx:pt idx="313">1.8600000000000001</cx:pt>
          <cx:pt idx="314">1.46</cx:pt>
          <cx:pt idx="315">1.8600000000000001</cx:pt>
          <cx:pt idx="316">1.54</cx:pt>
          <cx:pt idx="317">1.9099999999999999</cx:pt>
          <cx:pt idx="318">1.47</cx:pt>
          <cx:pt idx="319">1.73</cx:pt>
          <cx:pt idx="320">1.54</cx:pt>
          <cx:pt idx="321">1.8200000000000001</cx:pt>
          <cx:pt idx="322">1.3200000000000001</cx:pt>
          <cx:pt idx="323">1.72</cx:pt>
          <cx:pt idx="324">1.52</cx:pt>
          <cx:pt idx="325">1.8300000000000001</cx:pt>
          <cx:pt idx="326">1.4299999999999999</cx:pt>
          <cx:pt idx="327">1.8500000000000001</cx:pt>
          <cx:pt idx="328">1.4299999999999999</cx:pt>
          <cx:pt idx="329">1.8300000000000001</cx:pt>
          <cx:pt idx="330">1.5600000000000001</cx:pt>
          <cx:pt idx="331">1.79</cx:pt>
          <cx:pt idx="332">1.48</cx:pt>
          <cx:pt idx="333">1.9199999999999999</cx:pt>
          <cx:pt idx="334">1.6799999999999999</cx:pt>
          <cx:pt idx="335">1.8500000000000001</cx:pt>
          <cx:pt idx="336">1.6599999999999999</cx:pt>
          <cx:pt idx="337">1.8300000000000001</cx:pt>
          <cx:pt idx="338">1.71</cx:pt>
          <cx:pt idx="339">1.74</cx:pt>
          <cx:pt idx="340">1.6699999999999999</cx:pt>
          <cx:pt idx="341">1.6200000000000001</cx:pt>
          <cx:pt idx="342">1.6899999999999999</cx:pt>
          <cx:pt idx="343">1.6299999999999999</cx:pt>
          <cx:pt idx="344">1.77</cx:pt>
          <cx:pt idx="345">1.49</cx:pt>
          <cx:pt idx="346">1.48</cx:pt>
          <cx:pt idx="347">1.51</cx:pt>
          <cx:pt idx="348">1.79</cx:pt>
          <cx:pt idx="349">1.52</cx:pt>
          <cx:pt idx="350">1.6799999999999999</cx:pt>
          <cx:pt idx="351">1.5800000000000001</cx:pt>
          <cx:pt idx="352">1.45</cx:pt>
          <cx:pt idx="353">1.46</cx:pt>
          <cx:pt idx="354">1.5</cx:pt>
          <cx:pt idx="355">1.49</cx:pt>
          <cx:pt idx="356">1.6399999999999999</cx:pt>
          <cx:pt idx="357">1.46</cx:pt>
          <cx:pt idx="358">1.6399999999999999</cx:pt>
          <cx:pt idx="359">1.6399999999999999</cx:pt>
          <cx:pt idx="360">1.6799999999999999</cx:pt>
          <cx:pt idx="361">1.6899999999999999</cx:pt>
          <cx:pt idx="362">1.6599999999999999</cx:pt>
          <cx:pt idx="363">1.5600000000000001</cx:pt>
          <cx:pt idx="364">1.6399999999999999</cx:pt>
          <cx:pt idx="365">1.5600000000000001</cx:pt>
          <cx:pt idx="366">1.5700000000000001</cx:pt>
          <cx:pt idx="367">1.6399999999999999</cx:pt>
          <cx:pt idx="368">1.6399999999999999</cx:pt>
          <cx:pt idx="369">1.6899999999999999</cx:pt>
          <cx:pt idx="370">1.5900000000000001</cx:pt>
          <cx:pt idx="371">1.7</cx:pt>
          <cx:pt idx="372">1.4199999999999999</cx:pt>
          <cx:pt idx="373">1.74</cx:pt>
          <cx:pt idx="374">1.5700000000000001</cx:pt>
          <cx:pt idx="375">1.6100000000000001</cx:pt>
          <cx:pt idx="376">1.71</cx:pt>
          <cx:pt idx="377">1.71</cx:pt>
          <cx:pt idx="378">1.6499999999999999</cx:pt>
          <cx:pt idx="379">1.71</cx:pt>
          <cx:pt idx="380">1.6399999999999999</cx:pt>
          <cx:pt idx="381">1.6699999999999999</cx:pt>
          <cx:pt idx="382">1.71</cx:pt>
          <cx:pt idx="383">1.6499999999999999</cx:pt>
          <cx:pt idx="384">1.72</cx:pt>
          <cx:pt idx="385">1.6499999999999999</cx:pt>
          <cx:pt idx="386">1.6899999999999999</cx:pt>
          <cx:pt idx="387">1.6299999999999999</cx:pt>
          <cx:pt idx="388">1.6299999999999999</cx:pt>
          <cx:pt idx="389">1.6699999999999999</cx:pt>
          <cx:pt idx="390">1.6599999999999999</cx:pt>
          <cx:pt idx="391">1.6100000000000001</cx:pt>
          <cx:pt idx="392">1.6599999999999999</cx:pt>
          <cx:pt idx="393">1.6299999999999999</cx:pt>
          <cx:pt idx="394">1.3899999999999999</cx:pt>
          <cx:pt idx="395">1.5700000000000001</cx:pt>
          <cx:pt idx="396">1.45</cx:pt>
          <cx:pt idx="397">1.5</cx:pt>
          <cx:pt idx="398">1.45</cx:pt>
          <cx:pt idx="399">1.54</cx:pt>
          <cx:pt idx="400">1.49</cx:pt>
          <cx:pt idx="401">1.54</cx:pt>
          <cx:pt idx="402">1.6100000000000001</cx:pt>
          <cx:pt idx="403">1.5800000000000001</cx:pt>
          <cx:pt idx="404">1.5900000000000001</cx:pt>
          <cx:pt idx="405">1.6200000000000001</cx:pt>
          <cx:pt idx="406">1.3999999999999999</cx:pt>
          <cx:pt idx="407">1.6200000000000001</cx:pt>
          <cx:pt idx="408">1.46</cx:pt>
          <cx:pt idx="409">1.6200000000000001</cx:pt>
          <cx:pt idx="410">1.3999999999999999</cx:pt>
          <cx:pt idx="411">1.53</cx:pt>
          <cx:pt idx="412">1.4099999999999999</cx:pt>
          <cx:pt idx="413">1.53</cx:pt>
          <cx:pt idx="414">1.28</cx:pt>
          <cx:pt idx="415">1.46</cx:pt>
          <cx:pt idx="416">1.4399999999999999</cx:pt>
          <cx:pt idx="417">1.3999999999999999</cx:pt>
          <cx:pt idx="418">1.3100000000000001</cx:pt>
          <cx:pt idx="419">1.55</cx:pt>
          <cx:pt idx="420">1.27</cx:pt>
          <cx:pt idx="421">1.46</cx:pt>
          <cx:pt idx="422">1.24</cx:pt>
          <cx:pt idx="423">1.4299999999999999</cx:pt>
          <cx:pt idx="424">1.3500000000000001</cx:pt>
          <cx:pt idx="425">1.4199999999999999</cx:pt>
          <cx:pt idx="426">1.3500000000000001</cx:pt>
          <cx:pt idx="427">1.3799999999999999</cx:pt>
          <cx:pt idx="428">1.23</cx:pt>
          <cx:pt idx="429">1.3700000000000001</cx:pt>
          <cx:pt idx="430">1.2</cx:pt>
          <cx:pt idx="431">1.49</cx:pt>
          <cx:pt idx="432">1.26</cx:pt>
          <cx:pt idx="433">1.3899999999999999</cx:pt>
          <cx:pt idx="434">1.27</cx:pt>
          <cx:pt idx="435">1.3700000000000001</cx:pt>
          <cx:pt idx="436">1.5700000000000001</cx:pt>
          <cx:pt idx="437">1.3999999999999999</cx:pt>
          <cx:pt idx="438">1.5700000000000001</cx:pt>
          <cx:pt idx="439">1.51</cx:pt>
          <cx:pt idx="440">1.55</cx:pt>
          <cx:pt idx="441">1.6799999999999999</cx:pt>
          <cx:pt idx="442">1.9199999999999999</cx:pt>
          <cx:pt idx="443">1.6699999999999999</cx:pt>
          <cx:pt idx="444">1.8700000000000001</cx:pt>
          <cx:pt idx="445">1.55</cx:pt>
          <cx:pt idx="446">1.8899999999999999</cx:pt>
          <cx:pt idx="447">1.75</cx:pt>
          <cx:pt idx="448">1.76</cx:pt>
          <cx:pt idx="449">1.72</cx:pt>
          <cx:pt idx="450">1.6200000000000001</cx:pt>
          <cx:pt idx="451">1.78</cx:pt>
          <cx:pt idx="452">1.8400000000000001</cx:pt>
          <cx:pt idx="453">1.8</cx:pt>
          <cx:pt idx="454">1.8799999999999999</cx:pt>
          <cx:pt idx="455">1.8899999999999999</cx:pt>
          <cx:pt idx="456">1.9199999999999999</cx:pt>
          <cx:pt idx="457">1.8600000000000001</cx:pt>
          <cx:pt idx="458">1.8899999999999999</cx:pt>
          <cx:pt idx="459">1.77</cx:pt>
          <cx:pt idx="460">1.78</cx:pt>
          <cx:pt idx="461">1.74</cx:pt>
          <cx:pt idx="462">1.73</cx:pt>
          <cx:pt idx="463">1.6399999999999999</cx:pt>
          <cx:pt idx="464">1.6299999999999999</cx:pt>
          <cx:pt idx="465">1.75</cx:pt>
          <cx:pt idx="466">1.6899999999999999</cx:pt>
          <cx:pt idx="467">1.8400000000000001</cx:pt>
          <cx:pt idx="468">1.75</cx:pt>
          <cx:pt idx="469">1.8100000000000001</cx:pt>
          <cx:pt idx="470">1.5900000000000001</cx:pt>
          <cx:pt idx="471">1.8</cx:pt>
          <cx:pt idx="472">1.6299999999999999</cx:pt>
          <cx:pt idx="473">1.74</cx:pt>
          <cx:pt idx="474">1.75</cx:pt>
          <cx:pt idx="475">1.78</cx:pt>
          <cx:pt idx="476">1.6499999999999999</cx:pt>
          <cx:pt idx="477">1.75</cx:pt>
          <cx:pt idx="478">1.9099999999999999</cx:pt>
          <cx:pt idx="479">1.8300000000000001</cx:pt>
          <cx:pt idx="480">1.8899999999999999</cx:pt>
          <cx:pt idx="481">1.8</cx:pt>
          <cx:pt idx="482">1.8400000000000001</cx:pt>
          <cx:pt idx="483">1.8600000000000001</cx:pt>
          <cx:pt idx="484">1.3200000000000001</cx:pt>
          <cx:pt idx="485">1.8999999999999999</cx:pt>
          <cx:pt idx="486">1.45</cx:pt>
          <cx:pt idx="487">1.9399999999999999</cx:pt>
          <cx:pt idx="488">1.49</cx:pt>
          <cx:pt idx="489">1.77</cx:pt>
          <cx:pt idx="490">1.3100000000000001</cx:pt>
          <cx:pt idx="491">1.75</cx:pt>
          <cx:pt idx="492">1.3799999999999999</cx:pt>
          <cx:pt idx="493">1.8300000000000001</cx:pt>
          <cx:pt idx="494">1.48</cx:pt>
          <cx:pt idx="495">1.78</cx:pt>
          <cx:pt idx="496">1.6299999999999999</cx:pt>
          <cx:pt idx="497">1.76</cx:pt>
          <cx:pt idx="498">1.5900000000000001</cx:pt>
          <cx:pt idx="499">1.6100000000000001</cx:pt>
          <cx:pt idx="500">1.46</cx:pt>
          <cx:pt idx="501">1.75</cx:pt>
          <cx:pt idx="502">1.48</cx:pt>
          <cx:pt idx="503">1.71</cx:pt>
          <cx:pt idx="504">1.71</cx:pt>
          <cx:pt idx="505">1.8300000000000001</cx:pt>
          <cx:pt idx="506">1.8400000000000001</cx:pt>
          <cx:pt idx="507">1.75</cx:pt>
          <cx:pt idx="508">1.77</cx:pt>
          <cx:pt idx="509">1.7</cx:pt>
          <cx:pt idx="510">1.79</cx:pt>
          <cx:pt idx="511">1.72</cx:pt>
          <cx:pt idx="512">1.6799999999999999</cx:pt>
          <cx:pt idx="513">1.8600000000000001</cx:pt>
          <cx:pt idx="514">1.77</cx:pt>
          <cx:pt idx="515">1.75</cx:pt>
          <cx:pt idx="516">1.47</cx:pt>
          <cx:pt idx="517">1.7</cx:pt>
          <cx:pt idx="518">1.48</cx:pt>
          <cx:pt idx="519">1.6100000000000001</cx:pt>
          <cx:pt idx="520">1.51</cx:pt>
          <cx:pt idx="521">1.75</cx:pt>
          <cx:pt idx="522">1.55</cx:pt>
          <cx:pt idx="523">1.7</cx:pt>
          <cx:pt idx="524">1.5800000000000001</cx:pt>
          <cx:pt idx="525">1.73</cx:pt>
          <cx:pt idx="526">1.48</cx:pt>
          <cx:pt idx="527">1.71</cx:pt>
          <cx:pt idx="528">1.5</cx:pt>
          <cx:pt idx="529">1.77</cx:pt>
          <cx:pt idx="530">1.5</cx:pt>
          <cx:pt idx="531">1.6499999999999999</cx:pt>
          <cx:pt idx="532">1.3799999999999999</cx:pt>
          <cx:pt idx="533">1.71</cx:pt>
          <cx:pt idx="534">1.5900000000000001</cx:pt>
          <cx:pt idx="535">1.8400000000000001</cx:pt>
          <cx:pt idx="536">1.54</cx:pt>
          <cx:pt idx="537">1.8600000000000001</cx:pt>
          <cx:pt idx="538">1.51</cx:pt>
          <cx:pt idx="539">1.9299999999999999</cx:pt>
          <cx:pt idx="540">1.49</cx:pt>
          <cx:pt idx="541">1.8600000000000001</cx:pt>
          <cx:pt idx="542">1.5800000000000001</cx:pt>
          <cx:pt idx="543">1.8700000000000001</cx:pt>
          <cx:pt idx="544">1.6399999999999999</cx:pt>
          <cx:pt idx="545">1.9099999999999999</cx:pt>
          <cx:pt idx="546">1.6299999999999999</cx:pt>
          <cx:pt idx="547">1.8999999999999999</cx:pt>
          <cx:pt idx="548">1.5900000000000001</cx:pt>
          <cx:pt idx="549">2.0099999999999998</cx:pt>
          <cx:pt idx="550">1.5900000000000001</cx:pt>
          <cx:pt idx="551">2.1000000000000001</cx:pt>
          <cx:pt idx="552">1.52</cx:pt>
          <cx:pt idx="553">2.1099999999999999</cx:pt>
          <cx:pt idx="554">1.5700000000000001</cx:pt>
          <cx:pt idx="555">2.04</cx:pt>
          <cx:pt idx="556">1.6399999999999999</cx:pt>
          <cx:pt idx="557">2.0299999999999998</cx:pt>
          <cx:pt idx="558">1.5700000000000001</cx:pt>
          <cx:pt idx="559">2.02</cx:pt>
          <cx:pt idx="560">1.6499999999999999</cx:pt>
          <cx:pt idx="561">2.02</cx:pt>
          <cx:pt idx="562">1.5800000000000001</cx:pt>
          <cx:pt idx="563">1.98</cx:pt>
          <cx:pt idx="564">1.54</cx:pt>
          <cx:pt idx="565">1.9399999999999999</cx:pt>
          <cx:pt idx="566">1.5700000000000001</cx:pt>
          <cx:pt idx="567">1.96</cx:pt>
          <cx:pt idx="568">1.53</cx:pt>
          <cx:pt idx="569">1.95</cx:pt>
          <cx:pt idx="570">1.52</cx:pt>
          <cx:pt idx="571">1.96</cx:pt>
          <cx:pt idx="572">1.5800000000000001</cx:pt>
          <cx:pt idx="573">1.8799999999999999</cx:pt>
          <cx:pt idx="574">1.1899999999999999</cx:pt>
          <cx:pt idx="575">1.8</cx:pt>
          <cx:pt idx="576">1.25</cx:pt>
          <cx:pt idx="577">1.9099999999999999</cx:pt>
          <cx:pt idx="578">1.6899999999999999</cx:pt>
          <cx:pt idx="579">1.9099999999999999</cx:pt>
          <cx:pt idx="580">1.79</cx:pt>
          <cx:pt idx="581">1.8799999999999999</cx:pt>
          <cx:pt idx="582">1.76</cx:pt>
          <cx:pt idx="583">1.8899999999999999</cx:pt>
          <cx:pt idx="584">1.6299999999999999</cx:pt>
          <cx:pt idx="585">1.8999999999999999</cx:pt>
          <cx:pt idx="586">1.6599999999999999</cx:pt>
          <cx:pt idx="587">1.9299999999999999</cx:pt>
          <cx:pt idx="588">1.51</cx:pt>
          <cx:pt idx="589">1.8600000000000001</cx:pt>
          <cx:pt idx="590">1.6899999999999999</cx:pt>
          <cx:pt idx="591">1.8700000000000001</cx:pt>
          <cx:pt idx="592">1.6200000000000001</cx:pt>
          <cx:pt idx="593">1.8899999999999999</cx:pt>
          <cx:pt idx="594">1.54</cx:pt>
          <cx:pt idx="595">1.8300000000000001</cx:pt>
          <cx:pt idx="596">1.51</cx:pt>
          <cx:pt idx="597">1.8500000000000001</cx:pt>
          <cx:pt idx="598">1.49</cx:pt>
          <cx:pt idx="599">1.8500000000000001</cx:pt>
          <cx:pt idx="600">1.49</cx:pt>
          <cx:pt idx="601">1.8400000000000001</cx:pt>
          <cx:pt idx="602">1.3300000000000001</cx:pt>
          <cx:pt idx="603">1.5900000000000001</cx:pt>
          <cx:pt idx="604">1.4399999999999999</cx:pt>
          <cx:pt idx="605">1.74</cx:pt>
          <cx:pt idx="606">1.3799999999999999</cx:pt>
          <cx:pt idx="607">1.8</cx:pt>
          <cx:pt idx="608">1.4399999999999999</cx:pt>
          <cx:pt idx="609">1.8</cx:pt>
          <cx:pt idx="610">1.45</cx:pt>
          <cx:pt idx="611">1.77</cx:pt>
        </cx:lvl>
      </cx:numDim>
    </cx:data>
  </cx:chartData>
  <cx:chart>
    <cx:title pos="t" align="ctr" overlay="0">
      <cx:tx>
        <cx:txData>
          <cx:v>Average price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s-E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Average price</a:t>
          </a:r>
        </a:p>
      </cx:txPr>
    </cx:title>
    <cx:plotArea>
      <cx:plotAreaRegion>
        <cx:series layoutId="boxWhisker" uniqueId="{A86882E6-5C9D-4F4C-B73C-303B164D91DD}"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  <cx:clrMapOvr bg1="lt1" tx1="dk1" bg2="lt2" tx2="dk2" accent1="accent1" accent2="accent2" accent3="accent3" accent4="accent4" accent5="accent5" accent6="accent6" hlink="hlink" folHlink="folHlink"/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 2013 - 2022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 2013 - 2022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 2013 - 2022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613</Words>
  <Characters>3377</Characters>
  <Application>Microsoft Office Word</Application>
  <DocSecurity>0</DocSecurity>
  <Lines>28</Lines>
  <Paragraphs>7</Paragraphs>
  <ScaleCrop>false</ScaleCrop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Renso Paulino Brazoban Duran</cp:lastModifiedBy>
  <cp:revision>132</cp:revision>
  <dcterms:created xsi:type="dcterms:W3CDTF">2026-02-22T12:12:00Z</dcterms:created>
  <dcterms:modified xsi:type="dcterms:W3CDTF">2026-02-22T12:21:00Z</dcterms:modified>
  <cp:category/>
</cp:coreProperties>
</file>