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X969a2139b06371c5002dfc86243b9824cb96f08"/>
    <w:p>
      <w:pPr>
        <w:pStyle w:val="Heading1"/>
      </w:pPr>
      <w:r>
        <w:t xml:space="preserve">Development History of the Carboxygenator Technology</w:t>
      </w:r>
    </w:p>
    <w:bookmarkStart w:id="22" w:name="introduction"/>
    <w:p>
      <w:pPr>
        <w:pStyle w:val="Heading2"/>
      </w:pPr>
      <w:r>
        <w:t xml:space="preserve">Introduction</w:t>
      </w:r>
    </w:p>
    <w:p>
      <w:pPr>
        <w:pStyle w:val="FirstParagraph"/>
      </w:pPr>
      <w:r>
        <w:t xml:space="preserve">The</w:t>
      </w:r>
      <w:r>
        <w:t xml:space="preserve"> </w:t>
      </w:r>
      <w:r>
        <w:rPr>
          <w:b/>
          <w:bCs/>
        </w:rPr>
        <w:t xml:space="preserve">carboxygenator</w:t>
      </w:r>
      <w:r>
        <w:t xml:space="preserve"> </w:t>
      </w:r>
      <w:r>
        <w:t xml:space="preserve">is a patented gas-exchange device used in Scinus’s bioreactor systems to precisely control dissolved oxygen (DO) and pH in cell cultures without a gas headspace</w:t>
      </w:r>
      <w:hyperlink r:id="rId21">
        <w:r>
          <w:rPr>
            <w:rStyle w:val="Hyperlink"/>
          </w:rPr>
          <w:t xml:space="preserve">[1]</w:t>
        </w:r>
      </w:hyperlink>
      <w:r>
        <w:t xml:space="preserve">. Unlike traditional bioreactors that rely on a gas-liquid interface or sparging, the carboxygenator delivers gases through gas-permeable tubing into the perfusion loop, creating a closed, homogeneous culture environment</w:t>
      </w:r>
      <w:hyperlink r:id="rId21">
        <w:r>
          <w:rPr>
            <w:rStyle w:val="Hyperlink"/>
          </w:rPr>
          <w:t xml:space="preserve">[2]</w:t>
        </w:r>
      </w:hyperlink>
      <w:r>
        <w:t xml:space="preserve">. This approach avoids any headspace in the bioreactor bag, thereby minimizing shear stress and ensuring uniform gas distribution</w:t>
      </w:r>
      <w:hyperlink r:id="rId21">
        <w:r>
          <w:rPr>
            <w:rStyle w:val="Hyperlink"/>
          </w:rPr>
          <w:t xml:space="preserve">[3]</w:t>
        </w:r>
      </w:hyperlink>
      <w:r>
        <w:t xml:space="preserve">. Below is a chronological overview of the conception, development, testing, and refinement of the carboxygenator technology, including key studies, patents, and milestones from its inception to the present.</w:t>
      </w:r>
    </w:p>
    <w:bookmarkEnd w:id="22"/>
    <w:bookmarkStart w:id="25" w:name="origins-and-conceptualization-20062010"/>
    <w:p>
      <w:pPr>
        <w:pStyle w:val="Heading2"/>
      </w:pPr>
      <w:r>
        <w:t xml:space="preserve">Origins and Conceptualization (2006–2010)</w:t>
      </w:r>
    </w:p>
    <w:p>
      <w:pPr>
        <w:pStyle w:val="FirstParagraph"/>
      </w:pPr>
      <w:r>
        <w:t xml:space="preserve">In 2006, development began on a disposable perfusion bioreactor for expanding human mesenchymal stem cells (hMSCs) in a closed, single-use bag system</w:t>
      </w:r>
      <w:hyperlink r:id="rId23">
        <w:r>
          <w:rPr>
            <w:rStyle w:val="Hyperlink"/>
          </w:rPr>
          <w:t xml:space="preserve">[4]</w:t>
        </w:r>
      </w:hyperlink>
      <w:r>
        <w:t xml:space="preserve">. Early prototypes revealed a major challenge:</w:t>
      </w:r>
      <w:r>
        <w:t xml:space="preserve"> </w:t>
      </w:r>
      <w:r>
        <w:rPr>
          <w:b/>
          <w:bCs/>
        </w:rPr>
        <w:t xml:space="preserve">gas control</w:t>
      </w:r>
      <w:r>
        <w:t xml:space="preserve">. Traditional bioreactors use a headspace (gas-liquid interface) to regulate oxygen and CO&lt;sub&gt;2&lt;/sub&gt; levels, but the envisioned closed system had</w:t>
      </w:r>
      <w:r>
        <w:t xml:space="preserve"> </w:t>
      </w:r>
      <w:r>
        <w:rPr>
          <w:b/>
          <w:bCs/>
        </w:rPr>
        <w:t xml:space="preserve">no headspace</w:t>
      </w:r>
      <w:r>
        <w:t xml:space="preserve">, meaning oxygen and CO&lt;sub&gt;2&lt;/sub&gt; had to be dissolved directly into the liquid culture medium</w:t>
      </w:r>
      <w:hyperlink r:id="rId24">
        <w:r>
          <w:rPr>
            <w:rStyle w:val="Hyperlink"/>
          </w:rPr>
          <w:t xml:space="preserve">[5]</w:t>
        </w:r>
      </w:hyperlink>
      <w:r>
        <w:t xml:space="preserve">. Initial attempts to simply sparge a</w:t>
      </w:r>
      <w:r>
        <w:t xml:space="preserve"> </w:t>
      </w:r>
      <w:r>
        <w:rPr>
          <w:i/>
          <w:iCs/>
        </w:rPr>
        <w:t xml:space="preserve">mixture</w:t>
      </w:r>
      <w:r>
        <w:t xml:space="preserve"> </w:t>
      </w:r>
      <w:r>
        <w:t xml:space="preserve">of O&lt;sub&gt;2&lt;/sub&gt;, CO&lt;sub&gt;2&lt;/sub&gt;, and N&lt;sub&gt;2&lt;/sub&gt; through the media were unsatisfactory – pH could only be maintained within ~0.5 units and DO within ~25% of setpoints, with slow response times</w:t>
      </w:r>
      <w:hyperlink r:id="rId24">
        <w:r>
          <w:rPr>
            <w:rStyle w:val="Hyperlink"/>
          </w:rPr>
          <w:t xml:space="preserve">[6]</w:t>
        </w:r>
      </w:hyperlink>
      <w:r>
        <w:t xml:space="preserve">. These loose controls were insufficient for optimal cell growth, clearly indicating that a more effective strategy was needed.</w:t>
      </w:r>
    </w:p>
    <w:p>
      <w:pPr>
        <w:pStyle w:val="BodyText"/>
      </w:pPr>
      <w:r>
        <w:t xml:space="preserve">At the same time, engineers observed issues with gas</w:t>
      </w:r>
      <w:r>
        <w:t xml:space="preserve"> </w:t>
      </w:r>
      <w:r>
        <w:rPr>
          <w:b/>
          <w:bCs/>
        </w:rPr>
        <w:t xml:space="preserve">accumulation</w:t>
      </w:r>
      <w:r>
        <w:t xml:space="preserve"> </w:t>
      </w:r>
      <w:r>
        <w:t xml:space="preserve">and bubbles in the closed circuit. An internal 2010 study (P10114) tested a “gas-expander module” to eliminate trapped air, but managing bubbles remained problematic</w:t>
      </w:r>
      <w:hyperlink r:id="rId23">
        <w:r>
          <w:rPr>
            <w:rStyle w:val="Hyperlink"/>
          </w:rPr>
          <w:t xml:space="preserve">[7]</w:t>
        </w:r>
      </w:hyperlink>
      <w:r>
        <w:t xml:space="preserve">. Another approach was to implement a Disposable Air Removal Tool (DART) – effectively a de-bubbling device – but this too did not adequately reduce air in the bag. The team ultimately found a</w:t>
      </w:r>
      <w:r>
        <w:t xml:space="preserve"> </w:t>
      </w:r>
      <w:r>
        <w:rPr>
          <w:i/>
          <w:iCs/>
        </w:rPr>
        <w:t xml:space="preserve">process change</w:t>
      </w:r>
      <w:r>
        <w:t xml:space="preserve"> </w:t>
      </w:r>
      <w:r>
        <w:t xml:space="preserve">solved the issue: repositioning the perfusion pump</w:t>
      </w:r>
      <w:r>
        <w:t xml:space="preserve"> </w:t>
      </w:r>
      <w:r>
        <w:rPr>
          <w:b/>
          <w:bCs/>
        </w:rPr>
        <w:t xml:space="preserve">downstream</w:t>
      </w:r>
      <w:r>
        <w:t xml:space="preserve"> </w:t>
      </w:r>
      <w:r>
        <w:t xml:space="preserve">of the gas-exchange module so that any entrained air would be pushed out of the culture bag during circulation</w:t>
      </w:r>
      <w:hyperlink r:id="rId23">
        <w:r>
          <w:rPr>
            <w:rStyle w:val="Hyperlink"/>
          </w:rPr>
          <w:t xml:space="preserve">[8]</w:t>
        </w:r>
      </w:hyperlink>
      <w:hyperlink r:id="rId23">
        <w:r>
          <w:rPr>
            <w:rStyle w:val="Hyperlink"/>
          </w:rPr>
          <w:t xml:space="preserve">[9]</w:t>
        </w:r>
      </w:hyperlink>
      <w:r>
        <w:t xml:space="preserve">. By late 2010, it was evident that maintaining tight control of DO and pH in a single-phase (all-liquid) bioreactor would require a dedicated gas exchange device with a novel design.</w:t>
      </w:r>
    </w:p>
    <w:bookmarkEnd w:id="25"/>
    <w:bookmarkStart w:id="28" w:name="invention-and-patenting-20102014"/>
    <w:p>
      <w:pPr>
        <w:pStyle w:val="Heading2"/>
      </w:pPr>
      <w:r>
        <w:t xml:space="preserve">Invention and Patenting (2010–2014)</w:t>
      </w:r>
    </w:p>
    <w:p>
      <w:pPr>
        <w:pStyle w:val="FirstParagraph"/>
      </w:pPr>
      <w:r>
        <w:rPr>
          <w:b/>
          <w:bCs/>
        </w:rPr>
        <w:t xml:space="preserve">Conceptual breakthrough (2010–2011):</w:t>
      </w:r>
      <w:r>
        <w:t xml:space="preserve"> </w:t>
      </w:r>
      <w:r>
        <w:t xml:space="preserve">The solution devised was to</w:t>
      </w:r>
      <w:r>
        <w:t xml:space="preserve"> </w:t>
      </w:r>
      <w:r>
        <w:rPr>
          <w:b/>
          <w:bCs/>
        </w:rPr>
        <w:t xml:space="preserve">separate the control of pH and oxygen in both time and space</w:t>
      </w:r>
      <w:r>
        <w:t xml:space="preserve">. In early 2011, the team conceived a two-stage gas exchange module built from gas-permeable silicone tubing</w:t>
      </w:r>
      <w:hyperlink r:id="rId24">
        <w:r>
          <w:rPr>
            <w:rStyle w:val="Hyperlink"/>
          </w:rPr>
          <w:t xml:space="preserve">[10]</w:t>
        </w:r>
      </w:hyperlink>
      <w:hyperlink r:id="rId24">
        <w:r>
          <w:rPr>
            <w:rStyle w:val="Hyperlink"/>
          </w:rPr>
          <w:t xml:space="preserve">[11]</w:t>
        </w:r>
      </w:hyperlink>
      <w:r>
        <w:t xml:space="preserve">. In this design, culture medium is pumped through a silicone tube that is sequentially exposed to two isolated gas chambers. The first chamber delivers a controlled CO&lt;sub&gt;2&lt;/sub&gt;/air mixture to adjust the</w:t>
      </w:r>
      <w:r>
        <w:t xml:space="preserve"> </w:t>
      </w:r>
      <w:r>
        <w:rPr>
          <w:b/>
          <w:bCs/>
        </w:rPr>
        <w:t xml:space="preserve">pH</w:t>
      </w:r>
      <w:r>
        <w:t xml:space="preserve"> </w:t>
      </w:r>
      <w:r>
        <w:t xml:space="preserve">(via CO&lt;sub&gt;2&lt;/sub&gt;-mediated bicarbonate buffering), and the second chamber contains an O&lt;sub&gt;2&lt;/sub&gt;/N&lt;sub&gt;2&lt;/sub&gt; mixture to adjust the</w:t>
      </w:r>
      <w:r>
        <w:t xml:space="preserve"> </w:t>
      </w:r>
      <w:r>
        <w:rPr>
          <w:b/>
          <w:bCs/>
        </w:rPr>
        <w:t xml:space="preserve">dissolved oxygen</w:t>
      </w:r>
      <w:r>
        <w:t xml:space="preserve"> </w:t>
      </w:r>
      <w:r>
        <w:t xml:space="preserve">level</w:t>
      </w:r>
      <w:hyperlink r:id="rId24">
        <w:r>
          <w:rPr>
            <w:rStyle w:val="Hyperlink"/>
          </w:rPr>
          <w:t xml:space="preserve">[11]</w:t>
        </w:r>
      </w:hyperlink>
      <w:r>
        <w:t xml:space="preserve">. Because CO&lt;sub&gt;2&lt;/sub&gt; and O&lt;sub&gt;2&lt;/sub&gt; diffuse at different rates through silicone, the lengths of tubing in each section were tuned accordingly (approximately 15 cm for the CO&lt;sub&gt;2&lt;/sub&gt; section vs. 1.5 m for O&lt;sub&gt;2&lt;/sub&gt;, in one early prototype)</w:t>
      </w:r>
      <w:hyperlink r:id="rId24">
        <w:r>
          <w:rPr>
            <w:rStyle w:val="Hyperlink"/>
          </w:rPr>
          <w:t xml:space="preserve">[12]</w:t>
        </w:r>
      </w:hyperlink>
      <w:hyperlink r:id="rId24">
        <w:r>
          <w:rPr>
            <w:rStyle w:val="Hyperlink"/>
          </w:rPr>
          <w:t xml:space="preserve">[13]</w:t>
        </w:r>
      </w:hyperlink>
      <w:r>
        <w:t xml:space="preserve">. By separating the gas inputs, pH and DO could be regulated independently and more tightly than with a single mixed-gas sparge</w:t>
      </w:r>
      <w:hyperlink r:id="rId24">
        <w:r>
          <w:rPr>
            <w:rStyle w:val="Hyperlink"/>
          </w:rPr>
          <w:t xml:space="preserve">[6]</w:t>
        </w:r>
      </w:hyperlink>
      <w:hyperlink r:id="rId24">
        <w:r>
          <w:rPr>
            <w:rStyle w:val="Hyperlink"/>
          </w:rPr>
          <w:t xml:space="preserve">[11]</w:t>
        </w:r>
      </w:hyperlink>
      <w:r>
        <w:t xml:space="preserve">. This device – later dubbed the</w:t>
      </w:r>
      <w:r>
        <w:t xml:space="preserve"> </w:t>
      </w:r>
      <w:r>
        <w:rPr>
          <w:b/>
          <w:bCs/>
        </w:rPr>
        <w:t xml:space="preserve">“carboxygenator”</w:t>
      </w:r>
      <w:r>
        <w:t xml:space="preserve"> </w:t>
      </w:r>
      <w:r>
        <w:t xml:space="preserve">(carbon-dioxide + oxygenator) – showed the potential for much faster and more precise control of culture conditions, with minimal deviations from setpoints</w:t>
      </w:r>
      <w:hyperlink r:id="rId24">
        <w:r>
          <w:rPr>
            <w:rStyle w:val="Hyperlink"/>
          </w:rPr>
          <w:t xml:space="preserve">[14]</w:t>
        </w:r>
      </w:hyperlink>
      <w:r>
        <w:t xml:space="preserve">.</w:t>
      </w:r>
    </w:p>
    <w:p>
      <w:pPr>
        <w:pStyle w:val="BodyText"/>
      </w:pPr>
      <w:r>
        <w:rPr>
          <w:b/>
          <w:bCs/>
        </w:rPr>
        <w:t xml:space="preserve">Patent filings:</w:t>
      </w:r>
      <w:r>
        <w:t xml:space="preserve"> </w:t>
      </w:r>
      <w:r>
        <w:t xml:space="preserve">Xpand Biotechnology (the precursor to Scinus) moved quickly to protect the invention. In mid-2013, a Dutch patent application was filed for the</w:t>
      </w:r>
      <w:r>
        <w:t xml:space="preserve"> </w:t>
      </w:r>
      <w:r>
        <w:rPr>
          <w:b/>
          <w:bCs/>
        </w:rPr>
        <w:t xml:space="preserve">carboxy-oxygenator device (NL patent application no. 2011187)</w:t>
      </w:r>
      <w:hyperlink r:id="rId26">
        <w:r>
          <w:rPr>
            <w:rStyle w:val="Hyperlink"/>
          </w:rPr>
          <w:t xml:space="preserve">[15]</w:t>
        </w:r>
      </w:hyperlink>
      <w:hyperlink r:id="rId26">
        <w:r>
          <w:rPr>
            <w:rStyle w:val="Hyperlink"/>
          </w:rPr>
          <w:t xml:space="preserve">[16]</w:t>
        </w:r>
      </w:hyperlink>
      <w:r>
        <w:t xml:space="preserve">. This patent covered the core concept of using two separate gas-permeable exchange chambers for CO&lt;sub&gt;2&lt;/sub&gt; and O&lt;sub&gt;2&lt;/sub&gt; control in a single-use bioreactor. The Netherlands Patent Office’s search report was encouraging: the examiner found the claims directed specifically to dual oxygen/CO&lt;sub&gt;2&lt;/sub&gt; control to be novel and inventive, essentially recognizing that the design “covers your invention”</w:t>
      </w:r>
      <w:hyperlink r:id="rId27">
        <w:r>
          <w:rPr>
            <w:rStyle w:val="Hyperlink"/>
          </w:rPr>
          <w:t xml:space="preserve">[17]</w:t>
        </w:r>
      </w:hyperlink>
      <w:r>
        <w:t xml:space="preserve">. This positive feedback cleared the way to pursue international protection. Indeed, the 2013 filing served as the priority for a PCT application the following year, allowing expansion of patent coverage to other jurisdictions</w:t>
      </w:r>
      <w:hyperlink r:id="rId27">
        <w:r>
          <w:rPr>
            <w:rStyle w:val="Hyperlink"/>
          </w:rPr>
          <w:t xml:space="preserve">[18]</w:t>
        </w:r>
      </w:hyperlink>
      <w:r>
        <w:t xml:space="preserve">.</w:t>
      </w:r>
    </w:p>
    <w:p>
      <w:pPr>
        <w:pStyle w:val="BodyText"/>
      </w:pPr>
      <w:r>
        <w:t xml:space="preserve">Around the same time, the company filed a sister application (NL 2011189) focusing on the</w:t>
      </w:r>
      <w:r>
        <w:t xml:space="preserve"> </w:t>
      </w:r>
      <w:r>
        <w:rPr>
          <w:b/>
          <w:bCs/>
        </w:rPr>
        <w:t xml:space="preserve">overall expansion system with the disposable bioreactor bag (Prototype 3)</w:t>
      </w:r>
      <w:hyperlink r:id="rId26">
        <w:r>
          <w:rPr>
            <w:rStyle w:val="Hyperlink"/>
          </w:rPr>
          <w:t xml:space="preserve">[16]</w:t>
        </w:r>
      </w:hyperlink>
      <w:r>
        <w:t xml:space="preserve">. This covered the integrated bioreactor platform, including the bag’s volume-expansion mechanism and other features developed by 2012. It’s worth noting that Xpand had earlier (2010–2011) filed two related patents on the</w:t>
      </w:r>
      <w:r>
        <w:t xml:space="preserve"> </w:t>
      </w:r>
      <w:r>
        <w:rPr>
          <w:i/>
          <w:iCs/>
        </w:rPr>
        <w:t xml:space="preserve">perfusion process and bioreactor bag</w:t>
      </w:r>
      <w:r>
        <w:t xml:space="preserve"> </w:t>
      </w:r>
      <w:r>
        <w:t xml:space="preserve">design (WO 2011/142667 and WO 2011/142670)</w:t>
      </w:r>
      <w:hyperlink r:id="rId26">
        <w:r>
          <w:rPr>
            <w:rStyle w:val="Hyperlink"/>
          </w:rPr>
          <w:t xml:space="preserve">[15]</w:t>
        </w:r>
      </w:hyperlink>
      <w:r>
        <w:t xml:space="preserve">, establishing a foundation for the technology even before the carboxygenator was invented. In summary, by 2014 the carboxygenator and its encompassing bioreactor system were well protected by IP, and the term “patented oxygenation system” began to feature in company materials</w:t>
      </w:r>
      <w:hyperlink r:id="rId21">
        <w:r>
          <w:rPr>
            <w:rStyle w:val="Hyperlink"/>
          </w:rPr>
          <w:t xml:space="preserve">[1]</w:t>
        </w:r>
      </w:hyperlink>
      <w:r>
        <w:t xml:space="preserve">.</w:t>
      </w:r>
    </w:p>
    <w:bookmarkEnd w:id="28"/>
    <w:bookmarkStart w:id="29" w:name="Xdbf89ed3d68dd6cb4345e2bcd9e9342db076d85"/>
    <w:p>
      <w:pPr>
        <w:pStyle w:val="Heading2"/>
      </w:pPr>
      <w:r>
        <w:t xml:space="preserve">Prototype Development and Experimental Studies (2011–2013)</w:t>
      </w:r>
    </w:p>
    <w:p>
      <w:pPr>
        <w:pStyle w:val="FirstParagraph"/>
      </w:pPr>
      <w:r>
        <w:t xml:space="preserve">With the concept in hand, the team built functional</w:t>
      </w:r>
      <w:r>
        <w:t xml:space="preserve"> </w:t>
      </w:r>
      <w:r>
        <w:rPr>
          <w:b/>
          <w:bCs/>
        </w:rPr>
        <w:t xml:space="preserve">prototypes</w:t>
      </w:r>
      <w:r>
        <w:t xml:space="preserve"> </w:t>
      </w:r>
      <w:r>
        <w:t xml:space="preserve">integrating the carboxygenator. The</w:t>
      </w:r>
      <w:r>
        <w:t xml:space="preserve"> </w:t>
      </w:r>
      <w:r>
        <w:rPr>
          <w:b/>
          <w:bCs/>
        </w:rPr>
        <w:t xml:space="preserve">Prototype 2</w:t>
      </w:r>
      <w:r>
        <w:t xml:space="preserve"> </w:t>
      </w:r>
      <w:r>
        <w:t xml:space="preserve">bioreactor (2011) was the first to include the new gas control module, and by mid-2012 a refined</w:t>
      </w:r>
      <w:r>
        <w:t xml:space="preserve"> </w:t>
      </w:r>
      <w:r>
        <w:rPr>
          <w:b/>
          <w:bCs/>
        </w:rPr>
        <w:t xml:space="preserve">Prototype 3</w:t>
      </w:r>
      <w:r>
        <w:t xml:space="preserve"> </w:t>
      </w:r>
      <w:r>
        <w:t xml:space="preserve">disposable bag was introduced</w:t>
      </w:r>
      <w:hyperlink r:id="rId26">
        <w:r>
          <w:rPr>
            <w:rStyle w:val="Hyperlink"/>
          </w:rPr>
          <w:t xml:space="preserve">[19]</w:t>
        </w:r>
      </w:hyperlink>
      <w:hyperlink r:id="rId26">
        <w:r>
          <w:rPr>
            <w:rStyle w:val="Hyperlink"/>
          </w:rPr>
          <w:t xml:space="preserve">[20]</w:t>
        </w:r>
      </w:hyperlink>
      <w:r>
        <w:t xml:space="preserve">. Development efforts at this stage focused on verifying that the system could maintain a closed, sterile culture with accurate gas control and support cell growth to therapeutically relevant numbers.</w:t>
      </w:r>
    </w:p>
    <w:p>
      <w:pPr>
        <w:pStyle w:val="BodyText"/>
      </w:pPr>
      <w:r>
        <w:t xml:space="preserve">Several</w:t>
      </w:r>
      <w:r>
        <w:t xml:space="preserve"> </w:t>
      </w:r>
      <w:r>
        <w:rPr>
          <w:b/>
          <w:bCs/>
        </w:rPr>
        <w:t xml:space="preserve">internal studies</w:t>
      </w:r>
      <w:r>
        <w:t xml:space="preserve"> </w:t>
      </w:r>
      <w:r>
        <w:t xml:space="preserve">and test campaigns were conducted between 2011 and 2013 to validate the carboxygenator’s performance:</w:t>
      </w:r>
    </w:p>
    <w:p>
      <w:pPr>
        <w:numPr>
          <w:ilvl w:val="0"/>
          <w:numId w:val="1001"/>
        </w:numPr>
      </w:pPr>
      <w:r>
        <w:rPr>
          <w:b/>
          <w:bCs/>
        </w:rPr>
        <w:t xml:space="preserve">P11084 (2011)</w:t>
      </w:r>
      <w:r>
        <w:t xml:space="preserve"> </w:t>
      </w:r>
      <w:r>
        <w:t xml:space="preserve">–</w:t>
      </w:r>
      <w:r>
        <w:t xml:space="preserve"> </w:t>
      </w:r>
      <w:r>
        <w:rPr>
          <w:i/>
          <w:iCs/>
        </w:rPr>
        <w:t xml:space="preserve">MSC Expansion in Prototype 2 Bioreactor:</w:t>
      </w:r>
      <w:r>
        <w:t xml:space="preserve"> </w:t>
      </w:r>
      <w:r>
        <w:t xml:space="preserve">This feasibility study cultivated human MSCs in the perfusion bag with the new pH/DO control loops. It successfully grew the cells from an initial inoculum of ~2.5×10^6 to</w:t>
      </w:r>
      <w:r>
        <w:t xml:space="preserve"> </w:t>
      </w:r>
      <w:r>
        <w:rPr>
          <w:b/>
          <w:bCs/>
        </w:rPr>
        <w:t xml:space="preserve">5.4×10^7 cells</w:t>
      </w:r>
      <w:r>
        <w:t xml:space="preserve"> </w:t>
      </w:r>
      <w:r>
        <w:t xml:space="preserve">over 29 days</w:t>
      </w:r>
      <w:hyperlink r:id="rId26">
        <w:r>
          <w:rPr>
            <w:rStyle w:val="Hyperlink"/>
          </w:rPr>
          <w:t xml:space="preserve">[21]</w:t>
        </w:r>
      </w:hyperlink>
      <w:r>
        <w:t xml:space="preserve">, demonstrating that the carboxygenator-enabled system could support proliferation to tens of millions of cells. Notably, the carboxygenator maintained</w:t>
      </w:r>
      <w:r>
        <w:t xml:space="preserve"> </w:t>
      </w:r>
      <w:r>
        <w:rPr>
          <w:b/>
          <w:bCs/>
        </w:rPr>
        <w:t xml:space="preserve">stable pH and oxygen levels throughout</w:t>
      </w:r>
      <w:r>
        <w:t xml:space="preserve"> </w:t>
      </w:r>
      <w:r>
        <w:t xml:space="preserve">the run, confirming</w:t>
      </w:r>
      <w:r>
        <w:t xml:space="preserve"> </w:t>
      </w:r>
      <w:r>
        <w:rPr>
          <w:b/>
          <w:bCs/>
        </w:rPr>
        <w:t xml:space="preserve">accurate control of both parameters</w:t>
      </w:r>
      <w:r>
        <w:t xml:space="preserve"> </w:t>
      </w:r>
      <w:r>
        <w:t xml:space="preserve">in the absence of any headspace</w:t>
      </w:r>
      <w:hyperlink r:id="rId26">
        <w:r>
          <w:rPr>
            <w:rStyle w:val="Hyperlink"/>
          </w:rPr>
          <w:t xml:space="preserve">[22]</w:t>
        </w:r>
      </w:hyperlink>
      <w:r>
        <w:t xml:space="preserve">. The population doubling time (PDT) observed was ~153 hours, indicating cell growth was achieved, albeit with room for improvement</w:t>
      </w:r>
      <w:hyperlink r:id="rId23">
        <w:r>
          <w:rPr>
            <w:rStyle w:val="Hyperlink"/>
          </w:rPr>
          <w:t xml:space="preserve">[23]</w:t>
        </w:r>
      </w:hyperlink>
      <w:r>
        <w:t xml:space="preserve">.</w:t>
      </w:r>
    </w:p>
    <w:p>
      <w:pPr>
        <w:numPr>
          <w:ilvl w:val="0"/>
          <w:numId w:val="1001"/>
        </w:numPr>
      </w:pPr>
      <w:r>
        <w:rPr>
          <w:b/>
          <w:bCs/>
        </w:rPr>
        <w:t xml:space="preserve">P11071 (2011)</w:t>
      </w:r>
      <w:r>
        <w:t xml:space="preserve"> </w:t>
      </w:r>
      <w:r>
        <w:t xml:space="preserve">–</w:t>
      </w:r>
      <w:r>
        <w:t xml:space="preserve"> </w:t>
      </w:r>
      <w:r>
        <w:rPr>
          <w:i/>
          <w:iCs/>
        </w:rPr>
        <w:t xml:space="preserve">Oxygen Transfer Capacity:</w:t>
      </w:r>
      <w:r>
        <w:t xml:space="preserve"> </w:t>
      </w:r>
      <w:r>
        <w:t xml:space="preserve">In parallel, engineering tests measured the oxygenator’s gas transfer efficiency. Results showed the initial oxygenation module could raise DO by about 60% (not a full 100% saturation increase) at a medium flow rate of 10 mL/min</w:t>
      </w:r>
      <w:hyperlink r:id="rId23">
        <w:r>
          <w:rPr>
            <w:rStyle w:val="Hyperlink"/>
          </w:rPr>
          <w:t xml:space="preserve">[24]</w:t>
        </w:r>
      </w:hyperlink>
      <w:r>
        <w:t xml:space="preserve">. This revealed a</w:t>
      </w:r>
      <w:r>
        <w:t xml:space="preserve"> </w:t>
      </w:r>
      <w:r>
        <w:rPr>
          <w:b/>
          <w:bCs/>
        </w:rPr>
        <w:t xml:space="preserve">capacity limit</w:t>
      </w:r>
      <w:r>
        <w:t xml:space="preserve"> </w:t>
      </w:r>
      <w:r>
        <w:t xml:space="preserve">in the prototype – valuable data that would guide later design tweaks (such as increasing membrane surface area or flow rates). Nonetheless, 60% DO modulation was sufficient for typical cell culture needs, and these findings validated the basic sizing of the O&lt;sub&gt;2&lt;/sub&gt; exchange section.</w:t>
      </w:r>
    </w:p>
    <w:p>
      <w:pPr>
        <w:numPr>
          <w:ilvl w:val="0"/>
          <w:numId w:val="1001"/>
        </w:numPr>
      </w:pPr>
      <w:r>
        <w:rPr>
          <w:b/>
          <w:bCs/>
        </w:rPr>
        <w:t xml:space="preserve">P11053 (2011)</w:t>
      </w:r>
      <w:r>
        <w:t xml:space="preserve"> </w:t>
      </w:r>
      <w:r>
        <w:t xml:space="preserve">–</w:t>
      </w:r>
      <w:r>
        <w:t xml:space="preserve"> </w:t>
      </w:r>
      <w:r>
        <w:rPr>
          <w:i/>
          <w:iCs/>
        </w:rPr>
        <w:t xml:space="preserve">System Integrity Tests:</w:t>
      </w:r>
      <w:r>
        <w:t xml:space="preserve"> </w:t>
      </w:r>
      <w:r>
        <w:t xml:space="preserve">This campaign performed leak tests and functional checks on the carboxygenator module and the overall fluid circuit. It verified that the</w:t>
      </w:r>
      <w:r>
        <w:t xml:space="preserve"> </w:t>
      </w:r>
      <w:r>
        <w:rPr>
          <w:b/>
          <w:bCs/>
        </w:rPr>
        <w:t xml:space="preserve">carboxygenator unit was leak-tight</w:t>
      </w:r>
      <w:r>
        <w:t xml:space="preserve"> </w:t>
      </w:r>
      <w:r>
        <w:t xml:space="preserve">– no gas escaped into the cabinet – and that relocating the pump after the gas exchanger indeed minimized bubble accumulation in the bag</w:t>
      </w:r>
      <w:hyperlink r:id="rId23">
        <w:r>
          <w:rPr>
            <w:rStyle w:val="Hyperlink"/>
          </w:rPr>
          <w:t xml:space="preserve">[25]</w:t>
        </w:r>
      </w:hyperlink>
      <w:r>
        <w:t xml:space="preserve">. These tests proved the</w:t>
      </w:r>
      <w:r>
        <w:t xml:space="preserve"> </w:t>
      </w:r>
      <w:r>
        <w:rPr>
          <w:b/>
          <w:bCs/>
        </w:rPr>
        <w:t xml:space="preserve">closed-loop system integrity</w:t>
      </w:r>
      <w:r>
        <w:t xml:space="preserve">: gas was transferring across the silicone tubing as intended, without introducing air into the culture.</w:t>
      </w:r>
    </w:p>
    <w:p>
      <w:pPr>
        <w:numPr>
          <w:ilvl w:val="0"/>
          <w:numId w:val="1001"/>
        </w:numPr>
      </w:pPr>
      <w:r>
        <w:rPr>
          <w:b/>
          <w:bCs/>
        </w:rPr>
        <w:t xml:space="preserve">P12011 (2012)</w:t>
      </w:r>
      <w:r>
        <w:t xml:space="preserve"> </w:t>
      </w:r>
      <w:r>
        <w:t xml:space="preserve">–</w:t>
      </w:r>
      <w:r>
        <w:t xml:space="preserve"> </w:t>
      </w:r>
      <w:r>
        <w:rPr>
          <w:i/>
          <w:iCs/>
        </w:rPr>
        <w:t xml:space="preserve">Comparative Culture Performance:</w:t>
      </w:r>
      <w:r>
        <w:t xml:space="preserve"> </w:t>
      </w:r>
      <w:r>
        <w:t xml:space="preserve">Once basic functionality was confirmed, the team examined cell growth kinetics more closely. In study P12011, MSC expansion in the Xpand perfusion bioreactor was</w:t>
      </w:r>
      <w:r>
        <w:t xml:space="preserve"> </w:t>
      </w:r>
      <w:r>
        <w:rPr>
          <w:b/>
          <w:bCs/>
        </w:rPr>
        <w:t xml:space="preserve">compared to a conventional stirred flask</w:t>
      </w:r>
      <w:r>
        <w:t xml:space="preserve"> </w:t>
      </w:r>
      <w:r>
        <w:t xml:space="preserve">(which used a 5% CO&lt;sub&gt;2&lt;/sub&gt; headspace for pH control)</w:t>
      </w:r>
      <w:hyperlink r:id="rId23">
        <w:r>
          <w:rPr>
            <w:rStyle w:val="Hyperlink"/>
          </w:rPr>
          <w:t xml:space="preserve">[26]</w:t>
        </w:r>
      </w:hyperlink>
      <w:r>
        <w:t xml:space="preserve">. The result highlighted an early drawback of the closed system: the MSC growth rate in the perfusion bag was</w:t>
      </w:r>
      <w:r>
        <w:t xml:space="preserve"> </w:t>
      </w:r>
      <w:r>
        <w:rPr>
          <w:b/>
          <w:bCs/>
        </w:rPr>
        <w:t xml:space="preserve">slower</w:t>
      </w:r>
      <w:r>
        <w:t xml:space="preserve"> </w:t>
      </w:r>
      <w:r>
        <w:t xml:space="preserve">than in the stirred vessel with headspace aeration</w:t>
      </w:r>
      <w:hyperlink r:id="rId23">
        <w:r>
          <w:rPr>
            <w:rStyle w:val="Hyperlink"/>
          </w:rPr>
          <w:t xml:space="preserve">[27]</w:t>
        </w:r>
      </w:hyperlink>
      <w:r>
        <w:t xml:space="preserve">. Investigators surmised that direct CO&lt;sub&gt;2&lt;/sub&gt; diffusion into the medium (as in the carboxygenator) created a different pH dynamic than a buffered headspace, and cells appeared to prefer the gentle pH equilibration that a headspace provides</w:t>
      </w:r>
      <w:hyperlink r:id="rId23">
        <w:r>
          <w:rPr>
            <w:rStyle w:val="Hyperlink"/>
          </w:rPr>
          <w:t xml:space="preserve">[27]</w:t>
        </w:r>
      </w:hyperlink>
      <w:r>
        <w:t xml:space="preserve">. An auxiliary experiment on</w:t>
      </w:r>
      <w:r>
        <w:t xml:space="preserve"> </w:t>
      </w:r>
      <w:r>
        <w:rPr>
          <w:b/>
          <w:bCs/>
        </w:rPr>
        <w:t xml:space="preserve">pCO&lt;sub&gt;2&lt;/sub&gt; effects</w:t>
      </w:r>
      <w:r>
        <w:t xml:space="preserve"> </w:t>
      </w:r>
      <w:r>
        <w:t xml:space="preserve">supported this, finding that a high 10% CO&lt;sub&gt;2&lt;/sub&gt; environment could inhibit MSC growth compared to the standard 5%</w:t>
      </w:r>
      <w:hyperlink r:id="rId23">
        <w:r>
          <w:rPr>
            <w:rStyle w:val="Hyperlink"/>
          </w:rPr>
          <w:t xml:space="preserve">[28]</w:t>
        </w:r>
      </w:hyperlink>
      <w:r>
        <w:t xml:space="preserve">. These insights prompted adjustments to the control algorithm – for example, avoiding overshooting CO&lt;sub&gt;2&lt;/sub&gt; levels and potentially using N&lt;sub&gt;2&lt;/sub&gt; to modulate pH more gradually – to improve cell comfort in the closed system.</w:t>
      </w:r>
    </w:p>
    <w:p>
      <w:pPr>
        <w:numPr>
          <w:ilvl w:val="0"/>
          <w:numId w:val="1001"/>
        </w:numPr>
      </w:pPr>
      <w:r>
        <w:rPr>
          <w:b/>
          <w:bCs/>
        </w:rPr>
        <w:t xml:space="preserve">P13010 &amp; P13033 (2013)</w:t>
      </w:r>
      <w:r>
        <w:t xml:space="preserve"> </w:t>
      </w:r>
      <w:r>
        <w:t xml:space="preserve">–</w:t>
      </w:r>
      <w:r>
        <w:t xml:space="preserve"> </w:t>
      </w:r>
      <w:r>
        <w:rPr>
          <w:i/>
          <w:iCs/>
        </w:rPr>
        <w:t xml:space="preserve">Optimization of Gas Setpoints:</w:t>
      </w:r>
      <w:r>
        <w:t xml:space="preserve"> </w:t>
      </w:r>
      <w:r>
        <w:t xml:space="preserve">By 2013, the team had refined the gas control strategy and wanted to demonstrate that the perfusion bioreactor could meet or</w:t>
      </w:r>
      <w:r>
        <w:t xml:space="preserve"> </w:t>
      </w:r>
      <w:r>
        <w:rPr>
          <w:b/>
          <w:bCs/>
        </w:rPr>
        <w:t xml:space="preserve">exceed performance of traditional systems</w:t>
      </w:r>
      <w:r>
        <w:t xml:space="preserve">. In these studies, MSC cultures in the Prototype 2/3 bioreactor (with microcarriers) were run under optimized conditions and benchmarked against stirred vessels at various DO setpoints. The outcome was very encouraging: the</w:t>
      </w:r>
      <w:r>
        <w:t xml:space="preserve"> </w:t>
      </w:r>
      <w:r>
        <w:rPr>
          <w:b/>
          <w:bCs/>
        </w:rPr>
        <w:t xml:space="preserve">bag-based cultures achieved equal or higher cell yields than the best-performing stirred condition</w:t>
      </w:r>
      <w:r>
        <w:t xml:space="preserve">, and at lower oxygen tensions the bag clearly outperformed the spinner cultures</w:t>
      </w:r>
      <w:hyperlink r:id="rId23">
        <w:r>
          <w:rPr>
            <w:rStyle w:val="Hyperlink"/>
          </w:rPr>
          <w:t xml:space="preserve">[29]</w:t>
        </w:r>
      </w:hyperlink>
      <w:hyperlink r:id="rId23">
        <w:r>
          <w:rPr>
            <w:rStyle w:val="Hyperlink"/>
          </w:rPr>
          <w:t xml:space="preserve">[30]</w:t>
        </w:r>
      </w:hyperlink>
      <w:r>
        <w:t xml:space="preserve">. In other words, once the DO and CO&lt;sub&gt;2&lt;/sub&gt; control loops were tuned, the</w:t>
      </w:r>
      <w:r>
        <w:t xml:space="preserve"> </w:t>
      </w:r>
      <w:r>
        <w:rPr>
          <w:b/>
          <w:bCs/>
        </w:rPr>
        <w:t xml:space="preserve">closed perfusion system was actually superior</w:t>
      </w:r>
      <w:r>
        <w:t xml:space="preserve"> </w:t>
      </w:r>
      <w:r>
        <w:t xml:space="preserve">in supporting MSC growth (likely due to its low-shear, well-mixed environment). By late 2013, the data showed cells on Cytodex microcarriers in the perfusion bag proliferating better than those in flasks or stirred bioreactors</w:t>
      </w:r>
      <w:hyperlink r:id="rId23">
        <w:r>
          <w:rPr>
            <w:rStyle w:val="Hyperlink"/>
          </w:rPr>
          <w:t xml:space="preserve">[30]</w:t>
        </w:r>
      </w:hyperlink>
      <w:r>
        <w:t xml:space="preserve">, effectively validating the carboxygenator-based approach after the earlier hurdles.</w:t>
      </w:r>
    </w:p>
    <w:p>
      <w:pPr>
        <w:pStyle w:val="FirstParagraph"/>
      </w:pPr>
      <w:r>
        <w:t xml:space="preserve">In summary, the 2011–2013 experiments proved the carboxygenator concept was not only feasible but advantageous. The device could tightly regulate pH and oxygen without a headspace, maintain a bubble-free culture, and sustain MSC expansions to tens of millions of cells. The lessons learned (e.g. about CO&lt;sub&gt;2&lt;/sub&gt; levels and gas transfer rates) fed back into design improvements. By the end of this period,</w:t>
      </w:r>
      <w:r>
        <w:t xml:space="preserve"> </w:t>
      </w:r>
      <w:r>
        <w:rPr>
          <w:b/>
          <w:bCs/>
        </w:rPr>
        <w:t xml:space="preserve">Prototype 3</w:t>
      </w:r>
      <w:r>
        <w:t xml:space="preserve"> </w:t>
      </w:r>
      <w:r>
        <w:t xml:space="preserve">of the bioreactor was finalized with a volume-expandable bag and integrated sensors, and the carboxygenator design was locked in for the first commercial units</w:t>
      </w:r>
      <w:hyperlink r:id="rId26">
        <w:r>
          <w:rPr>
            <w:rStyle w:val="Hyperlink"/>
          </w:rPr>
          <w:t xml:space="preserve">[19]</w:t>
        </w:r>
      </w:hyperlink>
      <w:hyperlink r:id="rId26">
        <w:r>
          <w:rPr>
            <w:rStyle w:val="Hyperlink"/>
          </w:rPr>
          <w:t xml:space="preserve">[22]</w:t>
        </w:r>
      </w:hyperlink>
      <w:r>
        <w:t xml:space="preserve">.</w:t>
      </w:r>
    </w:p>
    <w:bookmarkEnd w:id="29"/>
    <w:bookmarkStart w:id="32" w:name="X53131f2592cb6da3205e929ef5f038c1819fbd3"/>
    <w:p>
      <w:pPr>
        <w:pStyle w:val="Heading2"/>
      </w:pPr>
      <w:r>
        <w:t xml:space="preserve">Commercialization and Validation (2014–2019)</w:t>
      </w:r>
    </w:p>
    <w:p>
      <w:pPr>
        <w:pStyle w:val="FirstParagraph"/>
      </w:pPr>
      <w:r>
        <w:rPr>
          <w:b/>
          <w:bCs/>
        </w:rPr>
        <w:t xml:space="preserve">Product launch and partnerships:</w:t>
      </w:r>
      <w:r>
        <w:t xml:space="preserve"> </w:t>
      </w:r>
      <w:r>
        <w:t xml:space="preserve">Following the successful prototyping phase, the focus shifted to productization and scale-up. Xpand’s bioreactor project was spun out into a dedicated company,</w:t>
      </w:r>
      <w:r>
        <w:t xml:space="preserve"> </w:t>
      </w:r>
      <w:r>
        <w:rPr>
          <w:b/>
          <w:bCs/>
        </w:rPr>
        <w:t xml:space="preserve">Scinus Cell Expansion B.V.</w:t>
      </w:r>
      <w:r>
        <w:t xml:space="preserve">, which was founded to commercialize the technology. The core system – consisting of the</w:t>
      </w:r>
      <w:r>
        <w:t xml:space="preserve"> </w:t>
      </w:r>
      <w:r>
        <w:rPr>
          <w:b/>
          <w:bCs/>
        </w:rPr>
        <w:t xml:space="preserve">rocking control cabinet</w:t>
      </w:r>
      <w:r>
        <w:t xml:space="preserve"> </w:t>
      </w:r>
      <w:r>
        <w:t xml:space="preserve">and the</w:t>
      </w:r>
      <w:r>
        <w:t xml:space="preserve"> </w:t>
      </w:r>
      <w:r>
        <w:rPr>
          <w:b/>
          <w:bCs/>
        </w:rPr>
        <w:t xml:space="preserve">single-use bioreactor bag</w:t>
      </w:r>
      <w:r>
        <w:t xml:space="preserve"> </w:t>
      </w:r>
      <w:r>
        <w:t xml:space="preserve">– was prepared for manufacturing under GMP and for CE marking as a laboratory device</w:t>
      </w:r>
      <w:hyperlink r:id="rId26">
        <w:r>
          <w:rPr>
            <w:rStyle w:val="Hyperlink"/>
          </w:rPr>
          <w:t xml:space="preserve">[31]</w:t>
        </w:r>
      </w:hyperlink>
      <w:hyperlink r:id="rId26">
        <w:r>
          <w:rPr>
            <w:rStyle w:val="Hyperlink"/>
          </w:rPr>
          <w:t xml:space="preserve">[32]</w:t>
        </w:r>
      </w:hyperlink>
      <w:r>
        <w:t xml:space="preserve">. Scinus partnered with established manufacturers for key components:</w:t>
      </w:r>
      <w:r>
        <w:t xml:space="preserve"> </w:t>
      </w:r>
      <w:r>
        <w:rPr>
          <w:b/>
          <w:bCs/>
        </w:rPr>
        <w:t xml:space="preserve">Applikon Biotechnology B.V.</w:t>
      </w:r>
      <w:r>
        <w:t xml:space="preserve"> </w:t>
      </w:r>
      <w:r>
        <w:t xml:space="preserve">was contracted to produce the rocking platform (control cabinet), and</w:t>
      </w:r>
      <w:r>
        <w:t xml:space="preserve"> </w:t>
      </w:r>
      <w:r>
        <w:rPr>
          <w:b/>
          <w:bCs/>
        </w:rPr>
        <w:t xml:space="preserve">Medistad</w:t>
      </w:r>
      <w:r>
        <w:t xml:space="preserve"> </w:t>
      </w:r>
      <w:r>
        <w:t xml:space="preserve">(later part of Pall Corporation) was engaged to fabricate the disposable bags and tubing sets</w:t>
      </w:r>
      <w:hyperlink r:id="rId26">
        <w:r>
          <w:rPr>
            <w:rStyle w:val="Hyperlink"/>
          </w:rPr>
          <w:t xml:space="preserve">[33]</w:t>
        </w:r>
      </w:hyperlink>
      <w:r>
        <w:t xml:space="preserve">. These partnerships, initiated around 2013–2014, ensured that the first-generation Scinus bioreactor would meet quality standards and could be produced in small series. By mid-decade, the Scinus system (sometimes referred to as the</w:t>
      </w:r>
      <w:r>
        <w:t xml:space="preserve"> </w:t>
      </w:r>
      <w:r>
        <w:rPr>
          <w:b/>
          <w:bCs/>
        </w:rPr>
        <w:t xml:space="preserve">Xpand® bioreactor</w:t>
      </w:r>
      <w:r>
        <w:t xml:space="preserve"> </w:t>
      </w:r>
      <w:r>
        <w:t xml:space="preserve">in early marketing) was being deployed in-house and with pilot customers, focusing on stem cell expansion applications.</w:t>
      </w:r>
    </w:p>
    <w:p>
      <w:pPr>
        <w:pStyle w:val="BodyText"/>
      </w:pPr>
      <w:r>
        <w:rPr>
          <w:b/>
          <w:bCs/>
        </w:rPr>
        <w:t xml:space="preserve">Internal QA/validation:</w:t>
      </w:r>
      <w:r>
        <w:t xml:space="preserve"> </w:t>
      </w:r>
      <w:r>
        <w:t xml:space="preserve">As the product neared market readiness, formal verification and validation tests were performed. The carboxygenator underwent rigorous safety checks (e.g. pressure tests, sterilization validation) and the entire system was put through stress tests. For example, a 2015 “Stress Test” report showed the cabinet and gas control working robustly under continuous operation. A Design History File (DHF) was compiled, and by 2016 the device achieved CE certification for use in EU labs (as a bioreactor system for cell culture). These steps allowed Scinus to move the bioreactor into real-world trials and collaborations.</w:t>
      </w:r>
    </w:p>
    <w:p>
      <w:pPr>
        <w:pStyle w:val="BodyText"/>
      </w:pPr>
      <w:r>
        <w:rPr>
          <w:b/>
          <w:bCs/>
        </w:rPr>
        <w:t xml:space="preserve">Scientific validation – publication in 2019:</w:t>
      </w:r>
      <w:r>
        <w:t xml:space="preserve"> </w:t>
      </w:r>
      <w:r>
        <w:t xml:space="preserve">A major milestone was the first peer-reviewed</w:t>
      </w:r>
      <w:r>
        <w:t xml:space="preserve"> </w:t>
      </w:r>
      <w:r>
        <w:rPr>
          <w:b/>
          <w:bCs/>
        </w:rPr>
        <w:t xml:space="preserve">publication</w:t>
      </w:r>
      <w:r>
        <w:t xml:space="preserve"> </w:t>
      </w:r>
      <w:r>
        <w:t xml:space="preserve">arising from the carboxygenator-enabled system. In 2019, Scinus researchers (Das</w:t>
      </w:r>
      <w:r>
        <w:t xml:space="preserve"> </w:t>
      </w:r>
      <w:r>
        <w:rPr>
          <w:i/>
          <w:iCs/>
        </w:rPr>
        <w:t xml:space="preserve">et al</w:t>
      </w:r>
      <w:r>
        <w:t xml:space="preserve">., with R. Roosloot as co-author) published a paper in the</w:t>
      </w:r>
      <w:r>
        <w:t xml:space="preserve"> </w:t>
      </w:r>
      <w:r>
        <w:rPr>
          <w:i/>
          <w:iCs/>
        </w:rPr>
        <w:t xml:space="preserve">Journal of Translational Medicine</w:t>
      </w:r>
      <w:r>
        <w:t xml:space="preserve"> </w:t>
      </w:r>
      <w:r>
        <w:t xml:space="preserve">demonstrating</w:t>
      </w:r>
      <w:r>
        <w:t xml:space="preserve"> </w:t>
      </w:r>
      <w:r>
        <w:rPr>
          <w:b/>
          <w:bCs/>
        </w:rPr>
        <w:t xml:space="preserve">equivalence between bioreactor-expanded MSCs and traditional flask-expanded MSCs</w:t>
      </w:r>
      <w:hyperlink r:id="rId30">
        <w:r>
          <w:rPr>
            <w:rStyle w:val="Hyperlink"/>
          </w:rPr>
          <w:t xml:space="preserve">[34]</w:t>
        </w:r>
      </w:hyperlink>
      <w:r>
        <w:t xml:space="preserve">. In this study, bone marrow-derived MSCs were expanded in the Scinus perfusion bioreactor (using the carboxygenator for pH/DO control) and in standard T-flasks, and their growth kinetics and cell quality attributes were compared. The bioreactor achieved over 2000-fold expansion in a single passage, reaching ~1×10^9 cells (enough for a dose) in 14–17 days</w:t>
      </w:r>
      <w:hyperlink r:id="rId30">
        <w:r>
          <w:rPr>
            <w:rStyle w:val="Hyperlink"/>
          </w:rPr>
          <w:t xml:space="preserve">[35]</w:t>
        </w:r>
      </w:hyperlink>
      <w:r>
        <w:t xml:space="preserve">. Crucially, the cells produced in the bioreactor were</w:t>
      </w:r>
      <w:r>
        <w:t xml:space="preserve"> </w:t>
      </w:r>
      <w:r>
        <w:rPr>
          <w:b/>
          <w:bCs/>
        </w:rPr>
        <w:t xml:space="preserve">indistinguishable from flask-grown cells</w:t>
      </w:r>
      <w:r>
        <w:t xml:space="preserve"> </w:t>
      </w:r>
      <w:r>
        <w:t xml:space="preserve">in terms of phenotype (positive for CD73/CD90/CD105, trilineage differentiation capacity) and functional immunomodulatory markers</w:t>
      </w:r>
      <w:hyperlink r:id="rId30">
        <w:r>
          <w:rPr>
            <w:rStyle w:val="Hyperlink"/>
          </w:rPr>
          <w:t xml:space="preserve">[34]</w:t>
        </w:r>
      </w:hyperlink>
      <w:hyperlink r:id="rId30">
        <w:r>
          <w:rPr>
            <w:rStyle w:val="Hyperlink"/>
          </w:rPr>
          <w:t xml:space="preserve">[36]</w:t>
        </w:r>
      </w:hyperlink>
      <w:r>
        <w:t xml:space="preserve">. The paper,</w:t>
      </w:r>
      <w:r>
        <w:t xml:space="preserve"> </w:t>
      </w:r>
      <w:r>
        <w:rPr>
          <w:b/>
          <w:bCs/>
        </w:rPr>
        <w:t xml:space="preserve">“Preparing for cell culture scale-out: establishing parity of bioreactor- and flask-expanded mesenchymal stromal cells,”</w:t>
      </w:r>
      <w:r>
        <w:t xml:space="preserve"> </w:t>
      </w:r>
      <w:r>
        <w:t xml:space="preserve">provided external validation that the Scinus system could reliably grow therapeutic cells at scale without altering their critical properties. This was a key proof-point for prospective users and helped build confidence in the carboxygenator-based technology.</w:t>
      </w:r>
    </w:p>
    <w:p>
      <w:pPr>
        <w:pStyle w:val="BodyText"/>
      </w:pPr>
      <w:r>
        <w:t xml:space="preserve">During this period, the Scinus bioreactor was also employed in various collaborative projects and case studies. For instance, Scinus participated in the EU-funded</w:t>
      </w:r>
      <w:r>
        <w:t xml:space="preserve"> </w:t>
      </w:r>
      <w:r>
        <w:rPr>
          <w:b/>
          <w:bCs/>
        </w:rPr>
        <w:t xml:space="preserve">MUSIC</w:t>
      </w:r>
      <w:r>
        <w:t xml:space="preserve"> </w:t>
      </w:r>
      <w:r>
        <w:t xml:space="preserve">consortium (2017–2019) on urinary incontinence therapy, where a closed bioreactor process for producing clinical-grade MSCs was a deliverable</w:t>
      </w:r>
      <w:hyperlink r:id="rId31">
        <w:r>
          <w:rPr>
            <w:rStyle w:val="Hyperlink"/>
          </w:rPr>
          <w:t xml:space="preserve">[37]</w:t>
        </w:r>
      </w:hyperlink>
      <w:hyperlink r:id="rId31">
        <w:r>
          <w:rPr>
            <w:rStyle w:val="Hyperlink"/>
          </w:rPr>
          <w:t xml:space="preserve">[38]</w:t>
        </w:r>
      </w:hyperlink>
      <w:r>
        <w:t xml:space="preserve">. The carboxygenator’s ability to maintain a controlled atmosphere in a closed system aligned perfectly with the goal of GMP-compliant, xeno-free cell manufacturing</w:t>
      </w:r>
      <w:hyperlink r:id="rId31">
        <w:r>
          <w:rPr>
            <w:rStyle w:val="Hyperlink"/>
          </w:rPr>
          <w:t xml:space="preserve">[39]</w:t>
        </w:r>
      </w:hyperlink>
      <w:r>
        <w:t xml:space="preserve">. By 2019, the technology had matured from an internal prototype to a field-tested product: multiple</w:t>
      </w:r>
      <w:r>
        <w:t xml:space="preserve"> </w:t>
      </w:r>
      <w:r>
        <w:rPr>
          <w:b/>
          <w:bCs/>
        </w:rPr>
        <w:t xml:space="preserve">Scinus bioreactor units</w:t>
      </w:r>
      <w:r>
        <w:t xml:space="preserve"> </w:t>
      </w:r>
      <w:r>
        <w:t xml:space="preserve">were in use at partner sites and in-house, expanding not only MSCs but also other cell types (e.g. the team explored T-cells, NK cells, and organoid cultures in the system as new applications</w:t>
      </w:r>
      <w:hyperlink r:id="rId30">
        <w:r>
          <w:rPr>
            <w:rStyle w:val="Hyperlink"/>
          </w:rPr>
          <w:t xml:space="preserve">[40]</w:t>
        </w:r>
      </w:hyperlink>
      <w:hyperlink r:id="rId30">
        <w:r>
          <w:rPr>
            <w:rStyle w:val="Hyperlink"/>
          </w:rPr>
          <w:t xml:space="preserve">[41]</w:t>
        </w:r>
      </w:hyperlink>
      <w:r>
        <w:t xml:space="preserve">). The successful track record set the stage for scaling up production and improving the design based on user feedback.</w:t>
      </w:r>
    </w:p>
    <w:bookmarkEnd w:id="32"/>
    <w:bookmarkStart w:id="35" w:name="next-generation-improvements-20202025"/>
    <w:p>
      <w:pPr>
        <w:pStyle w:val="Heading2"/>
      </w:pPr>
      <w:r>
        <w:t xml:space="preserve">Next-Generation Improvements (2020–2025)</w:t>
      </w:r>
    </w:p>
    <w:p>
      <w:pPr>
        <w:pStyle w:val="FirstParagraph"/>
      </w:pPr>
      <w:r>
        <w:t xml:space="preserve">Building on the first-generation platform’s success and lessons learned, Scinus embarked on developing a</w:t>
      </w:r>
      <w:r>
        <w:t xml:space="preserve"> </w:t>
      </w:r>
      <w:r>
        <w:rPr>
          <w:b/>
          <w:bCs/>
        </w:rPr>
        <w:t xml:space="preserve">Next Generation (NG) bioreactor system</w:t>
      </w:r>
      <w:r>
        <w:t xml:space="preserve"> </w:t>
      </w:r>
      <w:r>
        <w:t xml:space="preserve">in the 2020s. The aim was to enhance usability, performance, and versatility (including support for suspension cell cultures such as CAR-T cells). The carboxygenator technology remained central to the design, but several</w:t>
      </w:r>
      <w:r>
        <w:t xml:space="preserve"> </w:t>
      </w:r>
      <w:r>
        <w:rPr>
          <w:i/>
          <w:iCs/>
        </w:rPr>
        <w:t xml:space="preserve">engineering refinements</w:t>
      </w:r>
      <w:r>
        <w:t xml:space="preserve"> </w:t>
      </w:r>
      <w:r>
        <w:t xml:space="preserve">were introduced:</w:t>
      </w:r>
    </w:p>
    <w:p>
      <w:pPr>
        <w:numPr>
          <w:ilvl w:val="0"/>
          <w:numId w:val="1002"/>
        </w:numPr>
      </w:pPr>
      <w:r>
        <w:rPr>
          <w:b/>
          <w:bCs/>
        </w:rPr>
        <w:t xml:space="preserve">Enhanced Carboxygenator Design:</w:t>
      </w:r>
      <w:r>
        <w:t xml:space="preserve"> </w:t>
      </w:r>
      <w:r>
        <w:t xml:space="preserve">The NG carboxygenator was re-engineered for</w:t>
      </w:r>
      <w:r>
        <w:t xml:space="preserve"> </w:t>
      </w:r>
      <w:r>
        <w:rPr>
          <w:b/>
          <w:bCs/>
        </w:rPr>
        <w:t xml:space="preserve">user-friendliness and reliability</w:t>
      </w:r>
      <w:r>
        <w:t xml:space="preserve">. Originally, the gas-exchange module was clamped with 8 screws; the NG version uses a quick-lock mechanism with just</w:t>
      </w:r>
      <w:r>
        <w:t xml:space="preserve"> </w:t>
      </w:r>
      <w:r>
        <w:rPr>
          <w:b/>
          <w:bCs/>
        </w:rPr>
        <w:t xml:space="preserve">two handles for closure</w:t>
      </w:r>
      <w:r>
        <w:t xml:space="preserve">, making assembly and disassembly much faster</w:t>
      </w:r>
      <w:hyperlink r:id="rId33">
        <w:r>
          <w:rPr>
            <w:rStyle w:val="Hyperlink"/>
          </w:rPr>
          <w:t xml:space="preserve">[42]</w:t>
        </w:r>
      </w:hyperlink>
      <w:r>
        <w:t xml:space="preserve">.</w:t>
      </w:r>
      <w:r>
        <w:t xml:space="preserve"> </w:t>
      </w:r>
      <w:r>
        <w:rPr>
          <w:b/>
          <w:bCs/>
        </w:rPr>
        <w:t xml:space="preserve">Integrated seals</w:t>
      </w:r>
      <w:r>
        <w:t xml:space="preserve"> </w:t>
      </w:r>
      <w:r>
        <w:t xml:space="preserve">were added, so operators can no longer forget to install an O-ring or gasket – this reduces user error and ensures a tight seal every run</w:t>
      </w:r>
      <w:hyperlink r:id="rId33">
        <w:r>
          <w:rPr>
            <w:rStyle w:val="Hyperlink"/>
          </w:rPr>
          <w:t xml:space="preserve">[42]</w:t>
        </w:r>
      </w:hyperlink>
      <w:r>
        <w:t xml:space="preserve">. An</w:t>
      </w:r>
      <w:r>
        <w:t xml:space="preserve"> </w:t>
      </w:r>
      <w:r>
        <w:rPr>
          <w:b/>
          <w:bCs/>
        </w:rPr>
        <w:t xml:space="preserve">automated self-test</w:t>
      </w:r>
      <w:r>
        <w:t xml:space="preserve"> </w:t>
      </w:r>
      <w:r>
        <w:t xml:space="preserve">was implemented: the system now checks that the carboxygenator is properly closed and that gas flow paths are leak-free before starting a culture</w:t>
      </w:r>
      <w:hyperlink r:id="rId33">
        <w:r>
          <w:rPr>
            <w:rStyle w:val="Hyperlink"/>
          </w:rPr>
          <w:t xml:space="preserve">[42]</w:t>
        </w:r>
      </w:hyperlink>
      <w:r>
        <w:t xml:space="preserve">. Physically, the carboxygenator in the NG model is</w:t>
      </w:r>
      <w:r>
        <w:t xml:space="preserve"> </w:t>
      </w:r>
      <w:r>
        <w:rPr>
          <w:b/>
          <w:bCs/>
        </w:rPr>
        <w:t xml:space="preserve">positioned beneath the rocking platform</w:t>
      </w:r>
      <w:r>
        <w:t xml:space="preserve"> </w:t>
      </w:r>
      <w:r>
        <w:t xml:space="preserve">(instead of beside it), which both saves space and simplifies the tubing layout into the culture bag</w:t>
      </w:r>
      <w:hyperlink r:id="rId33">
        <w:r>
          <w:rPr>
            <w:rStyle w:val="Hyperlink"/>
          </w:rPr>
          <w:t xml:space="preserve">[43]</w:t>
        </w:r>
      </w:hyperlink>
      <w:r>
        <w:t xml:space="preserve">. These improvements streamlined the module’s operation while maintaining its gas-exchange efficacy.</w:t>
      </w:r>
    </w:p>
    <w:p>
      <w:pPr>
        <w:numPr>
          <w:ilvl w:val="0"/>
          <w:numId w:val="1002"/>
        </w:numPr>
      </w:pPr>
      <w:r>
        <w:rPr>
          <w:b/>
          <w:bCs/>
        </w:rPr>
        <w:t xml:space="preserve">Advanced Gas Control Algorithms:</w:t>
      </w:r>
      <w:r>
        <w:t xml:space="preserve"> </w:t>
      </w:r>
      <w:r>
        <w:t xml:space="preserve">On the process control side, the NG system moved from simple on/off solenoid control of gas flow to a more</w:t>
      </w:r>
      <w:r>
        <w:t xml:space="preserve"> </w:t>
      </w:r>
      <w:r>
        <w:rPr>
          <w:b/>
          <w:bCs/>
        </w:rPr>
        <w:t xml:space="preserve">precise flow-regulation approach</w:t>
      </w:r>
      <w:r>
        <w:t xml:space="preserve">. Instead of pulsing gas valves to hit setpoints (which can cause oscillations around the target), the new design uses a</w:t>
      </w:r>
      <w:r>
        <w:t xml:space="preserve"> </w:t>
      </w:r>
      <w:r>
        <w:rPr>
          <w:b/>
          <w:bCs/>
        </w:rPr>
        <w:t xml:space="preserve">fixed total gas flow</w:t>
      </w:r>
      <w:r>
        <w:t xml:space="preserve"> </w:t>
      </w:r>
      <w:r>
        <w:t xml:space="preserve">that is continuously mixed and adjusted in proportion (e.g. blending O&lt;sub&gt;2&lt;/sub&gt; and CO&lt;sub&gt;2&lt;/sub&gt; at set ratios)</w:t>
      </w:r>
      <w:hyperlink r:id="rId33">
        <w:r>
          <w:rPr>
            <w:rStyle w:val="Hyperlink"/>
          </w:rPr>
          <w:t xml:space="preserve">[44]</w:t>
        </w:r>
      </w:hyperlink>
      <w:r>
        <w:t xml:space="preserve">. The total gas flow rate is user-adjustable, enabling gentler or more aggressive gas delivery as needed for a given culture</w:t>
      </w:r>
      <w:hyperlink r:id="rId33">
        <w:r>
          <w:rPr>
            <w:rStyle w:val="Hyperlink"/>
          </w:rPr>
          <w:t xml:space="preserve">[45]</w:t>
        </w:r>
      </w:hyperlink>
      <w:r>
        <w:t xml:space="preserve">. This results in finer control of pH and DO with less overshoot. Additionally, a</w:t>
      </w:r>
      <w:r>
        <w:t xml:space="preserve"> </w:t>
      </w:r>
      <w:r>
        <w:rPr>
          <w:b/>
          <w:bCs/>
        </w:rPr>
        <w:t xml:space="preserve">pressure sensor</w:t>
      </w:r>
      <w:r>
        <w:t xml:space="preserve"> </w:t>
      </w:r>
      <w:r>
        <w:t xml:space="preserve">was built into the carboxygenator module to monitor internal pressure</w:t>
      </w:r>
      <w:hyperlink r:id="rId33">
        <w:r>
          <w:rPr>
            <w:rStyle w:val="Hyperlink"/>
          </w:rPr>
          <w:t xml:space="preserve">[46]</w:t>
        </w:r>
      </w:hyperlink>
      <w:r>
        <w:t xml:space="preserve">. This not only adds a safety layer (detecting any blockages or leaks) but also is “future-proofed” for advanced control strategies – for example, feedback control based on dissolved CO&lt;sub&gt;2&lt;/sub&gt; or using slight pressure to modulate gas transfer rates</w:t>
      </w:r>
      <w:hyperlink r:id="rId33">
        <w:r>
          <w:rPr>
            <w:rStyle w:val="Hyperlink"/>
          </w:rPr>
          <w:t xml:space="preserve">[44]</w:t>
        </w:r>
      </w:hyperlink>
      <w:r>
        <w:t xml:space="preserve">.</w:t>
      </w:r>
    </w:p>
    <w:p>
      <w:pPr>
        <w:numPr>
          <w:ilvl w:val="0"/>
          <w:numId w:val="1002"/>
        </w:numPr>
      </w:pPr>
      <w:r>
        <w:rPr>
          <w:b/>
          <w:bCs/>
        </w:rPr>
        <w:t xml:space="preserve">Broader Platform Integration:</w:t>
      </w:r>
      <w:r>
        <w:t xml:space="preserve"> </w:t>
      </w:r>
      <w:r>
        <w:t xml:space="preserve">The NG system (branded the</w:t>
      </w:r>
      <w:r>
        <w:t xml:space="preserve"> </w:t>
      </w:r>
      <w:r>
        <w:rPr>
          <w:b/>
          <w:bCs/>
        </w:rPr>
        <w:t xml:space="preserve">Osilaris™ platform</w:t>
      </w:r>
      <w:r>
        <w:t xml:space="preserve"> </w:t>
      </w:r>
      <w:r>
        <w:t xml:space="preserve">in recent literature) is designed to be</w:t>
      </w:r>
      <w:r>
        <w:t xml:space="preserve"> </w:t>
      </w:r>
      <w:r>
        <w:rPr>
          <w:i/>
          <w:iCs/>
        </w:rPr>
        <w:t xml:space="preserve">ecosystem agnostic</w:t>
      </w:r>
      <w:r>
        <w:t xml:space="preserve">, meaning it can interface with upstream/downstream processes seamlessly</w:t>
      </w:r>
      <w:hyperlink r:id="rId30">
        <w:r>
          <w:rPr>
            <w:rStyle w:val="Hyperlink"/>
          </w:rPr>
          <w:t xml:space="preserve">[47]</w:t>
        </w:r>
      </w:hyperlink>
      <w:hyperlink r:id="rId30">
        <w:r>
          <w:rPr>
            <w:rStyle w:val="Hyperlink"/>
          </w:rPr>
          <w:t xml:space="preserve">[48]</w:t>
        </w:r>
      </w:hyperlink>
      <w:r>
        <w:t xml:space="preserve">. It supports both adherent cultures (on microcarriers in the expanding bag) and suspension cultures. For suspension cell applications, Scinus has even explored alternative gas-transfer methods, like a “</w:t>
      </w:r>
      <w:r>
        <w:rPr>
          <w:b/>
          <w:bCs/>
        </w:rPr>
        <w:t xml:space="preserve">bag-in-box</w:t>
      </w:r>
      <w:r>
        <w:t xml:space="preserve">” concept where the entire culture bag is enclosed in a gas-filled chamber to diffuse O&lt;sub&gt;2&lt;/sub&gt; in through the bag walls</w:t>
      </w:r>
      <w:hyperlink r:id="rId34">
        <w:r>
          <w:rPr>
            <w:rStyle w:val="Hyperlink"/>
          </w:rPr>
          <w:t xml:space="preserve">[49]</w:t>
        </w:r>
      </w:hyperlink>
      <w:hyperlink r:id="rId34">
        <w:r>
          <w:rPr>
            <w:rStyle w:val="Hyperlink"/>
          </w:rPr>
          <w:t xml:space="preserve">[50]</w:t>
        </w:r>
      </w:hyperlink>
      <w:r>
        <w:t xml:space="preserve">. However, for adherent cell expansion, the classic carboxygenator remains the proven solution. The NG platform retains in-line</w:t>
      </w:r>
      <w:r>
        <w:t xml:space="preserve"> </w:t>
      </w:r>
      <w:r>
        <w:rPr>
          <w:b/>
          <w:bCs/>
        </w:rPr>
        <w:t xml:space="preserve">optical sensors for DO and pH</w:t>
      </w:r>
      <w:r>
        <w:t xml:space="preserve"> </w:t>
      </w:r>
      <w:r>
        <w:t xml:space="preserve">and logs all process data for full traceability</w:t>
      </w:r>
      <w:hyperlink r:id="rId30">
        <w:r>
          <w:rPr>
            <w:rStyle w:val="Hyperlink"/>
          </w:rPr>
          <w:t xml:space="preserve">[51]</w:t>
        </w:r>
      </w:hyperlink>
      <w:hyperlink r:id="rId33">
        <w:r>
          <w:rPr>
            <w:rStyle w:val="Hyperlink"/>
          </w:rPr>
          <w:t xml:space="preserve">[52]</w:t>
        </w:r>
      </w:hyperlink>
      <w:r>
        <w:t xml:space="preserve">. It also features a modern touchscreen interface and network connectivity for remote monitoring</w:t>
      </w:r>
      <w:hyperlink r:id="rId33">
        <w:r>
          <w:rPr>
            <w:rStyle w:val="Hyperlink"/>
          </w:rPr>
          <w:t xml:space="preserve">[53]</w:t>
        </w:r>
      </w:hyperlink>
      <w:r>
        <w:t xml:space="preserve">, reflecting the shift toward smarter bioprocessing.</w:t>
      </w:r>
    </w:p>
    <w:p>
      <w:pPr>
        <w:pStyle w:val="FirstParagraph"/>
      </w:pPr>
      <w:r>
        <w:t xml:space="preserve">By 2025, the Next Gen bioreactor had undergone alpha and beta testing (per protocols like</w:t>
      </w:r>
      <w:r>
        <w:t xml:space="preserve"> </w:t>
      </w:r>
      <w:r>
        <w:rPr>
          <w:i/>
          <w:iCs/>
        </w:rPr>
        <w:t xml:space="preserve">SSL-23-006</w:t>
      </w:r>
      <w:r>
        <w:t xml:space="preserve"> </w:t>
      </w:r>
      <w:r>
        <w:t xml:space="preserve">for alpha tests) and was being rolled out. The improvements in the carboxygenator and control system significantly reduce setup time and further tighten culture control, making the technology more accessible to end-users. For example, an NG system</w:t>
      </w:r>
      <w:r>
        <w:t xml:space="preserve"> </w:t>
      </w:r>
      <w:r>
        <w:rPr>
          <w:b/>
          <w:bCs/>
        </w:rPr>
        <w:t xml:space="preserve">comparison</w:t>
      </w:r>
      <w:r>
        <w:t xml:space="preserve"> </w:t>
      </w:r>
      <w:r>
        <w:t xml:space="preserve">showed that installing the carboxygenator and bag is now much simpler (clamps instead of multiple screws), and the gas control precision at low flow rates is improved over the first-gen device</w:t>
      </w:r>
      <w:hyperlink r:id="rId33">
        <w:r>
          <w:rPr>
            <w:rStyle w:val="Hyperlink"/>
          </w:rPr>
          <w:t xml:space="preserve">[54]</w:t>
        </w:r>
      </w:hyperlink>
      <w:hyperlink r:id="rId33">
        <w:r>
          <w:rPr>
            <w:rStyle w:val="Hyperlink"/>
          </w:rPr>
          <w:t xml:space="preserve">[55]</w:t>
        </w:r>
      </w:hyperlink>
      <w:r>
        <w:t xml:space="preserve">. These enhancements build upon a decade of experience and ensure the carboxygenator-based approach remains state-of-the-art.</w:t>
      </w:r>
    </w:p>
    <w:bookmarkEnd w:id="35"/>
    <w:bookmarkStart w:id="36" w:name="conclusion"/>
    <w:p>
      <w:pPr>
        <w:pStyle w:val="Heading2"/>
      </w:pPr>
      <w:r>
        <w:t xml:space="preserve">Conclusion</w:t>
      </w:r>
    </w:p>
    <w:p>
      <w:pPr>
        <w:pStyle w:val="FirstParagraph"/>
      </w:pPr>
      <w:r>
        <w:t xml:space="preserve">Over roughly 15 years of development, the carboxygenator technology has progressed from a clever concept on paper to a fully realized, patented component of a commercial bioreactor platform. Key achievements along this journey include the initial invention of the dual-chamber gas exchange device</w:t>
      </w:r>
      <w:hyperlink r:id="rId24">
        <w:r>
          <w:rPr>
            <w:rStyle w:val="Hyperlink"/>
          </w:rPr>
          <w:t xml:space="preserve">[11]</w:t>
        </w:r>
      </w:hyperlink>
      <w:r>
        <w:t xml:space="preserve">, demonstration of controlled MSC expansion without a headspace</w:t>
      </w:r>
      <w:hyperlink r:id="rId26">
        <w:r>
          <w:rPr>
            <w:rStyle w:val="Hyperlink"/>
          </w:rPr>
          <w:t xml:space="preserve">[22]</w:t>
        </w:r>
      </w:hyperlink>
      <w:r>
        <w:t xml:space="preserve">, the securing of foundational patents</w:t>
      </w:r>
      <w:hyperlink r:id="rId26">
        <w:r>
          <w:rPr>
            <w:rStyle w:val="Hyperlink"/>
          </w:rPr>
          <w:t xml:space="preserve">[15]</w:t>
        </w:r>
      </w:hyperlink>
      <w:hyperlink r:id="rId27">
        <w:r>
          <w:rPr>
            <w:rStyle w:val="Hyperlink"/>
          </w:rPr>
          <w:t xml:space="preserve">[17]</w:t>
        </w:r>
      </w:hyperlink>
      <w:r>
        <w:t xml:space="preserve">, multiple rounds of prototype testing and biological validation (2011–2013) that honed the design</w:t>
      </w:r>
      <w:hyperlink r:id="rId23">
        <w:r>
          <w:rPr>
            <w:rStyle w:val="Hyperlink"/>
          </w:rPr>
          <w:t xml:space="preserve">[27]</w:t>
        </w:r>
      </w:hyperlink>
      <w:hyperlink r:id="rId23">
        <w:r>
          <w:rPr>
            <w:rStyle w:val="Hyperlink"/>
          </w:rPr>
          <w:t xml:space="preserve">[29]</w:t>
        </w:r>
      </w:hyperlink>
      <w:r>
        <w:t xml:space="preserve">, and the eventual proof in a published study that the system can reliably produce clinical-scale cell yields with uncompromised cell quality</w:t>
      </w:r>
      <w:hyperlink r:id="rId30">
        <w:r>
          <w:rPr>
            <w:rStyle w:val="Hyperlink"/>
          </w:rPr>
          <w:t xml:space="preserve">[34]</w:t>
        </w:r>
      </w:hyperlink>
      <w:r>
        <w:t xml:space="preserve">. Each generation of the system has brought improvements, from the early volume-expanding perfusion bag to the current Osilaris platform with its refined carboxygenator module</w:t>
      </w:r>
      <w:hyperlink r:id="rId33">
        <w:r>
          <w:rPr>
            <w:rStyle w:val="Hyperlink"/>
          </w:rPr>
          <w:t xml:space="preserve">[54]</w:t>
        </w:r>
      </w:hyperlink>
      <w:r>
        <w:t xml:space="preserve">. Today, the Scinus bioreactor with carboxygenator provides researchers and manufacturers a unique tool:</w:t>
      </w:r>
      <w:r>
        <w:t xml:space="preserve"> </w:t>
      </w:r>
      <w:r>
        <w:rPr>
          <w:b/>
          <w:bCs/>
        </w:rPr>
        <w:t xml:space="preserve">precise, feedback-controlled oxygen and CO&lt;sub&gt;2&lt;/sub&gt; delivery in a closed, single-use environment</w:t>
      </w:r>
      <w:r>
        <w:t xml:space="preserve">, enabling high-density cell culture without the pitfalls of traditional headspace aeration</w:t>
      </w:r>
      <w:hyperlink r:id="rId21">
        <w:r>
          <w:rPr>
            <w:rStyle w:val="Hyperlink"/>
          </w:rPr>
          <w:t xml:space="preserve">[2]</w:t>
        </w:r>
      </w:hyperlink>
      <w:hyperlink r:id="rId21">
        <w:r>
          <w:rPr>
            <w:rStyle w:val="Hyperlink"/>
          </w:rPr>
          <w:t xml:space="preserve">[3]</w:t>
        </w:r>
      </w:hyperlink>
      <w:r>
        <w:t xml:space="preserve">. This technology’s development history – characterized by innovative engineering, rigorous experimentation, and iterative improvement – forms a strong foundation for new research initiatives and scale-up strategies in cell therapy manufacturing.</w:t>
      </w:r>
    </w:p>
    <w:p>
      <w:pPr>
        <w:pStyle w:val="BodyText"/>
      </w:pPr>
      <w:r>
        <w:rPr>
          <w:b/>
          <w:bCs/>
        </w:rPr>
        <w:t xml:space="preserve">Sources:</w:t>
      </w:r>
    </w:p>
    <w:p>
      <w:pPr>
        <w:pStyle w:val="Compact"/>
        <w:numPr>
          <w:ilvl w:val="0"/>
          <w:numId w:val="1003"/>
        </w:numPr>
      </w:pPr>
      <w:r>
        <w:t xml:space="preserve">Roosloot R.</w:t>
      </w:r>
      <w:r>
        <w:t xml:space="preserve"> </w:t>
      </w:r>
      <w:r>
        <w:rPr>
          <w:i/>
          <w:iCs/>
        </w:rPr>
        <w:t xml:space="preserve">“Our carboxygenator in the spotlight!”</w:t>
      </w:r>
      <w:r>
        <w:t xml:space="preserve"> </w:t>
      </w:r>
      <w:r>
        <w:t xml:space="preserve">Scinus internal article, 2025. – Describes the carboxygenator’s function within the Scinus Bioreactor NG</w:t>
      </w:r>
      <w:hyperlink r:id="rId21">
        <w:r>
          <w:rPr>
            <w:rStyle w:val="Hyperlink"/>
          </w:rPr>
          <w:t xml:space="preserve">[56]</w:t>
        </w:r>
      </w:hyperlink>
      <w:hyperlink r:id="rId21">
        <w:r>
          <w:rPr>
            <w:rStyle w:val="Hyperlink"/>
          </w:rPr>
          <w:t xml:space="preserve">[2]</w:t>
        </w:r>
      </w:hyperlink>
      <w:r>
        <w:t xml:space="preserve">.</w:t>
      </w:r>
    </w:p>
    <w:p>
      <w:pPr>
        <w:pStyle w:val="Compact"/>
        <w:numPr>
          <w:ilvl w:val="0"/>
          <w:numId w:val="1003"/>
        </w:numPr>
      </w:pPr>
      <w:r>
        <w:t xml:space="preserve">Xpand Biotech R&amp;D Memo (May 2013).</w:t>
      </w:r>
      <w:r>
        <w:t xml:space="preserve"> </w:t>
      </w:r>
      <w:r>
        <w:rPr>
          <w:i/>
          <w:iCs/>
        </w:rPr>
        <w:t xml:space="preserve">“Control of pH and dissolved oxygen via a Carboxy OxyGenator device.”</w:t>
      </w:r>
      <w:r>
        <w:t xml:space="preserve"> </w:t>
      </w:r>
      <w:r>
        <w:t xml:space="preserve">– Internal invention disclosure outlining the two-chamber gas exchange concept and its advantages</w:t>
      </w:r>
      <w:hyperlink r:id="rId24">
        <w:r>
          <w:rPr>
            <w:rStyle w:val="Hyperlink"/>
          </w:rPr>
          <w:t xml:space="preserve">[6]</w:t>
        </w:r>
      </w:hyperlink>
      <w:hyperlink r:id="rId24">
        <w:r>
          <w:rPr>
            <w:rStyle w:val="Hyperlink"/>
          </w:rPr>
          <w:t xml:space="preserve">[11]</w:t>
        </w:r>
      </w:hyperlink>
      <w:r>
        <w:t xml:space="preserve">.</w:t>
      </w:r>
    </w:p>
    <w:p>
      <w:pPr>
        <w:pStyle w:val="Compact"/>
        <w:numPr>
          <w:ilvl w:val="0"/>
          <w:numId w:val="1003"/>
        </w:numPr>
      </w:pPr>
      <w:r>
        <w:t xml:space="preserve">Patent Correspondence from V.O. (30 May 2014). – Dutch patent application No. 2011187 (Carboxygenator) search report indicates key claims on separate O&lt;sub&gt;2&lt;/sub&gt;/CO&lt;sub&gt;2&lt;/sub&gt; control were deemed novel</w:t>
      </w:r>
      <w:hyperlink r:id="rId27">
        <w:r>
          <w:rPr>
            <w:rStyle w:val="Hyperlink"/>
          </w:rPr>
          <w:t xml:space="preserve">[17]</w:t>
        </w:r>
      </w:hyperlink>
      <w:r>
        <w:t xml:space="preserve">. Also lists prior art and advice for PCT filing</w:t>
      </w:r>
      <w:hyperlink r:id="rId27">
        <w:r>
          <w:rPr>
            <w:rStyle w:val="Hyperlink"/>
          </w:rPr>
          <w:t xml:space="preserve">[18]</w:t>
        </w:r>
      </w:hyperlink>
      <w:r>
        <w:t xml:space="preserve">.</w:t>
      </w:r>
    </w:p>
    <w:p>
      <w:pPr>
        <w:pStyle w:val="Compact"/>
        <w:numPr>
          <w:ilvl w:val="0"/>
          <w:numId w:val="1003"/>
        </w:numPr>
      </w:pPr>
      <w:r>
        <w:t xml:space="preserve">Scinus Design History –</w:t>
      </w:r>
      <w:r>
        <w:t xml:space="preserve"> </w:t>
      </w:r>
      <w:r>
        <w:rPr>
          <w:i/>
          <w:iCs/>
        </w:rPr>
        <w:t xml:space="preserve">Overview of Performed Studies for Development of Xpand Perfusion Bioreactor</w:t>
      </w:r>
      <w:r>
        <w:t xml:space="preserve"> </w:t>
      </w:r>
      <w:r>
        <w:t xml:space="preserve">(Report 912-033, 2012). – Comprehensive list of R&amp;D studies from 2006–2012. Notably, P11084 demonstrated 54×10^6 MSC expansion with the carboxygenator</w:t>
      </w:r>
      <w:hyperlink r:id="rId26">
        <w:r>
          <w:rPr>
            <w:rStyle w:val="Hyperlink"/>
          </w:rPr>
          <w:t xml:space="preserve">[21]</w:t>
        </w:r>
      </w:hyperlink>
      <w:hyperlink r:id="rId26">
        <w:r>
          <w:rPr>
            <w:rStyle w:val="Hyperlink"/>
          </w:rPr>
          <w:t xml:space="preserve">[22]</w:t>
        </w:r>
      </w:hyperlink>
      <w:r>
        <w:t xml:space="preserve">, and comparative studies P12011/P13010 showed performance vs. traditional systems</w:t>
      </w:r>
      <w:hyperlink r:id="rId23">
        <w:r>
          <w:rPr>
            <w:rStyle w:val="Hyperlink"/>
          </w:rPr>
          <w:t xml:space="preserve">[27]</w:t>
        </w:r>
      </w:hyperlink>
      <w:hyperlink r:id="rId23">
        <w:r>
          <w:rPr>
            <w:rStyle w:val="Hyperlink"/>
          </w:rPr>
          <w:t xml:space="preserve">[29]</w:t>
        </w:r>
      </w:hyperlink>
      <w:r>
        <w:t xml:space="preserve">.</w:t>
      </w:r>
    </w:p>
    <w:p>
      <w:pPr>
        <w:pStyle w:val="Compact"/>
        <w:numPr>
          <w:ilvl w:val="0"/>
          <w:numId w:val="1003"/>
        </w:numPr>
      </w:pPr>
      <w:r>
        <w:t xml:space="preserve">Scinus Design &amp; Development Plan (912-022, 2012). – Confirms Prototype 3 (2012) integration, patent filings (NL2011187 for carboxygenator)</w:t>
      </w:r>
      <w:hyperlink r:id="rId26">
        <w:r>
          <w:rPr>
            <w:rStyle w:val="Hyperlink"/>
          </w:rPr>
          <w:t xml:space="preserve">[15]</w:t>
        </w:r>
      </w:hyperlink>
      <w:r>
        <w:t xml:space="preserve">, and manufacturing partners Applikon (rocker) &amp; Medistad (bag)</w:t>
      </w:r>
      <w:hyperlink r:id="rId26">
        <w:r>
          <w:rPr>
            <w:rStyle w:val="Hyperlink"/>
          </w:rPr>
          <w:t xml:space="preserve">[33]</w:t>
        </w:r>
      </w:hyperlink>
      <w:r>
        <w:t xml:space="preserve">.</w:t>
      </w:r>
    </w:p>
    <w:p>
      <w:pPr>
        <w:pStyle w:val="Compact"/>
        <w:numPr>
          <w:ilvl w:val="0"/>
          <w:numId w:val="1003"/>
        </w:numPr>
      </w:pPr>
      <w:r>
        <w:t xml:space="preserve">Das R., Roosloot R., van Pel M., et al.</w:t>
      </w:r>
      <w:r>
        <w:t xml:space="preserve"> </w:t>
      </w:r>
      <w:r>
        <w:rPr>
          <w:i/>
          <w:iCs/>
        </w:rPr>
        <w:t xml:space="preserve">J. Transl. Med.</w:t>
      </w:r>
      <w:r>
        <w:t xml:space="preserve"> </w:t>
      </w:r>
      <w:r>
        <w:rPr>
          <w:b/>
          <w:bCs/>
        </w:rPr>
        <w:t xml:space="preserve">17</w:t>
      </w:r>
      <w:r>
        <w:t xml:space="preserve">:241 (2019). – First publication validating the Scinus bioreactor: MSCs expanded to clinical scale with equivalent phenotype and function to flask controls</w:t>
      </w:r>
      <w:hyperlink r:id="rId30">
        <w:r>
          <w:rPr>
            <w:rStyle w:val="Hyperlink"/>
          </w:rPr>
          <w:t xml:space="preserve">[34]</w:t>
        </w:r>
      </w:hyperlink>
      <w:r>
        <w:t xml:space="preserve">. Demonstrated the carboxygenator-based system’s capability in a peer-reviewed setting.</w:t>
      </w:r>
    </w:p>
    <w:p>
      <w:pPr>
        <w:pStyle w:val="Compact"/>
        <w:numPr>
          <w:ilvl w:val="0"/>
          <w:numId w:val="1003"/>
        </w:numPr>
      </w:pPr>
      <w:r>
        <w:t xml:space="preserve">Scinus “Next Gen vs Original” Presentation (MUVON project, 2023). – Summarizes improvements in the Scinus NG bioreactor: easier carboxygenator closure, integrated seals, self-test, under-rocker design, and enhanced gas flow control (fixed flow, pressure monitoring)</w:t>
      </w:r>
      <w:hyperlink r:id="rId33">
        <w:r>
          <w:rPr>
            <w:rStyle w:val="Hyperlink"/>
          </w:rPr>
          <w:t xml:space="preserve">[54]</w:t>
        </w:r>
      </w:hyperlink>
      <w:r>
        <w:t xml:space="preserve">.</w:t>
      </w:r>
    </w:p>
    <w:bookmarkEnd w:id="36"/>
    <w:bookmarkEnd w:id="37"/>
    <w:bookmarkEnd w:id="38"/>
    <w:p>
      <w:r>
        <w:pict>
          <v:rect style="width:0;height:1.5pt" o:hralign="center" o:hrstd="t" o:hr="t"/>
        </w:pict>
      </w:r>
    </w:p>
    <w:bookmarkStart w:id="39"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w:t>
        </w:r>
      </w:hyperlink>
      <w:r>
        <w:t xml:space="preserve"> </w:t>
      </w:r>
      <w:hyperlink r:id="rId21">
        <w:r>
          <w:rPr>
            <w:rStyle w:val="Hyperlink"/>
          </w:rPr>
          <w:t xml:space="preserve">[56]</w:t>
        </w:r>
      </w:hyperlink>
      <w:r>
        <w:t xml:space="preserve"> </w:t>
      </w:r>
      <w:r>
        <w:t xml:space="preserve">Our carboxygenator in the spotlight.docx</w:t>
      </w:r>
    </w:p>
    <w:p>
      <w:pPr>
        <w:pStyle w:val="BodyText"/>
      </w:pPr>
      <w:hyperlink r:id="rId21">
        <w:r>
          <w:rPr>
            <w:rStyle w:val="Hyperlink"/>
          </w:rPr>
          <w:t xml:space="preserve">https://scinusnl.sharepoint.com/sites/05Businessdevelopment/_layouts/15/Doc.aspx?sourcedoc=%7B7DE0A1FC-8D6B-431D-A1BB-74C23D009712%7D&amp;file=Our%20carboxygenator%20in%20the%20spotlight.docx&amp;action=default&amp;mobileredirect=true</w:t>
        </w:r>
      </w:hyperlink>
    </w:p>
    <w:p>
      <w:pPr>
        <w:pStyle w:val="BodyText"/>
      </w:pPr>
      <w:hyperlink r:id="rId23">
        <w:r>
          <w:rPr>
            <w:rStyle w:val="Hyperlink"/>
          </w:rPr>
          <w:t xml:space="preserve">[4]</w:t>
        </w:r>
      </w:hyperlink>
      <w:r>
        <w:t xml:space="preserve"> </w:t>
      </w:r>
      <w:hyperlink r:id="rId23">
        <w:r>
          <w:rPr>
            <w:rStyle w:val="Hyperlink"/>
          </w:rPr>
          <w:t xml:space="preserve">[7]</w:t>
        </w:r>
      </w:hyperlink>
      <w:r>
        <w:t xml:space="preserve"> </w:t>
      </w:r>
      <w:hyperlink r:id="rId23">
        <w:r>
          <w:rPr>
            <w:rStyle w:val="Hyperlink"/>
          </w:rPr>
          <w:t xml:space="preserve">[8]</w:t>
        </w:r>
      </w:hyperlink>
      <w:r>
        <w:t xml:space="preserve"> </w:t>
      </w:r>
      <w:hyperlink r:id="rId23">
        <w:r>
          <w:rPr>
            <w:rStyle w:val="Hyperlink"/>
          </w:rPr>
          <w:t xml:space="preserve">[9]</w:t>
        </w:r>
      </w:hyperlink>
      <w:r>
        <w:t xml:space="preserve"> </w:t>
      </w:r>
      <w:hyperlink r:id="rId23">
        <w:r>
          <w:rPr>
            <w:rStyle w:val="Hyperlink"/>
          </w:rPr>
          <w:t xml:space="preserve">[23]</w:t>
        </w:r>
      </w:hyperlink>
      <w:r>
        <w:t xml:space="preserve"> </w:t>
      </w:r>
      <w:hyperlink r:id="rId23">
        <w:r>
          <w:rPr>
            <w:rStyle w:val="Hyperlink"/>
          </w:rPr>
          <w:t xml:space="preserve">[24]</w:t>
        </w:r>
      </w:hyperlink>
      <w:r>
        <w:t xml:space="preserve"> </w:t>
      </w:r>
      <w:hyperlink r:id="rId23">
        <w:r>
          <w:rPr>
            <w:rStyle w:val="Hyperlink"/>
          </w:rPr>
          <w:t xml:space="preserve">[25]</w:t>
        </w:r>
      </w:hyperlink>
      <w:r>
        <w:t xml:space="preserve"> </w:t>
      </w:r>
      <w:hyperlink r:id="rId23">
        <w:r>
          <w:rPr>
            <w:rStyle w:val="Hyperlink"/>
          </w:rPr>
          <w:t xml:space="preserve">[26]</w:t>
        </w:r>
      </w:hyperlink>
      <w:r>
        <w:t xml:space="preserve"> </w:t>
      </w:r>
      <w:hyperlink r:id="rId23">
        <w:r>
          <w:rPr>
            <w:rStyle w:val="Hyperlink"/>
          </w:rPr>
          <w:t xml:space="preserve">[27]</w:t>
        </w:r>
      </w:hyperlink>
      <w:r>
        <w:t xml:space="preserve"> </w:t>
      </w:r>
      <w:hyperlink r:id="rId23">
        <w:r>
          <w:rPr>
            <w:rStyle w:val="Hyperlink"/>
          </w:rPr>
          <w:t xml:space="preserve">[28]</w:t>
        </w:r>
      </w:hyperlink>
      <w:r>
        <w:t xml:space="preserve"> </w:t>
      </w:r>
      <w:hyperlink r:id="rId23">
        <w:r>
          <w:rPr>
            <w:rStyle w:val="Hyperlink"/>
          </w:rPr>
          <w:t xml:space="preserve">[29]</w:t>
        </w:r>
      </w:hyperlink>
      <w:r>
        <w:t xml:space="preserve"> </w:t>
      </w:r>
      <w:hyperlink r:id="rId23">
        <w:r>
          <w:rPr>
            <w:rStyle w:val="Hyperlink"/>
          </w:rPr>
          <w:t xml:space="preserve">[30]</w:t>
        </w:r>
      </w:hyperlink>
      <w:r>
        <w:t xml:space="preserve"> </w:t>
      </w:r>
      <w:r>
        <w:t xml:space="preserve">912-033 [03] Overview of the performed studies for the development of the Xpand Perfusion Bioreactor System.docx</w:t>
      </w:r>
    </w:p>
    <w:p>
      <w:pPr>
        <w:pStyle w:val="BodyText"/>
      </w:pPr>
      <w:hyperlink r:id="rId23">
        <w:r>
          <w:rPr>
            <w:rStyle w:val="Hyperlink"/>
          </w:rPr>
          <w:t xml:space="preserve">https://scinusnl.sharepoint.com/sites/Archiveddocuments/_layouts/15/Doc.aspx?sourcedoc=%7B31FDF9B0-615D-466C-88A9-6177A78A8C6A%7D&amp;file=912-033%20[03]%20Overview%20of%20the%20performed%20studies%20for%20the%20development%20of%20the%20Xpand%20Perfusion%20Bioreactor%20System.docx&amp;action=default&amp;mobileredirect=true</w:t>
        </w:r>
      </w:hyperlink>
    </w:p>
    <w:p>
      <w:pPr>
        <w:pStyle w:val="BodyText"/>
      </w:pPr>
      <w:hyperlink r:id="rId24">
        <w:r>
          <w:rPr>
            <w:rStyle w:val="Hyperlink"/>
          </w:rPr>
          <w:t xml:space="preserve">[5]</w:t>
        </w:r>
      </w:hyperlink>
      <w:r>
        <w:t xml:space="preserve"> </w:t>
      </w:r>
      <w:hyperlink r:id="rId24">
        <w:r>
          <w:rPr>
            <w:rStyle w:val="Hyperlink"/>
          </w:rPr>
          <w:t xml:space="preserve">[6]</w:t>
        </w:r>
      </w:hyperlink>
      <w:r>
        <w:t xml:space="preserve"> </w:t>
      </w:r>
      <w:hyperlink r:id="rId24">
        <w:r>
          <w:rPr>
            <w:rStyle w:val="Hyperlink"/>
          </w:rPr>
          <w:t xml:space="preserve">[10]</w:t>
        </w:r>
      </w:hyperlink>
      <w:r>
        <w:t xml:space="preserve"> </w:t>
      </w:r>
      <w:hyperlink r:id="rId24">
        <w:r>
          <w:rPr>
            <w:rStyle w:val="Hyperlink"/>
          </w:rPr>
          <w:t xml:space="preserve">[11]</w:t>
        </w:r>
      </w:hyperlink>
      <w:r>
        <w:t xml:space="preserve"> </w:t>
      </w:r>
      <w:hyperlink r:id="rId24">
        <w:r>
          <w:rPr>
            <w:rStyle w:val="Hyperlink"/>
          </w:rPr>
          <w:t xml:space="preserve">[12]</w:t>
        </w:r>
      </w:hyperlink>
      <w:r>
        <w:t xml:space="preserve"> </w:t>
      </w:r>
      <w:hyperlink r:id="rId24">
        <w:r>
          <w:rPr>
            <w:rStyle w:val="Hyperlink"/>
          </w:rPr>
          <w:t xml:space="preserve">[13]</w:t>
        </w:r>
      </w:hyperlink>
      <w:r>
        <w:t xml:space="preserve"> </w:t>
      </w:r>
      <w:hyperlink r:id="rId24">
        <w:r>
          <w:rPr>
            <w:rStyle w:val="Hyperlink"/>
          </w:rPr>
          <w:t xml:space="preserve">[14]</w:t>
        </w:r>
      </w:hyperlink>
      <w:r>
        <w:t xml:space="preserve"> </w:t>
      </w:r>
      <w:r>
        <w:t xml:space="preserve">2013-05-14 Carboxy Oxygenator patent comm JC.docx</w:t>
      </w:r>
    </w:p>
    <w:p>
      <w:pPr>
        <w:pStyle w:val="BodyText"/>
      </w:pPr>
      <w:hyperlink r:id="rId24">
        <w:r>
          <w:rPr>
            <w:rStyle w:val="Hyperlink"/>
          </w:rPr>
          <w:t xml:space="preserve">https://scinusnl.sharepoint.com/sites/Archiveddocuments/_layouts/15/Doc.aspx?sourcedoc=%7BC24AD47E-C5C3-4D71-9B97-6194A649D500%7D&amp;file=2013-05-14%20Carboxy%20Oxygenator%20patent%20comm%20JC.docx&amp;action=default&amp;mobileredirect=true</w:t>
        </w:r>
      </w:hyperlink>
    </w:p>
    <w:p>
      <w:pPr>
        <w:pStyle w:val="BodyText"/>
      </w:pPr>
      <w:hyperlink r:id="rId26">
        <w:r>
          <w:rPr>
            <w:rStyle w:val="Hyperlink"/>
          </w:rPr>
          <w:t xml:space="preserve">[15]</w:t>
        </w:r>
      </w:hyperlink>
      <w:r>
        <w:t xml:space="preserve"> </w:t>
      </w:r>
      <w:hyperlink r:id="rId26">
        <w:r>
          <w:rPr>
            <w:rStyle w:val="Hyperlink"/>
          </w:rPr>
          <w:t xml:space="preserve">[16]</w:t>
        </w:r>
      </w:hyperlink>
      <w:r>
        <w:t xml:space="preserve"> </w:t>
      </w:r>
      <w:hyperlink r:id="rId26">
        <w:r>
          <w:rPr>
            <w:rStyle w:val="Hyperlink"/>
          </w:rPr>
          <w:t xml:space="preserve">[19]</w:t>
        </w:r>
      </w:hyperlink>
      <w:r>
        <w:t xml:space="preserve"> </w:t>
      </w:r>
      <w:hyperlink r:id="rId26">
        <w:r>
          <w:rPr>
            <w:rStyle w:val="Hyperlink"/>
          </w:rPr>
          <w:t xml:space="preserve">[20]</w:t>
        </w:r>
      </w:hyperlink>
      <w:r>
        <w:t xml:space="preserve"> </w:t>
      </w:r>
      <w:hyperlink r:id="rId26">
        <w:r>
          <w:rPr>
            <w:rStyle w:val="Hyperlink"/>
          </w:rPr>
          <w:t xml:space="preserve">[21]</w:t>
        </w:r>
      </w:hyperlink>
      <w:r>
        <w:t xml:space="preserve"> </w:t>
      </w:r>
      <w:hyperlink r:id="rId26">
        <w:r>
          <w:rPr>
            <w:rStyle w:val="Hyperlink"/>
          </w:rPr>
          <w:t xml:space="preserve">[22]</w:t>
        </w:r>
      </w:hyperlink>
      <w:r>
        <w:t xml:space="preserve"> </w:t>
      </w:r>
      <w:hyperlink r:id="rId26">
        <w:r>
          <w:rPr>
            <w:rStyle w:val="Hyperlink"/>
          </w:rPr>
          <w:t xml:space="preserve">[31]</w:t>
        </w:r>
      </w:hyperlink>
      <w:r>
        <w:t xml:space="preserve"> </w:t>
      </w:r>
      <w:hyperlink r:id="rId26">
        <w:r>
          <w:rPr>
            <w:rStyle w:val="Hyperlink"/>
          </w:rPr>
          <w:t xml:space="preserve">[32]</w:t>
        </w:r>
      </w:hyperlink>
      <w:r>
        <w:t xml:space="preserve"> </w:t>
      </w:r>
      <w:hyperlink r:id="rId26">
        <w:r>
          <w:rPr>
            <w:rStyle w:val="Hyperlink"/>
          </w:rPr>
          <w:t xml:space="preserve">[33]</w:t>
        </w:r>
      </w:hyperlink>
      <w:r>
        <w:t xml:space="preserve"> </w:t>
      </w:r>
      <w:r>
        <w:t xml:space="preserve">912-022 [01] Design Development Plan for perfusion bioreactor system.docx</w:t>
      </w:r>
    </w:p>
    <w:p>
      <w:pPr>
        <w:pStyle w:val="BodyText"/>
      </w:pPr>
      <w:hyperlink r:id="rId26">
        <w:r>
          <w:rPr>
            <w:rStyle w:val="Hyperlink"/>
          </w:rPr>
          <w:t xml:space="preserve">https://scinusnl.sharepoint.com/sites/11PDD/_layouts/15/Doc.aspx?sourcedoc=%7BE493B77A-DF3B-5A9A-9194-58D3AA07F71D%7D&amp;file=912-022%20[01]%20Design%20Development%20Plan%20for%20perfusion%20bioreactor%20system.docx&amp;action=default&amp;mobileredirect=true</w:t>
        </w:r>
      </w:hyperlink>
    </w:p>
    <w:p>
      <w:pPr>
        <w:pStyle w:val="BodyText"/>
      </w:pPr>
      <w:hyperlink r:id="rId27">
        <w:r>
          <w:rPr>
            <w:rStyle w:val="Hyperlink"/>
          </w:rPr>
          <w:t xml:space="preserve">[17]</w:t>
        </w:r>
      </w:hyperlink>
      <w:r>
        <w:t xml:space="preserve"> </w:t>
      </w:r>
      <w:hyperlink r:id="rId27">
        <w:r>
          <w:rPr>
            <w:rStyle w:val="Hyperlink"/>
          </w:rPr>
          <w:t xml:space="preserve">[18]</w:t>
        </w:r>
      </w:hyperlink>
      <w:r>
        <w:t xml:space="preserve"> </w:t>
      </w:r>
      <w:r>
        <w:t xml:space="preserve">2014-05-30 P99276NL00 letter to client.pdf</w:t>
      </w:r>
    </w:p>
    <w:p>
      <w:pPr>
        <w:pStyle w:val="BodyText"/>
      </w:pPr>
      <w:hyperlink r:id="rId27">
        <w:r>
          <w:rPr>
            <w:rStyle w:val="Hyperlink"/>
          </w:rPr>
          <w:t xml:space="preserve">https://scinusnl.sharepoint.com/sites/11PDD/Shared%20Documents/-%20Archive%20-/01%20DHF%20(old)/Tab%203%20Design%20Output%20D%20Patents/P99276%20Carboxy-Oxygenator/not%20in%20DHF/2014-05-30%20P99276NL00%20letter%20to%20client.pdf</w:t>
        </w:r>
      </w:hyperlink>
    </w:p>
    <w:p>
      <w:pPr>
        <w:pStyle w:val="BodyText"/>
      </w:pPr>
      <w:hyperlink r:id="rId30">
        <w:r>
          <w:rPr>
            <w:rStyle w:val="Hyperlink"/>
          </w:rPr>
          <w:t xml:space="preserve">[34]</w:t>
        </w:r>
      </w:hyperlink>
      <w:r>
        <w:t xml:space="preserve"> </w:t>
      </w:r>
      <w:hyperlink r:id="rId30">
        <w:r>
          <w:rPr>
            <w:rStyle w:val="Hyperlink"/>
          </w:rPr>
          <w:t xml:space="preserve">[35]</w:t>
        </w:r>
      </w:hyperlink>
      <w:r>
        <w:t xml:space="preserve"> </w:t>
      </w:r>
      <w:hyperlink r:id="rId30">
        <w:r>
          <w:rPr>
            <w:rStyle w:val="Hyperlink"/>
          </w:rPr>
          <w:t xml:space="preserve">[36]</w:t>
        </w:r>
      </w:hyperlink>
      <w:r>
        <w:t xml:space="preserve"> </w:t>
      </w:r>
      <w:hyperlink r:id="rId30">
        <w:r>
          <w:rPr>
            <w:rStyle w:val="Hyperlink"/>
          </w:rPr>
          <w:t xml:space="preserve">[40]</w:t>
        </w:r>
      </w:hyperlink>
      <w:r>
        <w:t xml:space="preserve"> </w:t>
      </w:r>
      <w:hyperlink r:id="rId30">
        <w:r>
          <w:rPr>
            <w:rStyle w:val="Hyperlink"/>
          </w:rPr>
          <w:t xml:space="preserve">[41]</w:t>
        </w:r>
      </w:hyperlink>
      <w:r>
        <w:t xml:space="preserve"> </w:t>
      </w:r>
      <w:hyperlink r:id="rId30">
        <w:r>
          <w:rPr>
            <w:rStyle w:val="Hyperlink"/>
          </w:rPr>
          <w:t xml:space="preserve">[47]</w:t>
        </w:r>
      </w:hyperlink>
      <w:r>
        <w:t xml:space="preserve"> </w:t>
      </w:r>
      <w:hyperlink r:id="rId30">
        <w:r>
          <w:rPr>
            <w:rStyle w:val="Hyperlink"/>
          </w:rPr>
          <w:t xml:space="preserve">[48]</w:t>
        </w:r>
      </w:hyperlink>
      <w:r>
        <w:t xml:space="preserve"> </w:t>
      </w:r>
      <w:hyperlink r:id="rId30">
        <w:r>
          <w:rPr>
            <w:rStyle w:val="Hyperlink"/>
          </w:rPr>
          <w:t xml:space="preserve">[51]</w:t>
        </w:r>
      </w:hyperlink>
      <w:r>
        <w:t xml:space="preserve"> </w:t>
      </w:r>
      <w:r>
        <w:t xml:space="preserve">MSC expansion with Osilaris - Scinus.pptx</w:t>
      </w:r>
    </w:p>
    <w:p>
      <w:pPr>
        <w:pStyle w:val="BodyText"/>
      </w:pPr>
      <w:hyperlink r:id="rId30">
        <w:r>
          <w:rPr>
            <w:rStyle w:val="Hyperlink"/>
          </w:rPr>
          <w:t xml:space="preserve">https://scinusnl.sharepoint.com/sites/05Businessdevelopment/_layouts/15/Doc.aspx?sourcedoc=%7B3404E6A2-8DF9-494C-AE22-AC4132EDE89D%7D&amp;file=MSC%20expansion%20with%20Osilaris%20-%20Scinus.pptx&amp;action=edit&amp;mobileredirect=true</w:t>
        </w:r>
      </w:hyperlink>
    </w:p>
    <w:p>
      <w:pPr>
        <w:pStyle w:val="BodyText"/>
      </w:pPr>
      <w:hyperlink r:id="rId31">
        <w:r>
          <w:rPr>
            <w:rStyle w:val="Hyperlink"/>
          </w:rPr>
          <w:t xml:space="preserve">[37]</w:t>
        </w:r>
      </w:hyperlink>
      <w:r>
        <w:t xml:space="preserve"> </w:t>
      </w:r>
      <w:hyperlink r:id="rId31">
        <w:r>
          <w:rPr>
            <w:rStyle w:val="Hyperlink"/>
          </w:rPr>
          <w:t xml:space="preserve">[38]</w:t>
        </w:r>
      </w:hyperlink>
      <w:r>
        <w:t xml:space="preserve"> </w:t>
      </w:r>
      <w:hyperlink r:id="rId31">
        <w:r>
          <w:rPr>
            <w:rStyle w:val="Hyperlink"/>
          </w:rPr>
          <w:t xml:space="preserve">[39]</w:t>
        </w:r>
      </w:hyperlink>
      <w:r>
        <w:t xml:space="preserve"> </w:t>
      </w:r>
      <w:r>
        <w:t xml:space="preserve">PartB_technical report_130718_DM - WT16Jul18.docx</w:t>
      </w:r>
    </w:p>
    <w:p>
      <w:pPr>
        <w:pStyle w:val="BodyText"/>
      </w:pPr>
      <w:hyperlink r:id="rId31">
        <w:r>
          <w:rPr>
            <w:rStyle w:val="Hyperlink"/>
          </w:rPr>
          <w:t xml:space="preserve">https://scinusnl.sharepoint.com/sites/03Projects/_layouts/15/Doc.aspx?sourcedoc=%7BA5AEDA5D-2CDA-5570-B897-5CA1912546A9%7D&amp;file=PartB_technical%20report_130718_DM%20-%20WT16Jul18.docx&amp;action=default&amp;mobileredirect=true</w:t>
        </w:r>
      </w:hyperlink>
    </w:p>
    <w:p>
      <w:pPr>
        <w:pStyle w:val="BodyText"/>
      </w:pPr>
      <w:hyperlink r:id="rId33">
        <w:r>
          <w:rPr>
            <w:rStyle w:val="Hyperlink"/>
          </w:rPr>
          <w:t xml:space="preserve">[42]</w:t>
        </w:r>
      </w:hyperlink>
      <w:r>
        <w:t xml:space="preserve"> </w:t>
      </w:r>
      <w:hyperlink r:id="rId33">
        <w:r>
          <w:rPr>
            <w:rStyle w:val="Hyperlink"/>
          </w:rPr>
          <w:t xml:space="preserve">[43]</w:t>
        </w:r>
      </w:hyperlink>
      <w:r>
        <w:t xml:space="preserve"> </w:t>
      </w:r>
      <w:hyperlink r:id="rId33">
        <w:r>
          <w:rPr>
            <w:rStyle w:val="Hyperlink"/>
          </w:rPr>
          <w:t xml:space="preserve">[44]</w:t>
        </w:r>
      </w:hyperlink>
      <w:r>
        <w:t xml:space="preserve"> </w:t>
      </w:r>
      <w:hyperlink r:id="rId33">
        <w:r>
          <w:rPr>
            <w:rStyle w:val="Hyperlink"/>
          </w:rPr>
          <w:t xml:space="preserve">[45]</w:t>
        </w:r>
      </w:hyperlink>
      <w:r>
        <w:t xml:space="preserve"> </w:t>
      </w:r>
      <w:hyperlink r:id="rId33">
        <w:r>
          <w:rPr>
            <w:rStyle w:val="Hyperlink"/>
          </w:rPr>
          <w:t xml:space="preserve">[46]</w:t>
        </w:r>
      </w:hyperlink>
      <w:r>
        <w:t xml:space="preserve"> </w:t>
      </w:r>
      <w:hyperlink r:id="rId33">
        <w:r>
          <w:rPr>
            <w:rStyle w:val="Hyperlink"/>
          </w:rPr>
          <w:t xml:space="preserve">[52]</w:t>
        </w:r>
      </w:hyperlink>
      <w:r>
        <w:t xml:space="preserve"> </w:t>
      </w:r>
      <w:hyperlink r:id="rId33">
        <w:r>
          <w:rPr>
            <w:rStyle w:val="Hyperlink"/>
          </w:rPr>
          <w:t xml:space="preserve">[53]</w:t>
        </w:r>
      </w:hyperlink>
      <w:r>
        <w:t xml:space="preserve"> </w:t>
      </w:r>
      <w:hyperlink r:id="rId33">
        <w:r>
          <w:rPr>
            <w:rStyle w:val="Hyperlink"/>
          </w:rPr>
          <w:t xml:space="preserve">[54]</w:t>
        </w:r>
      </w:hyperlink>
      <w:r>
        <w:t xml:space="preserve"> </w:t>
      </w:r>
      <w:hyperlink r:id="rId33">
        <w:r>
          <w:rPr>
            <w:rStyle w:val="Hyperlink"/>
          </w:rPr>
          <w:t xml:space="preserve">[55]</w:t>
        </w:r>
      </w:hyperlink>
      <w:r>
        <w:t xml:space="preserve"> </w:t>
      </w:r>
      <w:r>
        <w:t xml:space="preserve">MUVON Scinus vs NG imporovements.pptx</w:t>
      </w:r>
    </w:p>
    <w:p>
      <w:pPr>
        <w:pStyle w:val="BodyText"/>
      </w:pPr>
      <w:hyperlink r:id="rId33">
        <w:r>
          <w:rPr>
            <w:rStyle w:val="Hyperlink"/>
          </w:rPr>
          <w:t xml:space="preserve">https://scinusnl.sharepoint.com/sites/05Businessdevelopment/_layouts/15/Doc.aspx?sourcedoc=%7BD5DFAF5D-B967-440C-87EF-DCE326D0C3B1%7D&amp;file=MUVON%20Scinus%20vs%20NG%20imporovements.pptx&amp;action=edit&amp;mobileredirect=true</w:t>
        </w:r>
      </w:hyperlink>
    </w:p>
    <w:p>
      <w:pPr>
        <w:pStyle w:val="BodyText"/>
      </w:pPr>
      <w:hyperlink r:id="rId34">
        <w:r>
          <w:rPr>
            <w:rStyle w:val="Hyperlink"/>
          </w:rPr>
          <w:t xml:space="preserve">[49]</w:t>
        </w:r>
      </w:hyperlink>
      <w:r>
        <w:t xml:space="preserve"> </w:t>
      </w:r>
      <w:hyperlink r:id="rId34">
        <w:r>
          <w:rPr>
            <w:rStyle w:val="Hyperlink"/>
          </w:rPr>
          <w:t xml:space="preserve">[50]</w:t>
        </w:r>
      </w:hyperlink>
      <w:r>
        <w:t xml:space="preserve"> </w:t>
      </w:r>
      <w:r>
        <w:t xml:space="preserve">Bioreactor for suspension cell expansion v01.docx</w:t>
      </w:r>
    </w:p>
    <w:p>
      <w:pPr>
        <w:pStyle w:val="BodyText"/>
      </w:pPr>
      <w:hyperlink r:id="rId34">
        <w:r>
          <w:rPr>
            <w:rStyle w:val="Hyperlink"/>
          </w:rPr>
          <w:t xml:space="preserve">https://scinusnl.sharepoint.com/sites/11PDD/_layouts/15/Doc.aspx?sourcedoc=%7B6F556419-3868-4E62-BB92-C077513B029C%7D&amp;file=Bioreactor%20for%20suspension%20cell%20expansion%20v01.docx&amp;action=default&amp;mobileredirect=true</w:t>
        </w:r>
      </w:hyperlink>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scinusnl.sharepoint.com/sites/11PDD/_layouts/15/Doc.aspx?sourcedoc=%7BE493B77A-DF3B-5A9A-9194-58D3AA07F71D%7D&amp;file=912-022%20%5B01%5D%20Design%20Development%20Plan%20for%20perfusion%20bioreactor%20system.docx&amp;action=default&amp;mobileredirect=true" TargetMode="External"/><Relationship Id="rId3" Type="http://schemas.openxmlformats.org/officeDocument/2006/relationships/settings" Target="settings.xml"/><Relationship Id="rId21" Type="http://schemas.openxmlformats.org/officeDocument/2006/relationships/hyperlink" Target="https://scinusnl.sharepoint.com/sites/05Businessdevelopment/_layouts/15/Doc.aspx?sourcedoc=%7B7DE0A1FC-8D6B-431D-A1BB-74C23D009712%7D&amp;file=Our%20carboxygenator%20in%20the%20spotlight.docx&amp;action=default&amp;mobileredirect=true" TargetMode="External"/><Relationship Id="rId34" Type="http://schemas.openxmlformats.org/officeDocument/2006/relationships/hyperlink" Target="https://scinusnl.sharepoint.com/sites/11PDD/_layouts/15/Doc.aspx?sourcedoc=%7B6F556419-3868-4E62-BB92-C077513B029C%7D&amp;file=Bioreactor%20for%20suspension%20cell%20expansion%20v01.docx&amp;action=default&amp;mobileredirect=true" TargetMode="External"/><Relationship Id="rId7" Type="http://schemas.openxmlformats.org/officeDocument/2006/relationships/footnotes" Target="footnotes.xml"/><Relationship Id="rId33" Type="http://schemas.openxmlformats.org/officeDocument/2006/relationships/hyperlink" Target="https://scinusnl.sharepoint.com/sites/05Businessdevelopment/_layouts/15/Doc.aspx?sourcedoc=%7BD5DFAF5D-B967-440C-87EF-DCE326D0C3B1%7D&amp;file=MUVON%20Scinus%20vs%20NG%20imporovements.pptx&amp;action=edit&amp;mobileredirect=tru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hyperlink" Target="https://scinusnl.sharepoint.com/sites/Archiveddocuments/_layouts/15/Doc.aspx?sourcedoc=%7BC24AD47E-C5C3-4D71-9B97-6194A649D500%7D&amp;file=2013-05-14%20Carboxy%20Oxygenator%20patent%20comm%20JC.docx&amp;action=default&amp;mobileredirect=true" TargetMode="External"/><Relationship Id="rId37"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hyperlink" Target="https://scinusnl.sharepoint.com/sites/Archiveddocuments/_layouts/15/Doc.aspx?sourcedoc=%7B31FDF9B0-615D-466C-88A9-6177A78A8C6A%7D&amp;file=912-033%20%5B03%5D%20Overview%20of%20the%20performed%20studies%20for%20the%20development%20of%20the%20Xpand%20Perfusion%20Bioreactor%20System.docx&amp;action=default&amp;mobileredirect=true" TargetMode="External"/><Relationship Id="rId36" Type="http://schemas.openxmlformats.org/officeDocument/2006/relationships/customXml" Target="../customXml/item2.xml"/><Relationship Id="rId31" Type="http://schemas.openxmlformats.org/officeDocument/2006/relationships/hyperlink" Target="https://scinusnl.sharepoint.com/sites/03Projects/_layouts/15/Doc.aspx?sourcedoc=%7BA5AEDA5D-2CDA-5570-B897-5CA1912546A9%7D&amp;file=PartB_technical%20report_130718_DM%20-%20WT16Jul18.docx&amp;action=default&amp;mobileredirect=true" TargetMode="External"/><Relationship Id="rId4" Type="http://schemas.openxmlformats.org/officeDocument/2006/relationships/webSettings" Target="webSettings.xml"/><Relationship Id="rId30" Type="http://schemas.openxmlformats.org/officeDocument/2006/relationships/hyperlink" Target="https://scinusnl.sharepoint.com/sites/05Businessdevelopment/_layouts/15/Doc.aspx?sourcedoc=%7B3404E6A2-8DF9-494C-AE22-AC4132EDE89D%7D&amp;file=MSC%20expansion%20with%20Osilaris%20-%20Scinus.pptx&amp;action=edit&amp;mobileredirect=true" TargetMode="External"/><Relationship Id="rId27" Type="http://schemas.openxmlformats.org/officeDocument/2006/relationships/hyperlink" Target="https://scinusnl.sharepoint.com/sites/11PDD/Shared%20Documents/-%20Archive%20-/01%20DHF%20(old)/Tab%203%20Design%20Output%20D%20Patents/P99276%20Carboxy-Oxygenator/not%20in%20DHF/2014-05-30%20P99276NL00%20letter%20to%20client.pdf" TargetMode="External"/><Relationship Id="rId35"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31" Target="https://scinusnl.sharepoint.com/sites/03Projects/_layouts/15/Doc.aspx?sourcedoc=%7BA5AEDA5D-2CDA-5570-B897-5CA1912546A9%7D&amp;file=PartB_technical%20report_130718_DM%20-%20WT16Jul18.docx&amp;action=default&amp;mobileredirect=true" TargetMode="External" /><Relationship Type="http://schemas.openxmlformats.org/officeDocument/2006/relationships/hyperlink" Id="rId30" Target="https://scinusnl.sharepoint.com/sites/05Businessdevelopment/_layouts/15/Doc.aspx?sourcedoc=%7B3404E6A2-8DF9-494C-AE22-AC4132EDE89D%7D&amp;file=MSC%20expansion%20with%20Osilaris%20-%20Scinus.pptx&amp;action=edit&amp;mobileredirect=true" TargetMode="External" /><Relationship Type="http://schemas.openxmlformats.org/officeDocument/2006/relationships/hyperlink" Id="rId21" Target="https://scinusnl.sharepoint.com/sites/05Businessdevelopment/_layouts/15/Doc.aspx?sourcedoc=%7B7DE0A1FC-8D6B-431D-A1BB-74C23D009712%7D&amp;file=Our%20carboxygenator%20in%20the%20spotlight.docx&amp;action=default&amp;mobileredirect=true" TargetMode="External" /><Relationship Type="http://schemas.openxmlformats.org/officeDocument/2006/relationships/hyperlink" Id="rId33" Target="https://scinusnl.sharepoint.com/sites/05Businessdevelopment/_layouts/15/Doc.aspx?sourcedoc=%7BD5DFAF5D-B967-440C-87EF-DCE326D0C3B1%7D&amp;file=MUVON%20Scinus%20vs%20NG%20imporovements.pptx&amp;action=edit&amp;mobileredirect=true" TargetMode="External" /><Relationship Type="http://schemas.openxmlformats.org/officeDocument/2006/relationships/hyperlink" Id="rId27" Target="https://scinusnl.sharepoint.com/sites/11PDD/Shared%20Documents/-%20Archive%20-/01%20DHF%20(old)/Tab%203%20Design%20Output%20D%20Patents/P99276%20Carboxy-Oxygenator/not%20in%20DHF/2014-05-30%20P99276NL00%20letter%20to%20client.pdf" TargetMode="External" /><Relationship Type="http://schemas.openxmlformats.org/officeDocument/2006/relationships/hyperlink" Id="rId34" Target="https://scinusnl.sharepoint.com/sites/11PDD/_layouts/15/Doc.aspx?sourcedoc=%7B6F556419-3868-4E62-BB92-C077513B029C%7D&amp;file=Bioreactor%20for%20suspension%20cell%20expansion%20v01.docx&amp;action=default&amp;mobileredirect=true" TargetMode="External" /><Relationship Type="http://schemas.openxmlformats.org/officeDocument/2006/relationships/hyperlink" Id="rId26" Target="https://scinusnl.sharepoint.com/sites/11PDD/_layouts/15/Doc.aspx?sourcedoc=%7BE493B77A-DF3B-5A9A-9194-58D3AA07F71D%7D&amp;file=912-022%20%5B01%5D%20Design%20Development%20Plan%20for%20perfusion%20bioreactor%20system.docx&amp;action=default&amp;mobileredirect=true" TargetMode="External" /><Relationship Type="http://schemas.openxmlformats.org/officeDocument/2006/relationships/hyperlink" Id="rId23" Target="https://scinusnl.sharepoint.com/sites/Archiveddocuments/_layouts/15/Doc.aspx?sourcedoc=%7B31FDF9B0-615D-466C-88A9-6177A78A8C6A%7D&amp;file=912-033%20%5B03%5D%20Overview%20of%20the%20performed%20studies%20for%20the%20development%20of%20the%20Xpand%20Perfusion%20Bioreactor%20System.docx&amp;action=default&amp;mobileredirect=true" TargetMode="External" /><Relationship Type="http://schemas.openxmlformats.org/officeDocument/2006/relationships/hyperlink" Id="rId24" Target="https://scinusnl.sharepoint.com/sites/Archiveddocuments/_layouts/15/Doc.aspx?sourcedoc=%7BC24AD47E-C5C3-4D71-9B97-6194A649D500%7D&amp;file=2013-05-14%20Carboxy%20Oxygenator%20patent%20comm%20JC.docx&amp;action=default&amp;mobileredirect=tru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A706F7CF2D4643AB5E1C9C581B6AD5" ma:contentTypeVersion="19" ma:contentTypeDescription="Create a new document." ma:contentTypeScope="" ma:versionID="accf00fb51cf67561c2ae6cb1213848d">
  <xsd:schema xmlns:xsd="http://www.w3.org/2001/XMLSchema" xmlns:xs="http://www.w3.org/2001/XMLSchema" xmlns:p="http://schemas.microsoft.com/office/2006/metadata/properties" xmlns:ns2="a69945c9-17bf-4846-93b6-33aa5639d9d6" xmlns:ns3="5cf7ca4a-62d7-4161-b34b-b19a642d7399" targetNamespace="http://schemas.microsoft.com/office/2006/metadata/properties" ma:root="true" ma:fieldsID="405532f51266fcbd703849fc140e7ba2" ns2:_="" ns3:_="">
    <xsd:import namespace="a69945c9-17bf-4846-93b6-33aa5639d9d6"/>
    <xsd:import namespace="5cf7ca4a-62d7-4161-b34b-b19a642d73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9945c9-17bf-4846-93b6-33aa5639d9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73631c9-e33f-46eb-a8ab-0b719afa42a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cf7ca4a-62d7-4161-b34b-b19a642d739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181612d-3ade-4cfa-9379-73c73aba17a5}" ma:internalName="TaxCatchAll" ma:showField="CatchAllData" ma:web="5cf7ca4a-62d7-4161-b34b-b19a642d73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cf7ca4a-62d7-4161-b34b-b19a642d7399" xsi:nil="true"/>
    <lcf76f155ced4ddcb4097134ff3c332f xmlns="a69945c9-17bf-4846-93b6-33aa5639d9d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D77DF5F-AF38-4686-A3EA-8AC6A52AE631}"/>
</file>

<file path=customXml/itemProps2.xml><?xml version="1.0" encoding="utf-8"?>
<ds:datastoreItem xmlns:ds="http://schemas.openxmlformats.org/officeDocument/2006/customXml" ds:itemID="{77EA03B9-9BDC-44AD-81A2-7F0EECA926E6}"/>
</file>

<file path=customXml/itemProps3.xml><?xml version="1.0" encoding="utf-8"?>
<ds:datastoreItem xmlns:ds="http://schemas.openxmlformats.org/officeDocument/2006/customXml" ds:itemID="{E906DE32-11E6-4A2D-ACFD-BEA883B68212}"/>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2025-12-05T12:45:16Z</dcterms:created>
  <dcterms:modified xsi:type="dcterms:W3CDTF">2025-12-05T12:45:16Z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ContentTypeId">
    <vt:lpwstr>0x01010010A706F7CF2D4643AB5E1C9C581B6AD5</vt:lpwstr>
  </property>
</Properties>
</file>