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0" w:name="content"/>
    <w:bookmarkStart w:id="49" w:name="X90c94663f03f45a9806f1829bc14cc907c21725"/>
    <w:p>
      <w:pPr>
        <w:pStyle w:val="Heading1"/>
      </w:pPr>
      <w:r>
        <w:t xml:space="preserve">Gas Permeability of Saint‑Gobain Sani‑Tech Ultra Silicone Tubing and Best-Available Measured Analog Data</w:t>
      </w:r>
    </w:p>
    <w:bookmarkStart w:id="2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Publicly accessible Saint‑Gobain documentation for</w:t>
      </w:r>
      <w:r>
        <w:t xml:space="preserve"> </w:t>
      </w:r>
      <w:r>
        <w:rPr>
          <w:b/>
          <w:bCs/>
        </w:rPr>
        <w:t xml:space="preserve">Sani‑Tech® Ultra silicone tubing</w:t>
      </w:r>
      <w:r>
        <w:t xml:space="preserve"> </w:t>
      </w:r>
      <w:r>
        <w:t xml:space="preserve">(Ultra‑C / Ultra‑65) provides</w:t>
      </w:r>
      <w:r>
        <w:t xml:space="preserve"> </w:t>
      </w:r>
      <w:r>
        <w:rPr>
          <w:b/>
          <w:bCs/>
        </w:rPr>
        <w:t xml:space="preserve">dimensions, part-number decoding, and mechanical properties</w:t>
      </w:r>
      <w:r>
        <w:t xml:space="preserve">, but</w:t>
      </w:r>
      <w:r>
        <w:t xml:space="preserve"> </w:t>
      </w:r>
      <w:r>
        <w:rPr>
          <w:b/>
          <w:bCs/>
        </w:rPr>
        <w:t xml:space="preserve">does not publish measured O₂/CO₂/N₂ permeability/permeation values</w:t>
      </w:r>
      <w:r>
        <w:t xml:space="preserve"> </w:t>
      </w:r>
      <w:r>
        <w:t xml:space="preserve">(nor an ASTM D1434 report) in the open datasheet.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The Saint‑Gobain product page explicitly indicates that</w:t>
      </w:r>
      <w:r>
        <w:t xml:space="preserve"> </w:t>
      </w:r>
      <w:r>
        <w:rPr>
          <w:b/>
          <w:bCs/>
        </w:rPr>
        <w:t xml:space="preserve">technical dossiers / validation guides are “gated documentation”</w:t>
      </w:r>
      <w:r>
        <w:t xml:space="preserve"> </w:t>
      </w:r>
      <w:r>
        <w:t xml:space="preserve">(i.e., not publicly downloadable without registered access), which is the most likely location for any internal or third‑party gas transport characterization (if it exists).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Because</w:t>
      </w:r>
      <w:r>
        <w:t xml:space="preserve"> </w:t>
      </w:r>
      <w:r>
        <w:rPr>
          <w:b/>
          <w:bCs/>
        </w:rPr>
        <w:t xml:space="preserve">ULTRA‑C‑125‑1F / ULTRA‑C‑125‑1H</w:t>
      </w:r>
      <w:r>
        <w:t xml:space="preserve"> </w:t>
      </w:r>
      <w:r>
        <w:t xml:space="preserve">permeability values were not found as product-specific public data, the best authoritative, measured substitutes located are:</w:t>
      </w:r>
      <w:r>
        <w:t xml:space="preserve"> </w:t>
      </w:r>
      <w:r>
        <w:t xml:space="preserve">- A widely cited</w:t>
      </w:r>
      <w:r>
        <w:t xml:space="preserve"> </w:t>
      </w:r>
      <w:r>
        <w:rPr>
          <w:b/>
          <w:bCs/>
        </w:rPr>
        <w:t xml:space="preserve">primary measurement set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dimethyl silicone rubber (with silica filler)</w:t>
      </w:r>
      <w:r>
        <w:t xml:space="preserve"> </w:t>
      </w:r>
      <w:r>
        <w:t xml:space="preserve">at ~25 °C, reporting</w:t>
      </w:r>
      <w:r>
        <w:t xml:space="preserve"> </w:t>
      </w:r>
      <w:r>
        <w:rPr>
          <w:b/>
          <w:bCs/>
        </w:rPr>
        <w:t xml:space="preserve">N₂ ≈ 28×10⁻⁹</w:t>
      </w:r>
      <w:r>
        <w:t xml:space="preserve">,</w:t>
      </w:r>
      <w:r>
        <w:t xml:space="preserve"> </w:t>
      </w:r>
      <w:r>
        <w:rPr>
          <w:b/>
          <w:bCs/>
        </w:rPr>
        <w:t xml:space="preserve">O₂ ≈ 60×10⁻⁹</w:t>
      </w:r>
      <w:r>
        <w:t xml:space="preserve">,</w:t>
      </w:r>
      <w:r>
        <w:t xml:space="preserve"> </w:t>
      </w:r>
      <w:r>
        <w:rPr>
          <w:b/>
          <w:bCs/>
        </w:rPr>
        <w:t xml:space="preserve">CO₂ ≈ 325×10⁻⁹</w:t>
      </w:r>
      <w:r>
        <w:t xml:space="preserve"> </w:t>
      </w:r>
      <w:r>
        <w:t xml:space="preserve">in the classic composite permeability units (cc gas·cm)/(s·cm²·cmHg·Δp).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- A second measured dataset (same paper) showing similar magnitudes and explicitly discussing</w:t>
      </w:r>
      <w:r>
        <w:t xml:space="preserve"> </w:t>
      </w:r>
      <w:r>
        <w:rPr>
          <w:b/>
          <w:bCs/>
        </w:rPr>
        <w:t xml:space="preserve">temperature dependence</w:t>
      </w:r>
      <w:r>
        <w:t xml:space="preserve"> </w:t>
      </w:r>
      <w:r>
        <w:t xml:space="preserve">and the role of diffusion/solubility (P = D×S).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br/>
      </w:r>
      <w:r>
        <w:t xml:space="preserve">- A</w:t>
      </w:r>
      <w:r>
        <w:t xml:space="preserve"> </w:t>
      </w:r>
      <w:r>
        <w:rPr>
          <w:b/>
          <w:bCs/>
        </w:rPr>
        <w:t xml:space="preserve">platinum‑cured PDMS tube vendor</w:t>
      </w:r>
      <w:r>
        <w:t xml:space="preserve"> </w:t>
      </w:r>
      <w:r>
        <w:t xml:space="preserve">page with permeability values reported in a “10⁻⁹ Barrer-style” convention (numerically similar scale to the classic silicone-rubber datasets, but</w:t>
      </w:r>
      <w:r>
        <w:t xml:space="preserve"> </w:t>
      </w:r>
      <w:r>
        <w:rPr>
          <w:b/>
          <w:bCs/>
        </w:rPr>
        <w:t xml:space="preserve">not Saint‑Gobain ULTRA-specific</w:t>
      </w:r>
      <w:r>
        <w:t xml:space="preserve">).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Using the</w:t>
      </w:r>
      <w:r>
        <w:t xml:space="preserve"> </w:t>
      </w:r>
      <w:r>
        <w:rPr>
          <w:b/>
          <w:bCs/>
        </w:rPr>
        <w:t xml:space="preserve">wall-code 1 thickness = 0.79 mm</w:t>
      </w:r>
      <w:r>
        <w:t xml:space="preserve"> </w:t>
      </w:r>
      <w:r>
        <w:t xml:space="preserve">(per Saint‑Gobain’s PN decoding) and a</w:t>
      </w:r>
      <w:r>
        <w:t xml:space="preserve"> </w:t>
      </w:r>
      <w:r>
        <w:rPr>
          <w:b/>
          <w:bCs/>
        </w:rPr>
        <w:t xml:space="preserve">planar steady-state approximation</w:t>
      </w:r>
      <w:r>
        <w:t xml:space="preserve">, these literature-grade permeability values imply order-of-magnitude fluxes at Δp = 1 atm of roughly</w:t>
      </w:r>
      <w:r>
        <w:t xml:space="preserve"> </w:t>
      </w:r>
      <w:r>
        <w:rPr>
          <w:b/>
          <w:bCs/>
        </w:rPr>
        <w:t xml:space="preserve">N₂ ~0.25 cm³(STP)/m²/s</w:t>
      </w:r>
      <w:r>
        <w:t xml:space="preserve">,</w:t>
      </w:r>
      <w:r>
        <w:t xml:space="preserve"> </w:t>
      </w:r>
      <w:r>
        <w:rPr>
          <w:b/>
          <w:bCs/>
        </w:rPr>
        <w:t xml:space="preserve">O₂ ~0.53 cm³(STP)/m²/s</w:t>
      </w:r>
      <w:r>
        <w:t xml:space="preserve">,</w:t>
      </w:r>
      <w:r>
        <w:t xml:space="preserve"> </w:t>
      </w:r>
      <w:r>
        <w:rPr>
          <w:b/>
          <w:bCs/>
        </w:rPr>
        <w:t xml:space="preserve">CO₂ ~2.9 cm³(STP)/m²/s</w:t>
      </w:r>
      <w:r>
        <w:t xml:space="preserve"> </w:t>
      </w:r>
      <w:r>
        <w:t xml:space="preserve">(divide by 10 for Δp = 0.1 atm). (Method and assumptions detailed below.)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A[Goal: measured O2/CO2/N2 permeability for ULTRA-C-125-1F/1H] --&gt; B[Search Saint-Gobain pages &amp; datasheets]</w:t>
      </w:r>
      <w:r>
        <w:br/>
      </w:r>
      <w:r>
        <w:rPr>
          <w:rStyle w:val="VerbatimChar"/>
        </w:rPr>
        <w:t xml:space="preserve">  B --&gt; C{Public O2/CO2/N2 permeability values found?}</w:t>
      </w:r>
      <w:r>
        <w:br/>
      </w:r>
      <w:r>
        <w:rPr>
          <w:rStyle w:val="VerbatimChar"/>
        </w:rPr>
        <w:t xml:space="preserve">  C --&gt;|No| D[Extract PN decoding + geometry from datasheet]</w:t>
      </w:r>
      <w:r>
        <w:br/>
      </w:r>
      <w:r>
        <w:rPr>
          <w:rStyle w:val="VerbatimChar"/>
        </w:rPr>
        <w:t xml:space="preserve">  D --&gt; E[Search peer-reviewed / primary measured silicone rubber &amp; PDMS data]</w:t>
      </w:r>
      <w:r>
        <w:br/>
      </w:r>
      <w:r>
        <w:rPr>
          <w:rStyle w:val="VerbatimChar"/>
        </w:rPr>
        <w:t xml:space="preserve">  E --&gt; F[Robb 1968: silicone rubber permeability tables]</w:t>
      </w:r>
      <w:r>
        <w:br/>
      </w:r>
      <w:r>
        <w:rPr>
          <w:rStyle w:val="VerbatimChar"/>
        </w:rPr>
        <w:t xml:space="preserve">  E --&gt; G[Other corroborating sources: Arlon paper; PDMS tube vendor]</w:t>
      </w:r>
      <w:r>
        <w:br/>
      </w:r>
      <w:r>
        <w:rPr>
          <w:rStyle w:val="VerbatimChar"/>
        </w:rPr>
        <w:t xml:space="preserve">  F --&gt; H[Convert units &amp; compute flux for wall = 0.79 mm at Δp=1 atm and 0.1 atm]</w:t>
      </w:r>
      <w:r>
        <w:br/>
      </w:r>
      <w:r>
        <w:rPr>
          <w:rStyle w:val="VerbatimChar"/>
        </w:rPr>
        <w:t xml:space="preserve">  G --&gt; H</w:t>
      </w:r>
    </w:p>
    <w:bookmarkEnd w:id="25"/>
    <w:bookmarkStart w:id="28" w:name="X9eb81fcfdbbcd13547b0a809182681f29e1d227"/>
    <w:p>
      <w:pPr>
        <w:pStyle w:val="Heading2"/>
      </w:pPr>
      <w:r>
        <w:t xml:space="preserve">Product definition and geometry for Ultra‑C‑125‑1F / Ultra‑C‑125‑1H</w:t>
      </w:r>
    </w:p>
    <w:bookmarkStart w:id="26" w:name="what-ultrac1251f1h-encodes"/>
    <w:p>
      <w:pPr>
        <w:pStyle w:val="Heading3"/>
      </w:pPr>
      <w:r>
        <w:t xml:space="preserve">What “Ultra‑C‑125‑1F/1H” encodes</w:t>
      </w:r>
    </w:p>
    <w:p>
      <w:pPr>
        <w:pStyle w:val="FirstParagraph"/>
      </w:pPr>
      <w:r>
        <w:t xml:space="preserve">Saint‑Gobain’s datasheet defines a part number structure</w:t>
      </w:r>
      <w:r>
        <w:t xml:space="preserve"> </w:t>
      </w:r>
      <w:r>
        <w:rPr>
          <w:b/>
          <w:bCs/>
        </w:rPr>
        <w:t xml:space="preserve">ULTRA‑X1‑XXX‑XX2</w:t>
      </w:r>
      <w:r>
        <w:t xml:space="preserve">, 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X1</w:t>
      </w:r>
      <w:r>
        <w:t xml:space="preserve"> </w:t>
      </w:r>
      <w:r>
        <w:t xml:space="preserve">indicates hardness:</w:t>
      </w:r>
      <w:r>
        <w:t xml:space="preserve"> </w:t>
      </w:r>
      <w:r>
        <w:rPr>
          <w:b/>
          <w:bCs/>
        </w:rPr>
        <w:t xml:space="preserve">C = 50 Shore A</w:t>
      </w:r>
      <w:r>
        <w:t xml:space="preserve">,</w:t>
      </w:r>
      <w:r>
        <w:t xml:space="preserve"> </w:t>
      </w:r>
      <w:r>
        <w:rPr>
          <w:b/>
          <w:bCs/>
        </w:rPr>
        <w:t xml:space="preserve">65 = 65 Shore 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XXX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 in inches</w:t>
      </w:r>
      <w:r>
        <w:t xml:space="preserve"> </w:t>
      </w:r>
      <w:r>
        <w:t xml:space="preserve">(e.g.,</w:t>
      </w:r>
      <w:r>
        <w:t xml:space="preserve"> </w:t>
      </w:r>
      <w:r>
        <w:rPr>
          <w:b/>
          <w:bCs/>
        </w:rPr>
        <w:t xml:space="preserve">125 → 0.125 in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Wall size code</w:t>
      </w:r>
      <w:r>
        <w:t xml:space="preserve">:</w:t>
      </w:r>
      <w:r>
        <w:t xml:space="preserve"> </w:t>
      </w:r>
      <w:r>
        <w:rPr>
          <w:b/>
          <w:bCs/>
        </w:rPr>
        <w:t xml:space="preserve">1 = 1/32" = 0.79 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Coil/roll</w:t>
      </w:r>
      <w:r>
        <w:t xml:space="preserve">:</w:t>
      </w:r>
      <w:r>
        <w:t xml:space="preserve"> </w:t>
      </w:r>
      <w:r>
        <w:rPr>
          <w:b/>
          <w:bCs/>
        </w:rPr>
        <w:t xml:space="preserve">F = 50 ft</w:t>
      </w:r>
      <w:r>
        <w:t xml:space="preserve">,</w:t>
      </w:r>
      <w:r>
        <w:t xml:space="preserve"> </w:t>
      </w:r>
      <w:r>
        <w:rPr>
          <w:b/>
          <w:bCs/>
        </w:rPr>
        <w:t xml:space="preserve">H = 100 ft</w:t>
      </w:r>
      <w:r>
        <w:t xml:space="preserve">, and 25 ft has no designation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Saint‑Gobain’s product page also characterizes Sani‑Tech Ultra as</w:t>
      </w:r>
      <w:r>
        <w:t xml:space="preserve"> </w:t>
      </w:r>
      <w:r>
        <w:rPr>
          <w:b/>
          <w:bCs/>
        </w:rPr>
        <w:t xml:space="preserve">platinum‑cured</w:t>
      </w:r>
      <w:r>
        <w:t xml:space="preserve"> </w:t>
      </w:r>
      <w:r>
        <w:t xml:space="preserve">tubing available in</w:t>
      </w:r>
      <w:r>
        <w:t xml:space="preserve"> </w:t>
      </w:r>
      <w:r>
        <w:rPr>
          <w:b/>
          <w:bCs/>
        </w:rPr>
        <w:t xml:space="preserve">50 or 65 Shore A</w:t>
      </w:r>
      <w:r>
        <w:t xml:space="preserve"> </w:t>
      </w:r>
      <w:r>
        <w:t xml:space="preserve">options.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26"/>
    <w:bookmarkStart w:id="27" w:name="X39cc4a6a3ca375eb7e307dada5f66fe8533edf3"/>
    <w:p>
      <w:pPr>
        <w:pStyle w:val="Heading3"/>
      </w:pPr>
      <w:r>
        <w:t xml:space="preserve">Dimensions for the Ultra‑C‑125 wall-code 1 variant</w:t>
      </w:r>
    </w:p>
    <w:p>
      <w:pPr>
        <w:pStyle w:val="FirstParagraph"/>
      </w:pPr>
      <w:r>
        <w:t xml:space="preserve">From the standard sizes table: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ULTRA‑C‑125‑1</w:t>
      </w:r>
      <w:r>
        <w:t xml:space="preserve">:</w:t>
      </w:r>
      <w:r>
        <w:t xml:space="preserve"> </w:t>
      </w:r>
      <w:r>
        <w:rPr>
          <w:b/>
          <w:bCs/>
        </w:rPr>
        <w:t xml:space="preserve">ID 0.125 in (3.2 mm)</w:t>
      </w:r>
      <w:r>
        <w:t xml:space="preserve">,</w:t>
      </w:r>
      <w:r>
        <w:t xml:space="preserve"> </w:t>
      </w:r>
      <w:r>
        <w:rPr>
          <w:b/>
          <w:bCs/>
        </w:rPr>
        <w:t xml:space="preserve">OD 0.188 in (4.8 mm)</w:t>
      </w:r>
      <w:r>
        <w:t xml:space="preserve">,</w:t>
      </w:r>
      <w:r>
        <w:t xml:space="preserve"> </w:t>
      </w:r>
      <w:r>
        <w:rPr>
          <w:b/>
          <w:bCs/>
        </w:rPr>
        <w:t xml:space="preserve">wall 0.032 in (0.8 mm)</w:t>
      </w:r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br/>
      </w:r>
      <w:r>
        <w:t xml:space="preserve">This is consistent with the PN “wall code 1 = 0.79 mm” mapping.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Working thickness assumption for calculations:</w:t>
      </w:r>
      <w:r>
        <w:t xml:space="preserve"> </w:t>
      </w:r>
      <w:r>
        <w:t xml:space="preserve">wall-code 1 →</w:t>
      </w:r>
      <w:r>
        <w:t xml:space="preserve"> </w:t>
      </w:r>
      <w:r>
        <w:rPr>
          <w:b/>
          <w:bCs/>
        </w:rPr>
        <w:t xml:space="preserve">t = 0.79 mm = 0.00079 m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bookmarkEnd w:id="27"/>
    <w:bookmarkEnd w:id="28"/>
    <w:bookmarkStart w:id="31" w:name="X9d8953a094a236a33c38edf1cf05d88c08e423a"/>
    <w:p>
      <w:pPr>
        <w:pStyle w:val="Heading2"/>
      </w:pPr>
      <w:r>
        <w:t xml:space="preserve">Search outcome for product-specific O₂, CO₂, N₂ permeability data</w:t>
      </w:r>
    </w:p>
    <w:bookmarkStart w:id="29" w:name="saintgobain-publicly-available-documents"/>
    <w:p>
      <w:pPr>
        <w:pStyle w:val="Heading3"/>
      </w:pPr>
      <w:r>
        <w:t xml:space="preserve">Saint‑Gobain publicly available documents</w:t>
      </w:r>
    </w:p>
    <w:p>
      <w:pPr>
        <w:pStyle w:val="FirstParagraph"/>
      </w:pPr>
      <w:r>
        <w:t xml:space="preserve">The open Saint‑Gobain datasheet provides: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dimensional table</w:t>
      </w:r>
      <w:r>
        <w:t xml:space="preserve"> </w:t>
      </w:r>
      <w:r>
        <w:t xml:space="preserve">of part numbers, ID/OD/wall, and burst pressure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 number decoding</w:t>
      </w:r>
      <w:r>
        <w:t xml:space="preserve"> </w:t>
      </w:r>
      <w:r>
        <w:t xml:space="preserve">including coil lengths and wall-code mapping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mechanical properties testing context</w:t>
      </w:r>
      <w:r>
        <w:t xml:space="preserve"> </w:t>
      </w:r>
      <w:r>
        <w:t xml:space="preserve">(room temperature, sample geometry)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However,</w:t>
      </w:r>
      <w:r>
        <w:t xml:space="preserve"> </w:t>
      </w:r>
      <w:r>
        <w:rPr>
          <w:b/>
          <w:bCs/>
        </w:rPr>
        <w:t xml:space="preserve">no O₂/CO₂/N₂ permeability coefficients (in Barrer or SI) and no gas transmission test report (e.g., ASTM D1434)</w:t>
      </w:r>
      <w:r>
        <w:t xml:space="preserve"> </w:t>
      </w:r>
      <w:r>
        <w:t xml:space="preserve">are included in the public datasheet.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bookmarkEnd w:id="29"/>
    <w:bookmarkStart w:id="30" w:name="why-you-may-not-see-it-publicly"/>
    <w:p>
      <w:pPr>
        <w:pStyle w:val="Heading3"/>
      </w:pPr>
      <w:r>
        <w:t xml:space="preserve">Why you may not see it publicly</w:t>
      </w:r>
    </w:p>
    <w:p>
      <w:pPr>
        <w:pStyle w:val="FirstParagraph"/>
      </w:pPr>
      <w:r>
        <w:t xml:space="preserve">The Saint‑Gobain product page indicates a “Resource Center” containing</w:t>
      </w:r>
      <w:r>
        <w:t xml:space="preserve"> </w:t>
      </w:r>
      <w:r>
        <w:rPr>
          <w:b/>
          <w:bCs/>
        </w:rPr>
        <w:t xml:space="preserve">Technical Dossiers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Validation Guides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gated documentation</w:t>
      </w:r>
      <w:r>
        <w:t xml:space="preserve">. If Saint‑Gobain (or a customer-facing test lab) has performed gas permeability characterization on ULTRA formulations, this gated set is the most plausible location.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30"/>
    <w:bookmarkEnd w:id="31"/>
    <w:bookmarkStart w:id="37" w:name="X83c62e57e060d141eafc86ed0ee76b65e394cf4"/>
    <w:p>
      <w:pPr>
        <w:pStyle w:val="Heading2"/>
      </w:pPr>
      <w:r>
        <w:t xml:space="preserve">Best-available measured permeability data for comparable silicone/PDMS materials</w:t>
      </w:r>
    </w:p>
    <w:bookmarkStart w:id="32" w:name="Xb8d0870b39fd1882cf92d70c45713182291962e"/>
    <w:p>
      <w:pPr>
        <w:pStyle w:val="Heading3"/>
      </w:pPr>
      <w:r>
        <w:t xml:space="preserve">Primary measured silicone rubber data (closest “material class” match)</w:t>
      </w:r>
    </w:p>
    <w:p>
      <w:pPr>
        <w:pStyle w:val="FirstParagraph"/>
      </w:pPr>
      <w:r>
        <w:t xml:space="preserve">W. L. Robb (1968) reports measured permeability constants for</w:t>
      </w:r>
      <w:r>
        <w:t xml:space="preserve"> </w:t>
      </w:r>
      <w:r>
        <w:rPr>
          <w:b/>
          <w:bCs/>
        </w:rPr>
        <w:t xml:space="preserve">dimethyl silicone rubber with silica filler</w:t>
      </w:r>
      <w:r>
        <w:t xml:space="preserve"> </w:t>
      </w:r>
      <w:r>
        <w:t xml:space="preserve">(explicitly:</w:t>
      </w:r>
      <w:r>
        <w:t xml:space="preserve"> </w:t>
      </w:r>
      <w:r>
        <w:rPr>
          <w:i/>
          <w:iCs/>
        </w:rPr>
        <w:t xml:space="preserve">dimethyl siloxane + 33 wt% silica filler</w:t>
      </w:r>
      <w:r>
        <w:t xml:space="preserve">) and gives permeability at</w:t>
      </w:r>
      <w:r>
        <w:t xml:space="preserve"> </w:t>
      </w:r>
      <w:r>
        <w:rPr>
          <w:b/>
          <w:bCs/>
        </w:rPr>
        <w:t xml:space="preserve">25 °C</w:t>
      </w:r>
      <w:r>
        <w:t xml:space="preserve">, expressed as:</w:t>
      </w:r>
    </w:p>
    <w:p>
      <w:pPr>
        <w:pStyle w:val="BodyText"/>
      </w:pPr>
      <w:r>
        <w:rPr>
          <w:b/>
          <w:bCs/>
        </w:rPr>
        <w:t xml:space="preserve">Pr × 10⁹ = (cc gas at 1 atm, 25 °C)·cm / (s·cm²·cmHg·Δp)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From Robb’s Table 2 (filled dimethyl silicone rubber):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N₂:</w:t>
      </w:r>
      <w:r>
        <w:t xml:space="preserve"> </w:t>
      </w:r>
      <w:r>
        <w:t xml:space="preserve">28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O₂:</w:t>
      </w:r>
      <w:r>
        <w:t xml:space="preserve"> </w:t>
      </w:r>
      <w:r>
        <w:t xml:space="preserve">60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CO₂:</w:t>
      </w:r>
      <w:r>
        <w:t xml:space="preserve"> </w:t>
      </w:r>
      <w:r>
        <w:t xml:space="preserve">325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Robb details the experimental approach (two-bulb apparatus evacuated to &lt;10⁻³ mmHg, gas admitted at known pressure, pressure buildup measured on the low-pressure side; reported volumes referenced to 1 atm and 25 °C).</w:t>
      </w:r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Robb also states the standard solution–diffusion framing</w:t>
      </w:r>
      <w:r>
        <w:t xml:space="preserve"> </w:t>
      </w:r>
      <w:r>
        <w:rPr>
          <w:b/>
          <w:bCs/>
        </w:rPr>
        <w:t xml:space="preserve">Pr = D × S</w:t>
      </w:r>
      <w:r>
        <w:t xml:space="preserve"> </w:t>
      </w:r>
      <w:r>
        <w:t xml:space="preserve">(permeability as the product of diffusivity and solubility), and provides explicit D and S values for key gases in silicone rubber.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bookmarkEnd w:id="32"/>
    <w:bookmarkStart w:id="33" w:name="Xead9008bc55d8dc54c56099ccaf8332a24803c6"/>
    <w:p>
      <w:pPr>
        <w:pStyle w:val="Heading3"/>
      </w:pPr>
      <w:r>
        <w:t xml:space="preserve">Sensitivity to formulation (important for “ULTRA vs literature” gap)</w:t>
      </w:r>
    </w:p>
    <w:p>
      <w:pPr>
        <w:pStyle w:val="FirstParagraph"/>
      </w:pPr>
      <w:r>
        <w:t xml:space="preserve">Robb reports that across</w:t>
      </w:r>
      <w:r>
        <w:t xml:space="preserve"> </w:t>
      </w:r>
      <w:r>
        <w:rPr>
          <w:b/>
          <w:bCs/>
        </w:rPr>
        <w:t xml:space="preserve">0–60 wt% silica filler</w:t>
      </w:r>
      <w:r>
        <w:t xml:space="preserve">, the</w:t>
      </w:r>
      <w:r>
        <w:t xml:space="preserve"> </w:t>
      </w:r>
      <w:r>
        <w:rPr>
          <w:b/>
          <w:bCs/>
        </w:rPr>
        <w:t xml:space="preserve">O₂ permeability only varied from ~70×10⁻⁹ down to ~40×10⁻⁹</w:t>
      </w:r>
      <w:r>
        <w:t xml:space="preserve"> </w:t>
      </w:r>
      <w:r>
        <w:t xml:space="preserve">in the same composite units—i.e., formulation changes can move permeability by</w:t>
      </w:r>
      <w:r>
        <w:t xml:space="preserve"> </w:t>
      </w:r>
      <w:r>
        <w:rPr>
          <w:b/>
          <w:bCs/>
        </w:rPr>
        <w:t xml:space="preserve">~±30–40%</w:t>
      </w:r>
      <w:r>
        <w:t xml:space="preserve"> </w:t>
      </w:r>
      <w:r>
        <w:t xml:space="preserve">even within “dimethyl silicone rubber” families.</w:t>
      </w:r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br/>
      </w:r>
      <w:r>
        <w:t xml:space="preserve">This is directly relevant because tubing compounds often include fillers and processing-induced morphology that differ from thin membrane films.</w:t>
      </w:r>
    </w:p>
    <w:bookmarkEnd w:id="33"/>
    <w:bookmarkStart w:id="35" w:name="X39d628638b0954ff29b04b7c9f62f8fe5161bc1"/>
    <w:p>
      <w:pPr>
        <w:pStyle w:val="Heading3"/>
      </w:pPr>
      <w:r>
        <w:t xml:space="preserve">Corroborating tabulation with D, S, and gas set (not ULTRA-specific)</w:t>
      </w:r>
    </w:p>
    <w:p>
      <w:pPr>
        <w:pStyle w:val="FirstParagraph"/>
      </w:pPr>
      <w:r>
        <w:t xml:space="preserve">A technical paper by Zhang &amp; Cloud (Arlon, reprinted from SAMPE 2006) reproduces a table of</w:t>
      </w:r>
      <w:r>
        <w:t xml:space="preserve"> </w:t>
      </w:r>
      <w:r>
        <w:rPr>
          <w:b/>
          <w:bCs/>
        </w:rPr>
        <w:t xml:space="preserve">dimethylsilicone rubber gas permeability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CO₂, N₂, O₂</w:t>
      </w:r>
      <w:r>
        <w:t xml:space="preserve"> </w:t>
      </w:r>
      <w:r>
        <w:t xml:space="preserve">alongside diffusivity and solubility values, using the same classic composite permeability unit scale (×10⁹).</w:t>
      </w:r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br/>
      </w:r>
      <w:r>
        <w:t xml:space="preserve">It also documents the use of</w:t>
      </w:r>
      <w:r>
        <w:t xml:space="preserve"> </w:t>
      </w:r>
      <w:r>
        <w:rPr>
          <w:b/>
          <w:bCs/>
        </w:rPr>
        <w:t xml:space="preserve">ASTM D1434-82 (Procedure V, volumetric)</w:t>
      </w:r>
      <w:r>
        <w:t xml:space="preserve"> </w:t>
      </w:r>
      <w:r>
        <w:t xml:space="preserve">for permeability testing in their experimental work (though their own reported test gas in that section is helium).</w:t>
      </w:r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</w:p>
    <w:bookmarkEnd w:id="35"/>
    <w:bookmarkStart w:id="36" w:name="Xb44a5425fb4b03931fb17fcf076d43f7717d4b7"/>
    <w:p>
      <w:pPr>
        <w:pStyle w:val="Heading3"/>
      </w:pPr>
      <w:r>
        <w:t xml:space="preserve">Platinum-cured PDMS tube vendor values (measured, but not Saint‑Gobain ULTRA)</w:t>
      </w:r>
    </w:p>
    <w:p>
      <w:pPr>
        <w:pStyle w:val="FirstParagraph"/>
      </w:pPr>
      <w:r>
        <w:t xml:space="preserve">A vendor page for</w:t>
      </w:r>
      <w:r>
        <w:t xml:space="preserve"> </w:t>
      </w:r>
      <w:r>
        <w:rPr>
          <w:b/>
          <w:bCs/>
        </w:rPr>
        <w:t xml:space="preserve">platinum-cured silicone (PDMS) tube</w:t>
      </w:r>
      <w:r>
        <w:t xml:space="preserve"> </w:t>
      </w:r>
      <w:r>
        <w:t xml:space="preserve">lists “Gas Permeability Rates” for O₂/CO₂/N₂ and specifies the unit convention as:</w:t>
      </w:r>
      <w:r>
        <w:br/>
      </w:r>
      <w:r>
        <w:t xml:space="preserve">“</w:t>
      </w:r>
      <w:r>
        <w:rPr>
          <w:i/>
          <w:iCs/>
        </w:rPr>
        <w:t xml:space="preserve">In barrers 10⁻⁹ (cc gas(RTP)cm)/(sec cm² cmHg ΔP)</w:t>
      </w:r>
      <w:r>
        <w:t xml:space="preserve">”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Numerically, this convention is aligned with the Robb-style “×10⁹” scale, but it remains</w:t>
      </w:r>
      <w:r>
        <w:t xml:space="preserve"> </w:t>
      </w:r>
      <w:r>
        <w:rPr>
          <w:b/>
          <w:bCs/>
        </w:rPr>
        <w:t xml:space="preserve">non-product-specific</w:t>
      </w:r>
      <w:r>
        <w:t xml:space="preserve"> </w:t>
      </w:r>
      <w:r>
        <w:t xml:space="preserve">and lacks full test-condition disclosure (temperature, humidity, instrument type).</w:t>
      </w:r>
    </w:p>
    <w:bookmarkEnd w:id="36"/>
    <w:bookmarkEnd w:id="37"/>
    <w:bookmarkStart w:id="44" w:name="X533e51ce4262b26a72042e7c41fb064109c8f16"/>
    <w:p>
      <w:pPr>
        <w:pStyle w:val="Heading2"/>
      </w:pPr>
      <w:r>
        <w:t xml:space="preserve">Comparison table, unit normalization, and flux estimates for wall-code 1 thickness</w:t>
      </w:r>
    </w:p>
    <w:bookmarkStart w:id="41" w:name="definitions-and-equations-used"/>
    <w:p>
      <w:pPr>
        <w:pStyle w:val="Heading3"/>
      </w:pPr>
      <w:r>
        <w:t xml:space="preserve">Definitions and equations used</w:t>
      </w:r>
    </w:p>
    <w:p>
      <w:pPr>
        <w:pStyle w:val="FirstParagraph"/>
      </w:pPr>
      <w:r>
        <w:t xml:space="preserve">ASTM D1434 describes a manometric method that can yield</w:t>
      </w:r>
      <w:r>
        <w:t xml:space="preserve"> </w:t>
      </w:r>
      <w:r>
        <w:rPr>
          <w:b/>
          <w:bCs/>
        </w:rPr>
        <w:t xml:space="preserve">gas transmission rate (GTR)</w:t>
      </w:r>
      <w:r>
        <w:t xml:space="preserve">,</w:t>
      </w:r>
      <w:r>
        <w:t xml:space="preserve"> </w:t>
      </w:r>
      <w:r>
        <w:rPr>
          <w:b/>
          <w:bCs/>
        </w:rPr>
        <w:t xml:space="preserve">permeance</w:t>
      </w:r>
      <w:r>
        <w:t xml:space="preserve">, and (for homogeneous materials)</w:t>
      </w:r>
      <w:r>
        <w:t xml:space="preserve"> </w:t>
      </w:r>
      <w:r>
        <w:rPr>
          <w:b/>
          <w:bCs/>
        </w:rPr>
        <w:t xml:space="preserve">permeability</w:t>
      </w:r>
      <w:r>
        <w:t xml:space="preserve">, reported in</w:t>
      </w:r>
      <w:r>
        <w:t xml:space="preserve"> </w:t>
      </w:r>
      <w:r>
        <w:rPr>
          <w:b/>
          <w:bCs/>
        </w:rPr>
        <w:t xml:space="preserve">SI units</w:t>
      </w:r>
      <w:r>
        <w:t xml:space="preserve">; it also notes tests are run with</w:t>
      </w:r>
      <w:r>
        <w:t xml:space="preserve"> </w:t>
      </w:r>
      <w:r>
        <w:rPr>
          <w:b/>
          <w:bCs/>
        </w:rPr>
        <w:t xml:space="preserve">0% moisture</w:t>
      </w:r>
      <w:r>
        <w:t xml:space="preserve"> </w:t>
      </w:r>
      <w:r>
        <w:t xml:space="preserve">gas.</w:t>
      </w:r>
      <w:r>
        <w:t xml:space="preserve"> </w:t>
      </w:r>
      <w:hyperlink r:id="rId38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For conversions and flux, the standard relationship used 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Permeability coefficient:</w:t>
      </w:r>
      <w:r>
        <w:t xml:space="preserve"> </w:t>
      </w:r>
      <m:oMath>
        <m:r>
          <m:t>P</m:t>
        </m:r>
      </m:oMath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Permeance: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t</m:t>
        </m:r>
      </m:oMath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Flux: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/</m:t>
            </m:r>
            <m:r>
              <m:t>t</m:t>
            </m:r>
          </m:e>
        </m:d>
        <m:r>
          <m:t> </m:t>
        </m:r>
        <m:r>
          <m:t>Δ</m:t>
        </m:r>
        <m:r>
          <m:t>p</m:t>
        </m:r>
      </m:oMath>
      <w:r>
        <w:t xml:space="preserve"> </w:t>
      </w:r>
      <w:r>
        <w:t xml:space="preserve">(planar, steady-state)</w:t>
      </w:r>
      <w:r>
        <w:t xml:space="preserve"> </w:t>
      </w:r>
      <w:hyperlink r:id="rId39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Unit conversions:</w:t>
      </w:r>
      <w:r>
        <w:t xml:space="preserve"> </w:t>
      </w:r>
      <w:r>
        <w:t xml:space="preserve">-</w:t>
      </w:r>
      <w:r>
        <w:t xml:space="preserve"> </w:t>
      </w:r>
      <m:oMath>
        <m:r>
          <m:t>1</m:t>
        </m:r>
        <m:r>
          <m:t> </m:t>
        </m:r>
        <m:r>
          <m:rPr>
            <m:nor/>
            <m:sty m:val="p"/>
          </m:rPr>
          <m:t>Barrer</m:t>
        </m:r>
        <m:r>
          <m:rPr>
            <m:sty m:val="p"/>
          </m:rPr>
          <m:t>=</m:t>
        </m:r>
        <m:r>
          <m:t>3.35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  <m:r>
          <m:t> </m:t>
        </m:r>
        <m:r>
          <m:rPr>
            <m:nor/>
            <m:sty m:val="p"/>
          </m:rPr>
          <m:t>mol</m:t>
        </m:r>
        <m:r>
          <m:rPr>
            <m:sty m:val="p"/>
          </m:rPr>
          <m:t>⋅</m:t>
        </m:r>
        <m:r>
          <m:rPr>
            <m:nor/>
            <m:sty m:val="p"/>
          </m:rPr>
          <m:t>m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nor/>
                    <m:sty m:val="p"/>
                  </m:rP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Pa</m:t>
            </m:r>
          </m:e>
        </m:d>
      </m:oMath>
      <w:r>
        <w:t xml:space="preserve"> </w:t>
      </w:r>
      <w:hyperlink r:id="rId39">
        <w:r>
          <w:rPr>
            <w:rStyle w:val="Hyperlink"/>
          </w:rPr>
          <w:t xml:space="preserve">[16]</w:t>
        </w:r>
      </w:hyperlink>
      <w:r>
        <w:br/>
      </w:r>
      <w:r>
        <w:t xml:space="preserve">- For STP volumetric reporting, this report uses the common “standard” convention</w:t>
      </w:r>
      <w:r>
        <w:t xml:space="preserve"> </w:t>
      </w:r>
      <m:oMath>
        <m:r>
          <m:t>1</m:t>
        </m:r>
        <m:r>
          <m:t> </m:t>
        </m:r>
        <m:r>
          <m:rPr>
            <m:nor/>
            <m:sty m:val="p"/>
          </m:rPr>
          <m:t>atm</m:t>
        </m:r>
        <m:r>
          <m:rPr>
            <m:sty m:val="p"/>
          </m:rPr>
          <m:t>=</m:t>
        </m:r>
        <m:r>
          <m:t>101325</m:t>
        </m:r>
        <m:r>
          <m:t> </m:t>
        </m:r>
        <m:r>
          <m:rPr>
            <m:nor/>
            <m:sty m:val="p"/>
          </m:rPr>
          <m:t>Pa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Note on “RTP vs STP Barrer”:</w:t>
      </w:r>
      <w:r>
        <w:t xml:space="preserve"> </w:t>
      </w:r>
      <w:r>
        <w:t xml:space="preserve">Several silicone references (including Robb) report volumes referenced to</w:t>
      </w:r>
      <w:r>
        <w:t xml:space="preserve"> </w:t>
      </w:r>
      <w:r>
        <w:rPr>
          <w:b/>
          <w:bCs/>
        </w:rPr>
        <w:t xml:space="preserve">25 °C</w:t>
      </w:r>
      <w:r>
        <w:t xml:space="preserve"> </w:t>
      </w:r>
      <w:r>
        <w:t xml:space="preserve">rather than 0 °C; converting “RTP cm³” to “STP cm³” reduces values by ~9%. Robb explicitly states his volumes are referenced to</w:t>
      </w:r>
      <w:r>
        <w:t xml:space="preserve"> </w:t>
      </w:r>
      <w:r>
        <w:rPr>
          <w:b/>
          <w:bCs/>
        </w:rPr>
        <w:t xml:space="preserve">1 atm and 25 °C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  <w:r>
        <w:br/>
      </w:r>
      <w:r>
        <w:t xml:space="preserve">In the table below, “Barrer (STP adj)” applies that ~9% correction to enable consistent SI conversion.</w:t>
      </w:r>
    </w:p>
    <w:bookmarkEnd w:id="41"/>
    <w:bookmarkStart w:id="42" w:name="X7b3a576976fe3c16a6c915939ba2d69b67d6a17"/>
    <w:p>
      <w:pPr>
        <w:pStyle w:val="Heading3"/>
      </w:pPr>
      <w:r>
        <w:t xml:space="preserve">All found O₂/CO₂/N₂ values with normalized units and computed flux</w:t>
      </w:r>
    </w:p>
    <w:p>
      <w:pPr>
        <w:pStyle w:val="FirstParagraph"/>
      </w:pPr>
      <w:r>
        <w:t xml:space="preserve">Assumptions for flux: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wall thickness t = 0.79 mm</w:t>
      </w:r>
      <w:r>
        <w:t xml:space="preserve"> </w:t>
      </w:r>
      <w:r>
        <w:t xml:space="preserve">(Saint‑Gobain wall-code 1)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Δp = 1 atm and 0.1 atm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planar approximation</w:t>
      </w:r>
      <w:r>
        <w:t xml:space="preserve"> </w:t>
      </w:r>
      <w:r>
        <w:t xml:space="preserve">(reasonable first order for thin walls; cylindrical correction discussed after 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(°C)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Original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Barrer_equiv_RTP (≈10×value)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Barrer (STP adj)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P_SI (mol·m)/(m²·s·Pa)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 @1 atm, 0.79mm (mol/m²/s)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 @1 atm (cm³ STP/m²/s)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 @0.1 atm, 0.79mm (mol/m²/s)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 @0.1 atm (cm³ STP/m²/s)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Robb 1968 Table 2 (filled dimethyl silicone rubber, 33% silica filler)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Pr×10^9 [cc gas (RTP)·cm]/(s·cm²·cmHg·ΔP)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1.841e-13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2.362e-06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Robb 1968 Table 2 (filled dimethyl silicone rubber, 33% silica filler)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Pr×10^9 [cc gas (RTP)·cm]/(s·cm²·cmHg·ΔP)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8.593e-14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Robb 1968 Table 2 (filled dimethyl silicone rubber, 33% silica filler)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Pr×10^9 [cc gas (RTP)·cm]/(s·cm²·cmHg·ΔP)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9.975e-13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1.279e-05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Robb 1968 Table 5 (control, 0 roentgens)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Pr×10^9 [cc gas (RTP)·cm]/(s·cm²·cmHg·ΔP)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1.749e-13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2.244e-05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2.244e-06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Robb 1968 Table 5 (control, 0 roentgens)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Pr×10^9 [cc gas (RTP)·cm]/(s·cm²·cmHg·ΔP)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8.287e-14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1.063e-05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1.063e-06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Robb 1968 Table 5 (control, 0 roentgens)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Pr×10^9 [cc gas (RTP)·cm]/(s·cm²·cmHg·ΔP)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8.747e-13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Limitless Shielding PDMS membrane tube (platinum-cure) – website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"barrers" 10^-9 [cc gas (RTP)·cm]/(s·cm²·cmHg·ΔP)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1.534e-13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1.969e-05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1.969e-06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Limitless Shielding PDMS membrane tube (platinum-cure) – website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"barrers" 10^-9 [cc gas (RTP)·cm]/(s·cm²·cmHg·ΔP)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7.673e-14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9.841e-06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9.841e-07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Limitless Shielding PDMS membrane tube (platinum-cure) – website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"barrers" 10^-9 [cc gas (RTP)·cm]/(s·cm²·cmHg·ΔP)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8.286e-13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1.063e-04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1.063e-05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Zhang &amp; Cloud (Arlon) 2006 paper Table 2 (cites ref [9])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Permeability×10^9 [cm³·cm]/(s·cm²·cmHg)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1.903e-13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2.441e-06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Zhang &amp; Cloud (Arlon) 2006 paper Table 2 (cites ref [9])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Permeability×10^9 [cm³·cm]/(s·cm²·cmHg)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8.593e-14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Zhang &amp; Cloud (Arlon) 2006 paper Table 2 (cites ref [9])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Permeability×10^9 [cm³·cm]/(s·cm²·cmHg)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9.913e-13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Across multiple sources, the consistent ranking is</w:t>
      </w:r>
      <w:r>
        <w:t xml:space="preserve"> </w:t>
      </w:r>
      <w:r>
        <w:rPr>
          <w:b/>
          <w:bCs/>
        </w:rPr>
        <w:t xml:space="preserve">CO₂ ≫ O₂ &gt; N₂</w:t>
      </w:r>
      <w:r>
        <w:t xml:space="preserve">, with CO₂ typically ~10× helium and ~5–12× O₂ in silicone rubbers, driven primarily by solubility plus high diffusion in the siloxane backbone.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title "Representative permeability (Barrer-equivalent) from Robb 1968 Table 2"</w:t>
      </w:r>
      <w:r>
        <w:br/>
      </w:r>
      <w:r>
        <w:rPr>
          <w:rStyle w:val="VerbatimChar"/>
        </w:rPr>
        <w:t xml:space="preserve">  x-axis ["N2","O2","CO2"]</w:t>
      </w:r>
      <w:r>
        <w:br/>
      </w:r>
      <w:r>
        <w:rPr>
          <w:rStyle w:val="VerbatimChar"/>
        </w:rPr>
        <w:t xml:space="preserve">  y-axis "Permeability (Barrer-equivalent)" 0 --&gt; 3500</w:t>
      </w:r>
      <w:r>
        <w:br/>
      </w:r>
      <w:r>
        <w:rPr>
          <w:rStyle w:val="VerbatimChar"/>
        </w:rPr>
        <w:t xml:space="preserve">  bar [280, 600, 3250]</w:t>
      </w:r>
    </w:p>
    <w:bookmarkEnd w:id="42"/>
    <w:bookmarkStart w:id="43" w:name="X5f3294946b3d32165f65ba817341f283a1b3dfe"/>
    <w:p>
      <w:pPr>
        <w:pStyle w:val="Heading3"/>
      </w:pPr>
      <w:r>
        <w:t xml:space="preserve">Geometry note: tubing vs flat-film approximation</w:t>
      </w:r>
    </w:p>
    <w:p>
      <w:pPr>
        <w:pStyle w:val="FirstParagraph"/>
      </w:pPr>
      <w:r>
        <w:t xml:space="preserve">For a first estimate, using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/</m:t>
            </m:r>
            <m:r>
              <m:t>t</m:t>
            </m:r>
          </m:e>
        </m:d>
        <m:r>
          <m:t>Δ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0.79</m:t>
        </m:r>
      </m:oMath>
      <w:r>
        <w:t xml:space="preserve"> mm is reasonable.</w:t>
      </w:r>
      <w:r>
        <w:t xml:space="preserve"> </w:t>
      </w:r>
      <w:hyperlink r:id="rId39">
        <w:r>
          <w:rPr>
            <w:rStyle w:val="Hyperlink"/>
          </w:rPr>
          <w:t xml:space="preserve">[20]</w:t>
        </w:r>
      </w:hyperlink>
      <w:r>
        <w:br/>
      </w:r>
      <w:r>
        <w:t xml:space="preserve">If you need a more exact</w:t>
      </w:r>
      <w:r>
        <w:t xml:space="preserve"> </w:t>
      </w:r>
      <w:r>
        <w:rPr>
          <w:b/>
          <w:bCs/>
        </w:rPr>
        <w:t xml:space="preserve">cylindrical-wall</w:t>
      </w:r>
      <w:r>
        <w:t xml:space="preserve"> </w:t>
      </w:r>
      <w:r>
        <w:t xml:space="preserve">calculation for total mol/s through a length of tube, use the radial steady-state form: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L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Δ</m:t>
              </m:r>
              <m:r>
                <m:t>p</m:t>
              </m:r>
            </m:num>
            <m:den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and define whether Δp is across the inner/outer partial pressures of each gas species. (This becomes material-impacting when wall thickness is not “thin” relative to radius.)</w:t>
      </w:r>
    </w:p>
    <w:bookmarkEnd w:id="43"/>
    <w:bookmarkEnd w:id="44"/>
    <w:bookmarkStart w:id="48" w:name="Xf1f2a4e1e22a8f785fc69ab9e29f9680ad101a8"/>
    <w:p>
      <w:pPr>
        <w:pStyle w:val="Heading2"/>
      </w:pPr>
      <w:r>
        <w:t xml:space="preserve">Standards context and recommended next steps</w:t>
      </w:r>
    </w:p>
    <w:bookmarkStart w:id="46" w:name="standards-that-map-to-what-you-need"/>
    <w:p>
      <w:pPr>
        <w:pStyle w:val="Heading3"/>
      </w:pPr>
      <w:r>
        <w:t xml:space="preserve">Standards that map to what you need</w:t>
      </w:r>
    </w:p>
    <w:p>
      <w:pPr>
        <w:pStyle w:val="FirstParagraph"/>
      </w:pPr>
      <w:r>
        <w:t xml:space="preserve">ASTM D1434 provides a manometric method for gas transmission through films/sheeting and can yield</w:t>
      </w:r>
      <w:r>
        <w:t xml:space="preserve"> </w:t>
      </w:r>
      <w:r>
        <w:rPr>
          <w:b/>
          <w:bCs/>
        </w:rPr>
        <w:t xml:space="preserve">permeance and permeability</w:t>
      </w:r>
      <w:r>
        <w:t xml:space="preserve"> </w:t>
      </w:r>
      <w:r>
        <w:t xml:space="preserve">in SI units (and notes sensitivity to procedure/lab and moisture effects).</w:t>
      </w:r>
      <w:r>
        <w:t xml:space="preserve"> </w:t>
      </w:r>
      <w:hyperlink r:id="rId38">
        <w:r>
          <w:rPr>
            <w:rStyle w:val="Hyperlink"/>
          </w:rPr>
          <w:t xml:space="preserve">[14]</w:t>
        </w:r>
      </w:hyperlink>
      <w:r>
        <w:br/>
      </w:r>
      <w:r>
        <w:t xml:space="preserve">For non-film materials and broader gas sets, laboratories commonly reference ISO/DIN families such as</w:t>
      </w:r>
      <w:r>
        <w:t xml:space="preserve"> </w:t>
      </w:r>
      <w:r>
        <w:rPr>
          <w:b/>
          <w:bCs/>
        </w:rPr>
        <w:t xml:space="preserve">ISO 15105</w:t>
      </w:r>
      <w:r>
        <w:t xml:space="preserve"> </w:t>
      </w:r>
      <w:r>
        <w:t xml:space="preserve">(manometric gas transmission through films/sheetings) and rubber-focused methods (e.g.,</w:t>
      </w:r>
      <w:r>
        <w:t xml:space="preserve"> </w:t>
      </w:r>
      <w:r>
        <w:rPr>
          <w:b/>
          <w:bCs/>
        </w:rPr>
        <w:t xml:space="preserve">DIN</w:t>
      </w:r>
      <w:r>
        <w:t xml:space="preserve"> </w:t>
      </w:r>
      <w:r>
        <w:t xml:space="preserve">routes), and the Mecadi lab listing explicitly offers O₂, CO₂ and N₂ permeability testing “according to ISO 15105.”</w:t>
      </w:r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</w:p>
    <w:bookmarkEnd w:id="46"/>
    <w:bookmarkStart w:id="47" w:name="Xd655bd56d7ae4db58a66074653b398a69668a91"/>
    <w:p>
      <w:pPr>
        <w:pStyle w:val="Heading3"/>
      </w:pPr>
      <w:r>
        <w:t xml:space="preserve">Practical next steps to obtain ULTRA‑C‑125‑1F/1H specific values</w:t>
      </w:r>
    </w:p>
    <w:p>
      <w:pPr>
        <w:pStyle w:val="FirstParagraph"/>
      </w:pPr>
      <w:r>
        <w:t xml:space="preserve">Request from Saint‑Gobain (most likely path):</w:t>
      </w:r>
      <w:r>
        <w:t xml:space="preserve"> </w:t>
      </w:r>
      <w:r>
        <w:t xml:space="preserve">- Ask Saint‑Gobain Life Sciences for any</w:t>
      </w:r>
      <w:r>
        <w:t xml:space="preserve"> </w:t>
      </w:r>
      <w:r>
        <w:rPr>
          <w:b/>
          <w:bCs/>
        </w:rPr>
        <w:t xml:space="preserve">measured O₂/CO₂/N₂ permeability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Sani‑Tech® Ultra‑C</w:t>
      </w:r>
      <w:r>
        <w:t xml:space="preserve"> </w:t>
      </w:r>
      <w:r>
        <w:t xml:space="preserve">(and specifically the ULTRA‑C‑125 wall code 1 compound), and request</w:t>
      </w:r>
      <w:r>
        <w:t xml:space="preserve"> </w:t>
      </w:r>
      <w:r>
        <w:rPr>
          <w:b/>
          <w:bCs/>
        </w:rPr>
        <w:t xml:space="preserve">test conditions + method</w:t>
      </w:r>
      <w:r>
        <w:t xml:space="preserve"> </w:t>
      </w:r>
      <w:r>
        <w:t xml:space="preserve">(ASTM D1434 / DIN 53536 / ISO 15105 or equivalent), because the public site indicates dossiers/validation guides are gated.</w:t>
      </w:r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If data cannot be provided or must be generated:</w:t>
      </w:r>
      <w:r>
        <w:t xml:space="preserve"> </w:t>
      </w:r>
      <w:r>
        <w:t xml:space="preserve">- Commission third‑party testing with an explicit protocol and reporting format:</w:t>
      </w:r>
      <w:r>
        <w:t xml:space="preserve"> </w:t>
      </w:r>
      <w:r>
        <w:t xml:space="preserve">- Report</w:t>
      </w:r>
      <w:r>
        <w:t xml:space="preserve"> </w:t>
      </w:r>
      <w:r>
        <w:rPr>
          <w:b/>
          <w:bCs/>
        </w:rPr>
        <w:t xml:space="preserve">permeability coefficient</w:t>
      </w:r>
      <w:r>
        <w:t xml:space="preserve"> </w:t>
      </w:r>
      <m:oMath>
        <m:r>
          <m:t>P</m:t>
        </m:r>
      </m:oMath>
      <w:r>
        <w:t xml:space="preserve">, not just transmission rate, and specify</w:t>
      </w:r>
      <w:r>
        <w:t xml:space="preserve"> </w:t>
      </w:r>
      <w:r>
        <w:rPr>
          <w:b/>
          <w:bCs/>
        </w:rPr>
        <w:t xml:space="preserve">temperature</w:t>
      </w:r>
      <w:r>
        <w:t xml:space="preserve">,</w:t>
      </w:r>
      <w:r>
        <w:t xml:space="preserve"> </w:t>
      </w:r>
      <w:r>
        <w:rPr>
          <w:b/>
          <w:bCs/>
        </w:rPr>
        <w:t xml:space="preserve">humidity</w:t>
      </w:r>
      <w:r>
        <w:t xml:space="preserve">,</w:t>
      </w:r>
      <w:r>
        <w:t xml:space="preserve"> </w:t>
      </w:r>
      <w:r>
        <w:rPr>
          <w:b/>
          <w:bCs/>
        </w:rPr>
        <w:t xml:space="preserve">gas purity</w:t>
      </w:r>
      <w:r>
        <w:t xml:space="preserve">, and</w:t>
      </w:r>
      <w:r>
        <w:t xml:space="preserve"> </w:t>
      </w:r>
      <w:r>
        <w:rPr>
          <w:b/>
          <w:bCs/>
        </w:rPr>
        <w:t xml:space="preserve">pressure range</w:t>
      </w:r>
      <w:r>
        <w:t xml:space="preserve">.</w:t>
      </w:r>
      <w:r>
        <w:t xml:space="preserve"> </w:t>
      </w:r>
      <w:r>
        <w:t xml:space="preserve">- For tubing, decide whether to test</w:t>
      </w:r>
      <w:r>
        <w:t xml:space="preserve"> </w:t>
      </w:r>
      <w:r>
        <w:rPr>
          <w:b/>
          <w:bCs/>
        </w:rPr>
        <w:t xml:space="preserve">flat plaques cut from molded material</w:t>
      </w:r>
      <w:r>
        <w:t xml:space="preserve"> </w:t>
      </w:r>
      <w:r>
        <w:t xml:space="preserve">(cleaner interpretation) or</w:t>
      </w:r>
      <w:r>
        <w:t xml:space="preserve"> </w:t>
      </w:r>
      <w:r>
        <w:rPr>
          <w:b/>
          <w:bCs/>
        </w:rPr>
        <w:t xml:space="preserve">as-extruded tubing wall</w:t>
      </w:r>
      <w:r>
        <w:t xml:space="preserve"> </w:t>
      </w:r>
      <w:r>
        <w:t xml:space="preserve">(more application-realistic). ASTM D1434 is film-focused; a lab may adapt fixtures or recommend a rubber-permeability method depending on sample geometry.</w:t>
      </w:r>
      <w:r>
        <w:t xml:space="preserve"> </w:t>
      </w:r>
      <w:hyperlink r:id="rId38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Gap statement (what is still missing for ULTRA-C-125):</w:t>
      </w:r>
      <w:r>
        <w:t xml:space="preserve"> </w:t>
      </w:r>
      <w:r>
        <w:t xml:space="preserve">- No public source located that ties</w:t>
      </w:r>
      <w:r>
        <w:t xml:space="preserve"> </w:t>
      </w:r>
      <w:r>
        <w:rPr>
          <w:b/>
          <w:bCs/>
        </w:rPr>
        <w:t xml:space="preserve">Saint‑Gobain ULTRA‑C formulation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measured O₂/CO₂/N₂ permeability coefficient</w:t>
      </w:r>
      <w:r>
        <w:t xml:space="preserve"> </w:t>
      </w:r>
      <w:r>
        <w:t xml:space="preserve">with full</w:t>
      </w:r>
      <w:r>
        <w:t xml:space="preserve"> </w:t>
      </w:r>
      <w:r>
        <w:rPr>
          <w:b/>
          <w:bCs/>
        </w:rPr>
        <w:t xml:space="preserve">test report metadata</w:t>
      </w:r>
      <w:r>
        <w:t xml:space="preserve"> </w:t>
      </w:r>
      <w:r>
        <w:t xml:space="preserve">(method version, humidity control, specimen conditioning, uncertainty).</w:t>
      </w:r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</w:p>
    <w:bookmarkEnd w:id="47"/>
    <w:bookmarkEnd w:id="48"/>
    <w:bookmarkEnd w:id="49"/>
    <w:bookmarkEnd w:id="50"/>
    <w:p>
      <w:r>
        <w:pict>
          <v:rect style="width:0;height:1.5pt" o:hralign="center" o:hrstd="t" o:hr="t"/>
        </w:pict>
      </w:r>
    </w:p>
    <w:bookmarkStart w:id="5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https://www.biopharm.saint-gobain.com/sites/hps-mac3-lifesciences-bioprocess/files/2022-09/Sani-Tech%20Ultra-Silicone%20Tubing-datasheet.pdf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https://www.biopharm.saint-gobain.com/sites/hps-mac3-lifesciences-bioprocess/files/2022-09/Sani-Tech%20Ultra-Silicone%20Tubing-datasheet.pdf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Sani-Tech® Ultra Silicone Tubing | Bioprocess Solutions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https://www.biopharm.saint-gobain.com/components/fluid-transfer/sani-tech-ultra-silicone-tubing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https://gwern.net/doc/technology/1968-robb.pdf</w:t>
      </w:r>
    </w:p>
    <w:p>
      <w:pPr>
        <w:pStyle w:val="BodyText"/>
      </w:pPr>
      <w:hyperlink r:id="rId23">
        <w:r>
          <w:rPr>
            <w:rStyle w:val="Hyperlink"/>
          </w:rPr>
          <w:t xml:space="preserve">https://gwern.net/doc/technology/1968-robb.pdf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Gas Permeable PDMS Membrane Tube - Limitless Shielding</w:t>
      </w:r>
    </w:p>
    <w:p>
      <w:pPr>
        <w:pStyle w:val="BodyText"/>
      </w:pPr>
      <w:hyperlink r:id="rId24">
        <w:r>
          <w:rPr>
            <w:rStyle w:val="Hyperlink"/>
          </w:rPr>
          <w:t xml:space="preserve">https://limitless-shielding.com/pdms-membrane-tube/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Microsoft Word - D116, Haibing Zhang, et al.doc</w:t>
      </w:r>
    </w:p>
    <w:p>
      <w:pPr>
        <w:pStyle w:val="BodyText"/>
      </w:pPr>
      <w:hyperlink r:id="rId34">
        <w:r>
          <w:rPr>
            <w:rStyle w:val="Hyperlink"/>
          </w:rPr>
          <w:t xml:space="preserve">https://cdn.thomasnet.com/kc/2650/doc/0000102048_70_83571.pdf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[14]</w:t>
        </w:r>
      </w:hyperlink>
      <w:r>
        <w:t xml:space="preserve"> </w:t>
      </w:r>
      <w:hyperlink r:id="rId38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https://store.astm.org/standards/d1434</w:t>
      </w:r>
    </w:p>
    <w:p>
      <w:pPr>
        <w:pStyle w:val="BodyText"/>
      </w:pPr>
      <w:hyperlink r:id="rId38">
        <w:r>
          <w:rPr>
            <w:rStyle w:val="Hyperlink"/>
          </w:rPr>
          <w:t xml:space="preserve">https://store.astm.org/standards/d1434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hyperlink r:id="rId39">
        <w:r>
          <w:rPr>
            <w:rStyle w:val="Hyperlink"/>
          </w:rPr>
          <w:t xml:space="preserve">[16]</w:t>
        </w:r>
      </w:hyperlink>
      <w:r>
        <w:t xml:space="preserve"> </w:t>
      </w:r>
      <w:hyperlink r:id="rId39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The Impact of Various Natural Gas Contaminant Exposures on CO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https://www.mdpi.com/2077-0375/10/11/324?utm_source=chatgpt.com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Pressure and Gas Flow Unit Conversions | NIST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https://www.nist.gov/pml/owm/metric-si/unit-conversion/pressure-and-gas-flow-unit-conversions?utm_source=chatgpt.com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https://www.mecadi.com/en/permeation-measurement/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https://www.mecadi.com/en/permeation-measurement/</w:t>
        </w:r>
      </w:hyperlink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9" Type="http://schemas.openxmlformats.org/officeDocument/2006/relationships/hyperlink" Target="https://www.mdpi.com/2077-0375/10/11/324?utm_source=chatgpt.com" TargetMode="External"/><Relationship Id="rId3" Type="http://schemas.openxmlformats.org/officeDocument/2006/relationships/settings" Target="settings.xml"/><Relationship Id="rId34" Type="http://schemas.openxmlformats.org/officeDocument/2006/relationships/hyperlink" Target="https://cdn.thomasnet.com/kc/2650/doc/0000102048_70_83571.pdf" TargetMode="External"/><Relationship Id="rId21" Type="http://schemas.openxmlformats.org/officeDocument/2006/relationships/hyperlink" Target="https://www.biopharm.saint-gobain.com/sites/hps-mac3-lifesciences-bioprocess/files/2022-09/Sani-Tech%20Ultra-Silicone%20Tubing-datasheet.pdf" TargetMode="External"/><Relationship Id="rId47" Type="http://schemas.openxmlformats.org/officeDocument/2006/relationships/customXml" Target="../customXml/item2.xml"/><Relationship Id="rId7" Type="http://schemas.openxmlformats.org/officeDocument/2006/relationships/footnotes" Target="footnotes.xml"/><Relationship Id="rId38" Type="http://schemas.openxmlformats.org/officeDocument/2006/relationships/hyperlink" Target="https://store.astm.org/standards/d1434" TargetMode="External"/><Relationship Id="rId46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hyperlink" Target="https://limitless-shielding.com/pdms-membrane-tube/" TargetMode="External"/><Relationship Id="rId45" Type="http://schemas.openxmlformats.org/officeDocument/2006/relationships/hyperlink" Target="https://www.mecadi.com/en/permeation-measurement/" TargetMode="External"/><Relationship Id="rId40" Type="http://schemas.openxmlformats.org/officeDocument/2006/relationships/hyperlink" Target="https://www.nist.gov/pml/owm/metric-si/unit-conversion/pressure-and-gas-flow-unit-conversions?utm_source=chatgpt.com" TargetMode="External"/><Relationship Id="rId5" Type="http://schemas.openxmlformats.org/officeDocument/2006/relationships/fontTable" Target="fontTable.xml"/><Relationship Id="rId23" Type="http://schemas.openxmlformats.org/officeDocument/2006/relationships/hyperlink" Target="https://gwern.net/doc/technology/1968-robb.pdf" TargetMode="External"/><Relationship Id="rId4" Type="http://schemas.openxmlformats.org/officeDocument/2006/relationships/webSettings" Target="webSettings.xml"/><Relationship Id="rId22" Type="http://schemas.openxmlformats.org/officeDocument/2006/relationships/hyperlink" Target="https://www.biopharm.saint-gobain.com/components/fluid-transfer/sani-tech-ultra-silicone-tubing" TargetMode="External"/><Relationship Id="rId48" Type="http://schemas.openxmlformats.org/officeDocument/2006/relationships/customXml" Target="../customXml/item3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cdn.thomasnet.com/kc/2650/doc/0000102048_70_83571.pdf" TargetMode="External" /><Relationship Type="http://schemas.openxmlformats.org/officeDocument/2006/relationships/hyperlink" Id="rId23" Target="https://gwern.net/doc/technology/1968-robb.pdf" TargetMode="External" /><Relationship Type="http://schemas.openxmlformats.org/officeDocument/2006/relationships/hyperlink" Id="rId24" Target="https://limitless-shielding.com/pdms-membrane-tube/" TargetMode="External" /><Relationship Type="http://schemas.openxmlformats.org/officeDocument/2006/relationships/hyperlink" Id="rId38" Target="https://store.astm.org/standards/d1434" TargetMode="External" /><Relationship Type="http://schemas.openxmlformats.org/officeDocument/2006/relationships/hyperlink" Id="rId22" Target="https://www.biopharm.saint-gobain.com/components/fluid-transfer/sani-tech-ultra-silicone-tubing" TargetMode="External" /><Relationship Type="http://schemas.openxmlformats.org/officeDocument/2006/relationships/hyperlink" Id="rId21" Target="https://www.biopharm.saint-gobain.com/sites/hps-mac3-lifesciences-bioprocess/files/2022-09/Sani-Tech%20Ultra-Silicone%20Tubing-datasheet.pdf" TargetMode="External" /><Relationship Type="http://schemas.openxmlformats.org/officeDocument/2006/relationships/hyperlink" Id="rId39" Target="https://www.mdpi.com/2077-0375/10/11/324?utm_source=chatgpt.com" TargetMode="External" /><Relationship Type="http://schemas.openxmlformats.org/officeDocument/2006/relationships/hyperlink" Id="rId45" Target="https://www.mecadi.com/en/permeation-measurement/" TargetMode="External" /><Relationship Type="http://schemas.openxmlformats.org/officeDocument/2006/relationships/hyperlink" Id="rId40" Target="https://www.nist.gov/pml/owm/metric-si/unit-conversion/pressure-and-gas-flow-unit-conversions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706F7CF2D4643AB5E1C9C581B6AD5" ma:contentTypeVersion="19" ma:contentTypeDescription="Create a new document." ma:contentTypeScope="" ma:versionID="a2c61fdaa93078eb90f2404d5ce6ac96">
  <xsd:schema xmlns:xsd="http://www.w3.org/2001/XMLSchema" xmlns:xs="http://www.w3.org/2001/XMLSchema" xmlns:p="http://schemas.microsoft.com/office/2006/metadata/properties" xmlns:ns2="a69945c9-17bf-4846-93b6-33aa5639d9d6" xmlns:ns3="5cf7ca4a-62d7-4161-b34b-b19a642d7399" targetNamespace="http://schemas.microsoft.com/office/2006/metadata/properties" ma:root="true" ma:fieldsID="082a43f25cf3ef96ce99ad0d02dea7d3" ns2:_="" ns3:_="">
    <xsd:import namespace="a69945c9-17bf-4846-93b6-33aa5639d9d6"/>
    <xsd:import namespace="5cf7ca4a-62d7-4161-b34b-b19a642d73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9945c9-17bf-4846-93b6-33aa5639d9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73631c9-e33f-46eb-a8ab-0b719afa42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f7ca4a-62d7-4161-b34b-b19a642d739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181612d-3ade-4cfa-9379-73c73aba17a5}" ma:internalName="TaxCatchAll" ma:showField="CatchAllData" ma:web="5cf7ca4a-62d7-4161-b34b-b19a642d73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f7ca4a-62d7-4161-b34b-b19a642d7399" xsi:nil="true"/>
    <lcf76f155ced4ddcb4097134ff3c332f xmlns="a69945c9-17bf-4846-93b6-33aa5639d9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6CB561-0295-4D9D-BC8F-6B152915961E}"/>
</file>

<file path=customXml/itemProps2.xml><?xml version="1.0" encoding="utf-8"?>
<ds:datastoreItem xmlns:ds="http://schemas.openxmlformats.org/officeDocument/2006/customXml" ds:itemID="{354CC891-2AEF-438B-A5F6-F6A9E47C4B61}"/>
</file>

<file path=customXml/itemProps3.xml><?xml version="1.0" encoding="utf-8"?>
<ds:datastoreItem xmlns:ds="http://schemas.openxmlformats.org/officeDocument/2006/customXml" ds:itemID="{664D9169-8708-4C19-B824-2FB964BA3A88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2026-02-16T11:09:49Z</dcterms:created>
  <dcterms:modified xsi:type="dcterms:W3CDTF">2026-02-16T11:09:49Z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0x01010010A706F7CF2D4643AB5E1C9C581B6AD5</vt:lpwstr>
  </property>
</Properties>
</file>