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A1C8C" w14:textId="77777777" w:rsidR="00747F9B" w:rsidRDefault="008A1CCF">
      <w:pPr>
        <w:pStyle w:val="Titel"/>
      </w:pPr>
      <w:r>
        <w:t>Een baseline voor datakwaliteit binnen Waterschap Rivierenland</w:t>
      </w:r>
    </w:p>
    <w:p w14:paraId="6F461860" w14:textId="77777777" w:rsidR="00747F9B" w:rsidRDefault="008A1CCF">
      <w:pPr>
        <w:pStyle w:val="Ondertitel"/>
      </w:pPr>
      <w:r>
        <w:t>Eindopdracht voor de post-master Opleiding Data en AI Engineering bij Erasmus Q-Intelligence</w:t>
      </w:r>
    </w:p>
    <w:p w14:paraId="6F21FBE8" w14:textId="77777777" w:rsidR="00747F9B" w:rsidRDefault="008A1CCF">
      <w:r>
        <w:t>Door:</w:t>
      </w:r>
    </w:p>
    <w:p w14:paraId="05C9D5D1" w14:textId="77777777" w:rsidR="00747F9B" w:rsidRDefault="008A1CCF">
      <w:pPr>
        <w:pStyle w:val="Lijstalinea"/>
        <w:numPr>
          <w:ilvl w:val="0"/>
          <w:numId w:val="1"/>
        </w:numPr>
      </w:pPr>
      <w:r>
        <w:t>Rens Spierings</w:t>
      </w:r>
    </w:p>
    <w:p w14:paraId="2B1C6102" w14:textId="77777777" w:rsidR="00747F9B" w:rsidRDefault="008A1CCF">
      <w:pPr>
        <w:pStyle w:val="Lijstalinea"/>
        <w:numPr>
          <w:ilvl w:val="0"/>
          <w:numId w:val="1"/>
        </w:numPr>
      </w:pPr>
      <w:r>
        <w:t>Maarten Baas</w:t>
      </w:r>
    </w:p>
    <w:p w14:paraId="7AC25866" w14:textId="77777777" w:rsidR="00747F9B" w:rsidRDefault="008A1CCF">
      <w:pPr>
        <w:pStyle w:val="Kop1"/>
      </w:pPr>
      <w:r>
        <w:t>Introductie</w:t>
      </w:r>
    </w:p>
    <w:p w14:paraId="0CC6369F" w14:textId="77777777" w:rsidR="00747F9B" w:rsidRDefault="008A1CCF">
      <w:pPr>
        <w:pStyle w:val="Kop2"/>
      </w:pPr>
      <w:r>
        <w:t>Context</w:t>
      </w:r>
    </w:p>
    <w:p w14:paraId="2B2A2517" w14:textId="03308907" w:rsidR="00747F9B" w:rsidRDefault="008A1CCF">
      <w:r>
        <w:t>Waterschap Rivierenland kent een lange geschiedenis. In 202</w:t>
      </w:r>
      <w:r w:rsidR="00B155AD">
        <w:t>3</w:t>
      </w:r>
      <w:r w:rsidR="00B155AD">
        <w:rPr>
          <w:rStyle w:val="Voetnootmarkering"/>
        </w:rPr>
        <w:footnoteReference w:id="1"/>
      </w:r>
      <w:r>
        <w:t xml:space="preserve"> stond het waterschap stil bij 750 jaar waterschappen binnen het beheergebied. Waar de kerntaken zoals waterveiligheid en peilbeheer min of meer gelijk zijn gebleven in die 750 jaar, is de wereld inmiddels een paar technologische en sociale revoluties verder. Nu, anno 2025, wordt het waterschap niet alleen geconfronteerd met enorm snelle technologische en sociale ontwikkelingen, maar daarnaast verandert het klimaat. De situatie verandert met een dusdanige snelheid dat de ervaringen uit het verleden niet voldoende zijn om de uitdagingen van vandaag en morgen te beschrijven. Bovendien is het lastiger om werknemers voor lange tijd te binden aan de organisatie, waardoor het lastiger is om kennis vast te houden. Dit vraag om een andere manier van werken, waarbij besluitvorming plaatsvindt op basis van gegevens en minder op basis van ervaring. Het waterschap heeft daarom de ambitie om </w:t>
      </w:r>
      <w:proofErr w:type="spellStart"/>
      <w:r>
        <w:t>datagedreven</w:t>
      </w:r>
      <w:proofErr w:type="spellEnd"/>
      <w:r>
        <w:t xml:space="preserve"> te werken. Dit betekent dat informatie op eenzelfde opgeschoonde en voorspelbare manier door de organisatie moet stromen, zoals we water door het stroomgebied laten lopen.</w:t>
      </w:r>
    </w:p>
    <w:p w14:paraId="0ADDA718" w14:textId="77777777" w:rsidR="00747F9B" w:rsidRDefault="008A1CCF">
      <w:r>
        <w:t xml:space="preserve">Het waterschap heeft de afgelopen jaren al veel gedaan op het gebied van digitalisering en informatiebeheer. Dit heeft geresulteerd in mooie oplossingen voor specifieke taken. Denk aan een dijkwachtapp, waarbij waarnemingen op de waterkering in het veld eenvoudig worden gedeeld met het kantoor. Een ander voorbeeld is de soortherkenning in vallen bij </w:t>
      </w:r>
      <w:proofErr w:type="spellStart"/>
      <w:r>
        <w:t>mukusratbeheer</w:t>
      </w:r>
      <w:proofErr w:type="spellEnd"/>
      <w:r>
        <w:t>, om bijvangst van andere soorten te voorkomen. Bovendien is waterschap Rivierenland mede bronhouder van enkele landelijke gegevenssets, zoals de Basisregistratie Grootschalige Topografie</w:t>
      </w:r>
      <w:r>
        <w:rPr>
          <w:rStyle w:val="Voetnootmarkering"/>
        </w:rPr>
        <w:footnoteReference w:id="2"/>
      </w:r>
      <w:r>
        <w:t xml:space="preserve"> en de samengevoegde datasets gedeeld via het Waterschapshuis</w:t>
      </w:r>
      <w:r>
        <w:rPr>
          <w:rStyle w:val="Voetnootmarkering"/>
        </w:rPr>
        <w:footnoteReference w:id="3"/>
      </w:r>
      <w:r>
        <w:t>.</w:t>
      </w:r>
    </w:p>
    <w:p w14:paraId="745FFEFC" w14:textId="3E9632BD" w:rsidR="00747F9B" w:rsidRDefault="008A1CCF">
      <w:r>
        <w:t xml:space="preserve">Deze initiatieven vinden nu nog merendeels geïsoleerd plaats. De eerste stappen voor integratie zijn wel gezet. Dit gebeurt voor een groot gedeelte met ETL-software die bronnen aan elkaar koppelt en samenvoegt zoals de ETL-gebruiker zint. Er heeft beperkt sturing op gezeten </w:t>
      </w:r>
      <w:r>
        <w:lastRenderedPageBreak/>
        <w:t>waardoor de huidige situatie onoverzichtelijk is en lastig te beheren. Daarnaast is het onduidelijk wat de kwaliteit is van de gegevens, waardoor een gebruiker zelf kwaliteitscontroles doet. Dit is alsof iedere wateraansluiting een eigen waterzuiveringsinstallatie heeft.</w:t>
      </w:r>
      <w:r w:rsidR="00B155AD">
        <w:t xml:space="preserve"> Dit werkt, maar kan efficiënter.</w:t>
      </w:r>
    </w:p>
    <w:p w14:paraId="21C5FD63" w14:textId="77777777" w:rsidR="00747F9B" w:rsidRDefault="008A1CCF">
      <w:pPr>
        <w:pStyle w:val="Kop2"/>
      </w:pPr>
      <w:r>
        <w:t>Opdracht</w:t>
      </w:r>
    </w:p>
    <w:p w14:paraId="76E5BAA1" w14:textId="66A9F73D" w:rsidR="006C1A31" w:rsidRPr="006C1A31" w:rsidRDefault="006C1A31" w:rsidP="006C1A31">
      <w:pPr>
        <w:pStyle w:val="Kop3"/>
      </w:pPr>
      <w:r>
        <w:t>Ambitie</w:t>
      </w:r>
    </w:p>
    <w:p w14:paraId="439691E9" w14:textId="77777777" w:rsidR="00747F9B" w:rsidRDefault="008A1CCF">
      <w:r>
        <w:t>Deze situatie vraagt om een methode om een basisinventarisatie van datakwaliteit mogelijk te maken, zodat een gebruiker per dataset kan bepalen of deze structureel in beheer is en voldoende gevuld is. Ons hoofddoel is om een methode neer te zetten die een tabel hierop kan toetsen. We toetsen op twee hoofdeigenschappen:</w:t>
      </w:r>
    </w:p>
    <w:p w14:paraId="02687469" w14:textId="77777777" w:rsidR="00747F9B" w:rsidRDefault="008A1CCF">
      <w:pPr>
        <w:pStyle w:val="Lijstalinea"/>
        <w:numPr>
          <w:ilvl w:val="0"/>
          <w:numId w:val="1"/>
        </w:numPr>
      </w:pPr>
      <w:r>
        <w:t>Volledigheid per tabel, object en kolom</w:t>
      </w:r>
    </w:p>
    <w:p w14:paraId="7C468EAC" w14:textId="77777777" w:rsidR="00747F9B" w:rsidRDefault="008A1CCF">
      <w:pPr>
        <w:pStyle w:val="Lijstalinea"/>
        <w:numPr>
          <w:ilvl w:val="0"/>
          <w:numId w:val="1"/>
        </w:numPr>
      </w:pPr>
      <w:r>
        <w:t>Actualiteit per tabel, object en kolom</w:t>
      </w:r>
    </w:p>
    <w:p w14:paraId="04DBC930" w14:textId="3721FCC4" w:rsidR="00B155AD" w:rsidRDefault="00B155AD" w:rsidP="00B155AD">
      <w:r>
        <w:t>In eerste instantie willen we dit gaan doen voor de gegevens die binnen het team Centraal Data Management worden bijgehouden in de DAMO-database. DAMO staat voor Data Afspraken Modelmatig Ondersteund</w:t>
      </w:r>
      <w:r>
        <w:rPr>
          <w:rStyle w:val="Voetnootmarkering"/>
        </w:rPr>
        <w:footnoteReference w:id="4"/>
      </w:r>
      <w:r>
        <w:t xml:space="preserve">. </w:t>
      </w:r>
      <w:r w:rsidR="004C2E16">
        <w:t xml:space="preserve">DAMO functioneert als een datamodel voor waterschappen. Alhoewel de implementatie bij waterschappen verschilt is het een standaard voor uitwisseling en samenvoegen van gegevens van de waterschappen. Het betreft gegevens met een geografische component en de database is standaard geïmplementeerd in een Oracle database met de </w:t>
      </w:r>
      <w:proofErr w:type="spellStart"/>
      <w:r w:rsidR="004C2E16">
        <w:t>Spatial</w:t>
      </w:r>
      <w:proofErr w:type="spellEnd"/>
      <w:r w:rsidR="004C2E16">
        <w:t xml:space="preserve"> Data Engine (SDE) van ESRI. Het doel voor deze opdracht is om voor de objecten in deze database een baseline datakwaliteit op te stellen.</w:t>
      </w:r>
    </w:p>
    <w:p w14:paraId="68297057" w14:textId="296E6ADA" w:rsidR="006C1A31" w:rsidRDefault="006C1A31" w:rsidP="006C1A31">
      <w:pPr>
        <w:pStyle w:val="Kop3"/>
      </w:pPr>
      <w:r>
        <w:t>Ontwerp</w:t>
      </w:r>
    </w:p>
    <w:p w14:paraId="6C34A9FF" w14:textId="16E165A3" w:rsidR="00B155AD" w:rsidRDefault="00B155AD" w:rsidP="00B155AD">
      <w:r>
        <w:t xml:space="preserve">We hebben bij het ontwerp van de oplossing niet alleen naar architectuurprincipes of technische best </w:t>
      </w:r>
      <w:proofErr w:type="spellStart"/>
      <w:r>
        <w:t>practices</w:t>
      </w:r>
      <w:proofErr w:type="spellEnd"/>
      <w:r>
        <w:t xml:space="preserve"> gekeken. In sommige gevallen hebben we keuzes gemaakt die onze persoonlijke ontwikkeling ten goede komen door in de opleiding opgedane kennis te gebruiken in de opdracht. </w:t>
      </w:r>
    </w:p>
    <w:p w14:paraId="1919F514" w14:textId="31268D15" w:rsidR="0082548D" w:rsidRDefault="0082548D" w:rsidP="0082548D">
      <w:r>
        <w:t xml:space="preserve">Het beoogde resultaat is per tabel twee afgeleide tabellen. De tabellen bevatten de historische gegevens van een object, dus één object kan meerdere keren voorkomen, maar in een huidige en historische staten. Een van de afgeleide tabellen zegt iets over de compleetheid. Deze tabel bevat net zoveel rijen als de brontabel waarbij alle attributen vervangen zijn met </w:t>
      </w:r>
      <w:proofErr w:type="spellStart"/>
      <w:r>
        <w:t>booleans</w:t>
      </w:r>
      <w:proofErr w:type="spellEnd"/>
      <w:r>
        <w:t xml:space="preserve"> waarbij True voor een gevulde waarde staat en </w:t>
      </w:r>
      <w:proofErr w:type="spellStart"/>
      <w:r>
        <w:t>False</w:t>
      </w:r>
      <w:proofErr w:type="spellEnd"/>
      <w:r>
        <w:t xml:space="preserve"> voor een NULL-</w:t>
      </w:r>
      <w:proofErr w:type="spellStart"/>
      <w:r>
        <w:t>value</w:t>
      </w:r>
      <w:proofErr w:type="spellEnd"/>
      <w:r>
        <w:t>. Dit maakt het mogelijk om zowel per rij, als per attribuut als over het geheel te zeggen in hoeverre een tabel compleet is.</w:t>
      </w:r>
    </w:p>
    <w:p w14:paraId="72F21EFF" w14:textId="71E18F39" w:rsidR="0082548D" w:rsidRDefault="0082548D" w:rsidP="0082548D">
      <w:r>
        <w:t xml:space="preserve">De tweede afgeleide tabel zegt iets over de actualiteit. De tabel bevat net zoveel rijen en attributen als de brontabel. De attributen zijn datumvelden waarbij de datum aangeeft wanneer de waarde voor het laatst gewijzigd is. Dit maakt het mogelijk om zowel per rij, als per attribuut en over het geheel te zeggen wanneer deze voor het laatst gewijzigd is. </w:t>
      </w:r>
    </w:p>
    <w:p w14:paraId="44AFB676" w14:textId="5CCC4665" w:rsidR="0082548D" w:rsidRDefault="0082548D" w:rsidP="0082548D">
      <w:r>
        <w:t xml:space="preserve">Deze twee afgeleide tabellen maken het mogelijk om een verkennende analyse te doen naar de baseline datakwaliteit. </w:t>
      </w:r>
      <w:r w:rsidR="001B2638">
        <w:t xml:space="preserve">Na deze eerste analyse kunnen we op basis van de eerste inzichten een classificatie opzetten voor de volledigheid en actualiteit. </w:t>
      </w:r>
    </w:p>
    <w:p w14:paraId="37377F15" w14:textId="13DBD11E" w:rsidR="00B155AD" w:rsidRDefault="00B155AD" w:rsidP="006C1A31">
      <w:pPr>
        <w:pStyle w:val="Kop4"/>
      </w:pPr>
      <w:r>
        <w:lastRenderedPageBreak/>
        <w:t>Keuze 1: Inlezen van gegevens</w:t>
      </w:r>
    </w:p>
    <w:p w14:paraId="58692271" w14:textId="77777777" w:rsidR="006C1A31" w:rsidRDefault="00B155AD" w:rsidP="00B155AD">
      <w:r>
        <w:t>We willen een baseline datakwaliteit opzette</w:t>
      </w:r>
      <w:r w:rsidR="004C2E16">
        <w:t>n voor de tabellen in de DAMO-database binnen waterschap Rivierenland. De data zit een Oracle-database wat in principe een goede plek is om de afgeleiden van de data in op te slaan of weer te geven. Een database is snel met het verwerken van grote query’s en de gebruikers van de data die weten hun weg naar de database al te vinden.</w:t>
      </w:r>
      <w:r w:rsidR="006C1A31">
        <w:t xml:space="preserve"> Toch hebben we voor onze opdracht gekozen voor het ontwerpen en implementeren van een ETL-stap. Hier hebben we drie argumenten voor </w:t>
      </w:r>
    </w:p>
    <w:p w14:paraId="4DA0F4F1" w14:textId="77777777" w:rsidR="006C1A31" w:rsidRDefault="004C2E16" w:rsidP="006C1A31">
      <w:pPr>
        <w:pStyle w:val="Lijstalinea"/>
        <w:numPr>
          <w:ilvl w:val="0"/>
          <w:numId w:val="2"/>
        </w:numPr>
      </w:pPr>
      <w:r>
        <w:t xml:space="preserve"> Als waterschap Rivierenland hebben we op </w:t>
      </w:r>
      <w:proofErr w:type="spellStart"/>
      <w:r>
        <w:t>middenlange</w:t>
      </w:r>
      <w:proofErr w:type="spellEnd"/>
      <w:r>
        <w:t xml:space="preserve"> termijn de ambitie om onze data via een centraal data platform te ontsluiten. Hiervoor zal het nodig zijn om de gegevens uit DAMO via een ETL-proces te ontsluiten in dit data platform. Deze opdracht is een goede aanleiding om hier eerste ervaring mee op te doen. </w:t>
      </w:r>
    </w:p>
    <w:p w14:paraId="5184EF40" w14:textId="221D7047" w:rsidR="00B155AD" w:rsidRDefault="004C2E16" w:rsidP="006C1A31">
      <w:pPr>
        <w:pStyle w:val="Lijstalinea"/>
        <w:numPr>
          <w:ilvl w:val="0"/>
          <w:numId w:val="2"/>
        </w:numPr>
      </w:pPr>
      <w:r>
        <w:t>Een ander voordeel is dat w</w:t>
      </w:r>
      <w:r w:rsidR="006C1A31">
        <w:t>e onze productiedatabase niet belasten met onze opdracht.</w:t>
      </w:r>
    </w:p>
    <w:p w14:paraId="028FE278" w14:textId="03D58EC8" w:rsidR="006C1A31" w:rsidRDefault="006C1A31" w:rsidP="006C1A31">
      <w:pPr>
        <w:pStyle w:val="Lijstalinea"/>
        <w:numPr>
          <w:ilvl w:val="0"/>
          <w:numId w:val="2"/>
        </w:numPr>
      </w:pPr>
      <w:proofErr w:type="spellStart"/>
      <w:r>
        <w:t>ESRI’s</w:t>
      </w:r>
      <w:proofErr w:type="spellEnd"/>
      <w:r>
        <w:t xml:space="preserve"> SDE laag is een behoorlijk specifiek formaat door een transformatie naar een meer standaard formaat te doen maken we het mogelijk om onze analyse in breder bekende platformen te doen zoals </w:t>
      </w:r>
      <w:proofErr w:type="spellStart"/>
      <w:r>
        <w:t>pandas</w:t>
      </w:r>
      <w:proofErr w:type="spellEnd"/>
      <w:r>
        <w:t>.</w:t>
      </w:r>
    </w:p>
    <w:p w14:paraId="71710325" w14:textId="5A601261" w:rsidR="006C1A31" w:rsidRDefault="006C1A31" w:rsidP="006C1A31">
      <w:pPr>
        <w:pStyle w:val="Kop4"/>
      </w:pPr>
      <w:r>
        <w:t>Keuze 2: pre-processen van gegevens</w:t>
      </w:r>
    </w:p>
    <w:p w14:paraId="79CF46E7" w14:textId="2310A498" w:rsidR="00FA1CFD" w:rsidRDefault="006C1A31" w:rsidP="006C1A31">
      <w:r>
        <w:t xml:space="preserve">Voor het preprocessen hebben we gekozen voor </w:t>
      </w:r>
      <w:proofErr w:type="spellStart"/>
      <w:r>
        <w:t>pandas</w:t>
      </w:r>
      <w:proofErr w:type="spellEnd"/>
      <w:r>
        <w:t xml:space="preserve"> in Python. Hier hebben we tijdens de opleiding ervaring mee opgedaan en het leek ons een mooie uitdaging om deze kennis te gebruiken in de opdracht. </w:t>
      </w:r>
      <w:r w:rsidR="00E21360">
        <w:t xml:space="preserve">Alternatief was om het pre-processen in de ETL-stap te doen, hier hebben we namelijk een zeer laagdrempelige low-code toepassing voor namelijk FME. Hier hebben we niet voor gekozen. Het gebruiksgemak van onze ETL-tool heeft het effect dat we deze te breed inzetten. </w:t>
      </w:r>
      <w:r w:rsidR="00FA1CFD">
        <w:t xml:space="preserve">Een datakwaliteitscontrole is zo gemaakt, waardoor er nooit de noodzaak is geweest om centraal iets te organiseren voor datakwaliteit. Het is een beetje alsof </w:t>
      </w:r>
      <w:proofErr w:type="spellStart"/>
      <w:r w:rsidR="00FA1CFD">
        <w:t>ducktape</w:t>
      </w:r>
      <w:proofErr w:type="spellEnd"/>
      <w:r w:rsidR="00FA1CFD">
        <w:t xml:space="preserve"> en trekbandjes dusdanig breed in een organisatie beschikbaar zijn, dat huisvesting geen moeite hoeft te steken in degelijke meubels en kabelgoten. Medewerkers zijn wellicht tevreden omdat alles snel </w:t>
      </w:r>
      <w:proofErr w:type="spellStart"/>
      <w:r w:rsidR="00FA1CFD">
        <w:t>gefixt</w:t>
      </w:r>
      <w:proofErr w:type="spellEnd"/>
      <w:r w:rsidR="00FA1CFD">
        <w:t xml:space="preserve"> is, maar waarschijnlijk kun je als organisatie niet garanderen dat je aan de </w:t>
      </w:r>
      <w:proofErr w:type="spellStart"/>
      <w:r w:rsidR="00FA1CFD">
        <w:t>arbo</w:t>
      </w:r>
      <w:proofErr w:type="spellEnd"/>
      <w:r w:rsidR="00FA1CFD">
        <w:t>-wetgeving voldoet.</w:t>
      </w:r>
      <w:r w:rsidR="002961F4">
        <w:t xml:space="preserve"> </w:t>
      </w:r>
    </w:p>
    <w:p w14:paraId="58D6C29F" w14:textId="5DE01095" w:rsidR="006C1A31" w:rsidRDefault="002961F4" w:rsidP="006C1A31">
      <w:r>
        <w:t xml:space="preserve">Wanneer je de best </w:t>
      </w:r>
      <w:proofErr w:type="spellStart"/>
      <w:r>
        <w:t>practices</w:t>
      </w:r>
      <w:proofErr w:type="spellEnd"/>
      <w:r>
        <w:t xml:space="preserve"> volgt heeft het gebruik van Python het voordeel dat het makkelijk leesbaar is. Niet alleen voor collega data-professionals, maar ook voor Large Language </w:t>
      </w:r>
      <w:proofErr w:type="spellStart"/>
      <w:r>
        <w:t>Models</w:t>
      </w:r>
      <w:proofErr w:type="spellEnd"/>
      <w:r>
        <w:t xml:space="preserve">. </w:t>
      </w:r>
      <w:r w:rsidR="00CA6AD0">
        <w:t xml:space="preserve">Verder is Python geschikt voor een dynamische opzet, mits modulair wordt gewerkt met </w:t>
      </w:r>
      <w:proofErr w:type="spellStart"/>
      <w:r w:rsidR="00CA6AD0">
        <w:t>geparameteriseerde</w:t>
      </w:r>
      <w:proofErr w:type="spellEnd"/>
      <w:r w:rsidR="00CA6AD0">
        <w:t xml:space="preserve"> functies. Dit is wat lastiger in FME. </w:t>
      </w:r>
      <w:r w:rsidR="006C1A31">
        <w:t>Het beschrijven van de transformatie is voor de langere termijn belangrijker dan de daadwerkelijke implementatie.</w:t>
      </w:r>
      <w:r>
        <w:t xml:space="preserve"> Als waterschap hanteren we het principe dat we data en afgeleiden zoals views en transformaties onafhankelijk van applicaties opslaan en vastleggen. De levensduur van een applicatie is vaak beperkter dan die van een damwand bijvoorbeeld. Daarnaast voorkom je </w:t>
      </w:r>
      <w:proofErr w:type="spellStart"/>
      <w:r>
        <w:t>vendor</w:t>
      </w:r>
      <w:proofErr w:type="spellEnd"/>
      <w:r>
        <w:t xml:space="preserve"> </w:t>
      </w:r>
      <w:proofErr w:type="spellStart"/>
      <w:r>
        <w:t>locking</w:t>
      </w:r>
      <w:proofErr w:type="spellEnd"/>
      <w:r>
        <w:t xml:space="preserve">. </w:t>
      </w:r>
    </w:p>
    <w:p w14:paraId="6F4650E1" w14:textId="69334AB2" w:rsidR="006C1A31" w:rsidRDefault="0082548D" w:rsidP="0082548D">
      <w:pPr>
        <w:pStyle w:val="Kop4"/>
      </w:pPr>
      <w:r>
        <w:t>Keuze 3: de engine</w:t>
      </w:r>
    </w:p>
    <w:p w14:paraId="083D7560" w14:textId="56B13F47" w:rsidR="0082548D" w:rsidRDefault="001B2638" w:rsidP="0082548D">
      <w:r>
        <w:t>Het draaien van de preprocessing kost behoorlijk wat geheugen. Als we het lokaal op onze laptop draaien kunnen we de grotere tabellen</w:t>
      </w:r>
      <w:r w:rsidR="008A3047">
        <w:t xml:space="preserve"> (&gt;0,5 miljoen records)</w:t>
      </w:r>
      <w:r>
        <w:t xml:space="preserve"> niet verwerken. Binnen Waterschap Rivierenland is er nog geen </w:t>
      </w:r>
      <w:proofErr w:type="spellStart"/>
      <w:r>
        <w:t>Task</w:t>
      </w:r>
      <w:proofErr w:type="spellEnd"/>
      <w:r>
        <w:t xml:space="preserve"> Server voor Python </w:t>
      </w:r>
      <w:proofErr w:type="spellStart"/>
      <w:r>
        <w:t>scripting</w:t>
      </w:r>
      <w:proofErr w:type="spellEnd"/>
      <w:r w:rsidR="008A3047">
        <w:t xml:space="preserve"> met daarop bijvoorbeeld </w:t>
      </w:r>
      <w:proofErr w:type="spellStart"/>
      <w:r w:rsidR="008A3047">
        <w:t>Airflow</w:t>
      </w:r>
      <w:proofErr w:type="spellEnd"/>
      <w:r w:rsidR="008A3047">
        <w:t xml:space="preserve"> voor de regietaak</w:t>
      </w:r>
      <w:r>
        <w:t xml:space="preserve">. Wel kunnen we gebruik maken van de hardware van onze ETL-software. Dit kunnen we doen door Python in de ETL-tool te integreren. Het voordeel hiervan is dat we </w:t>
      </w:r>
      <w:r w:rsidR="008A3047">
        <w:t xml:space="preserve">voor de regietaak de Server variant van FME, FME Flow kunnen gebruiken. Met de regietaak bedoelen we eventueel </w:t>
      </w:r>
      <w:proofErr w:type="spellStart"/>
      <w:r w:rsidR="008A3047">
        <w:t>schedullen</w:t>
      </w:r>
      <w:proofErr w:type="spellEnd"/>
      <w:r w:rsidR="008A3047">
        <w:t xml:space="preserve"> maar ook parallel processen, of in batches processen van de input data. </w:t>
      </w:r>
    </w:p>
    <w:p w14:paraId="7BE94784" w14:textId="0F6F2BEA" w:rsidR="00934880" w:rsidRDefault="00934880" w:rsidP="00630C31">
      <w:pPr>
        <w:pStyle w:val="Kop4"/>
      </w:pPr>
      <w:r>
        <w:lastRenderedPageBreak/>
        <w:t xml:space="preserve">Keuze 4: de interface </w:t>
      </w:r>
    </w:p>
    <w:p w14:paraId="05C78887" w14:textId="70D8195C" w:rsidR="00630C31" w:rsidRPr="0082548D" w:rsidRDefault="00630C31" w:rsidP="0082548D">
      <w:r>
        <w:t xml:space="preserve">Alhoewel de interface vaak slechts het topje van de ijsberg is wat datapipeline betreft, is het wel belangrijk om af te wegen hoe je de resultaten presenteert. Wij willen de resultaten presenteren in een ESRI story map. Dit is een interactieve website waarin tekst, data visualisaties en interactieve kaarten gecombineerd worden. </w:t>
      </w:r>
    </w:p>
    <w:sectPr w:rsidR="00630C31" w:rsidRPr="0082548D">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D363B" w14:textId="77777777" w:rsidR="008A1CCF" w:rsidRDefault="008A1CCF">
      <w:pPr>
        <w:spacing w:after="0" w:line="240" w:lineRule="auto"/>
      </w:pPr>
      <w:r>
        <w:separator/>
      </w:r>
    </w:p>
  </w:endnote>
  <w:endnote w:type="continuationSeparator" w:id="0">
    <w:p w14:paraId="0346B457" w14:textId="77777777" w:rsidR="008A1CCF" w:rsidRDefault="008A1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4A202" w14:textId="77777777" w:rsidR="008A1CCF" w:rsidRDefault="008A1CCF">
      <w:pPr>
        <w:spacing w:after="0" w:line="240" w:lineRule="auto"/>
      </w:pPr>
      <w:r>
        <w:rPr>
          <w:color w:val="000000"/>
        </w:rPr>
        <w:separator/>
      </w:r>
    </w:p>
  </w:footnote>
  <w:footnote w:type="continuationSeparator" w:id="0">
    <w:p w14:paraId="1DF7AC7B" w14:textId="77777777" w:rsidR="008A1CCF" w:rsidRDefault="008A1CCF">
      <w:pPr>
        <w:spacing w:after="0" w:line="240" w:lineRule="auto"/>
      </w:pPr>
      <w:r>
        <w:continuationSeparator/>
      </w:r>
    </w:p>
  </w:footnote>
  <w:footnote w:id="1">
    <w:p w14:paraId="78058C95" w14:textId="646E905B" w:rsidR="00B155AD" w:rsidRDefault="00B155AD">
      <w:pPr>
        <w:pStyle w:val="Voetnoottekst"/>
      </w:pPr>
      <w:r>
        <w:rPr>
          <w:rStyle w:val="Voetnootmarkering"/>
        </w:rPr>
        <w:footnoteRef/>
      </w:r>
      <w:r>
        <w:t xml:space="preserve"> </w:t>
      </w:r>
      <w:hyperlink r:id="rId1" w:history="1">
        <w:r w:rsidRPr="00B155AD">
          <w:rPr>
            <w:rStyle w:val="Hyperlink"/>
          </w:rPr>
          <w:t>12 februari 1273: het eerste waterbestuur in het rivierengebied | Waterschap Rivierenland</w:t>
        </w:r>
      </w:hyperlink>
      <w:r>
        <w:t xml:space="preserve"> bezocht op 8-12-2025</w:t>
      </w:r>
    </w:p>
  </w:footnote>
  <w:footnote w:id="2">
    <w:p w14:paraId="7B49A8D1" w14:textId="77777777" w:rsidR="00747F9B" w:rsidRDefault="008A1CCF">
      <w:pPr>
        <w:pStyle w:val="Voetnoottekst"/>
      </w:pPr>
      <w:r>
        <w:rPr>
          <w:rStyle w:val="Voetnootmarkering"/>
        </w:rPr>
        <w:footnoteRef/>
      </w:r>
      <w:r>
        <w:t xml:space="preserve"> </w:t>
      </w:r>
      <w:hyperlink r:id="rId2" w:history="1">
        <w:r>
          <w:rPr>
            <w:rStyle w:val="Hyperlink"/>
          </w:rPr>
          <w:t>https://www.geobasisregistraties.nl/basisregistraties/grootschalige-topografie</w:t>
        </w:r>
      </w:hyperlink>
      <w:r>
        <w:t xml:space="preserve"> bezocht op 6-12-2025</w:t>
      </w:r>
    </w:p>
    <w:p w14:paraId="53DE5F4C" w14:textId="77777777" w:rsidR="008A1CCF" w:rsidRDefault="008A1CCF"/>
  </w:footnote>
  <w:footnote w:id="3">
    <w:p w14:paraId="14FACCBD" w14:textId="77777777" w:rsidR="00747F9B" w:rsidRDefault="008A1CCF">
      <w:pPr>
        <w:pStyle w:val="Voetnoottekst"/>
      </w:pPr>
      <w:r>
        <w:rPr>
          <w:rStyle w:val="Voetnootmarkering"/>
        </w:rPr>
        <w:footnoteRef/>
      </w:r>
      <w:r>
        <w:t xml:space="preserve"> </w:t>
      </w:r>
      <w:hyperlink r:id="rId3" w:history="1">
        <w:r>
          <w:rPr>
            <w:rStyle w:val="Hyperlink"/>
          </w:rPr>
          <w:t>https://data.overheid.nl/community/organization/wsh</w:t>
        </w:r>
      </w:hyperlink>
      <w:r>
        <w:t xml:space="preserve"> bezocht op 6-12-2025</w:t>
      </w:r>
    </w:p>
    <w:p w14:paraId="748D383D" w14:textId="77777777" w:rsidR="008A1CCF" w:rsidRDefault="008A1CCF"/>
  </w:footnote>
  <w:footnote w:id="4">
    <w:p w14:paraId="78AC26CA" w14:textId="27C5CAC4" w:rsidR="00B155AD" w:rsidRDefault="00B155AD">
      <w:pPr>
        <w:pStyle w:val="Voetnoottekst"/>
      </w:pPr>
      <w:r>
        <w:rPr>
          <w:rStyle w:val="Voetnootmarkering"/>
        </w:rPr>
        <w:footnoteRef/>
      </w:r>
      <w:r>
        <w:t xml:space="preserve"> Het Waterschapshuis, 2024. Objectenhandboek DAMO 2.5. Zoals gevonden op: </w:t>
      </w:r>
      <w:hyperlink r:id="rId4" w:history="1">
        <w:r w:rsidRPr="00B155AD">
          <w:rPr>
            <w:rStyle w:val="Hyperlink"/>
          </w:rPr>
          <w:t>Objectenhandboek DAMO 2.5</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0FF8"/>
    <w:multiLevelType w:val="hybridMultilevel"/>
    <w:tmpl w:val="1E480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36884CFD"/>
    <w:multiLevelType w:val="multilevel"/>
    <w:tmpl w:val="8AD80CA4"/>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950820790">
    <w:abstractNumId w:val="1"/>
  </w:num>
  <w:num w:numId="2" w16cid:durableId="878054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F9B"/>
    <w:rsid w:val="001B2638"/>
    <w:rsid w:val="002961F4"/>
    <w:rsid w:val="004C2E16"/>
    <w:rsid w:val="00630C31"/>
    <w:rsid w:val="006C1A31"/>
    <w:rsid w:val="00747F9B"/>
    <w:rsid w:val="0082548D"/>
    <w:rsid w:val="0087529A"/>
    <w:rsid w:val="008A1CCF"/>
    <w:rsid w:val="008A3047"/>
    <w:rsid w:val="00934880"/>
    <w:rsid w:val="00B155AD"/>
    <w:rsid w:val="00CA6AD0"/>
    <w:rsid w:val="00E21360"/>
    <w:rsid w:val="00E33E84"/>
    <w:rsid w:val="00F85B1C"/>
    <w:rsid w:val="00FA1CF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689F8"/>
  <w15:docId w15:val="{DF264818-3911-4735-AC70-87D41BB60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nl-NL"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p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0F4761"/>
      <w:sz w:val="40"/>
      <w:szCs w:val="40"/>
    </w:rPr>
  </w:style>
  <w:style w:type="paragraph" w:styleId="Kop2">
    <w:name w:val="heading 2"/>
    <w:basedOn w:val="Standaard"/>
    <w:next w:val="Standaard"/>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Kop3">
    <w:name w:val="heading 3"/>
    <w:basedOn w:val="Standaard"/>
    <w:next w:val="Standaard"/>
    <w:uiPriority w:val="9"/>
    <w:unhideWhenUsed/>
    <w:qFormat/>
    <w:pPr>
      <w:keepNext/>
      <w:keepLines/>
      <w:spacing w:before="160" w:after="80"/>
      <w:outlineLvl w:val="2"/>
    </w:pPr>
    <w:rPr>
      <w:rFonts w:eastAsia="Times New Roman"/>
      <w:color w:val="0F4761"/>
      <w:sz w:val="28"/>
      <w:szCs w:val="28"/>
    </w:rPr>
  </w:style>
  <w:style w:type="paragraph" w:styleId="Kop4">
    <w:name w:val="heading 4"/>
    <w:basedOn w:val="Standaard"/>
    <w:next w:val="Standaard"/>
    <w:uiPriority w:val="9"/>
    <w:unhideWhenUsed/>
    <w:qFormat/>
    <w:pPr>
      <w:keepNext/>
      <w:keepLines/>
      <w:spacing w:before="80" w:after="40"/>
      <w:outlineLvl w:val="3"/>
    </w:pPr>
    <w:rPr>
      <w:rFonts w:eastAsia="Times New Roman"/>
      <w:i/>
      <w:iCs/>
      <w:color w:val="0F4761"/>
    </w:rPr>
  </w:style>
  <w:style w:type="paragraph" w:styleId="Kop5">
    <w:name w:val="heading 5"/>
    <w:basedOn w:val="Standaard"/>
    <w:next w:val="Standaard"/>
    <w:uiPriority w:val="9"/>
    <w:semiHidden/>
    <w:unhideWhenUsed/>
    <w:qFormat/>
    <w:pPr>
      <w:keepNext/>
      <w:keepLines/>
      <w:spacing w:before="80" w:after="40"/>
      <w:outlineLvl w:val="4"/>
    </w:pPr>
    <w:rPr>
      <w:rFonts w:eastAsia="Times New Roman"/>
      <w:color w:val="0F4761"/>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0F4761"/>
      <w:sz w:val="40"/>
      <w:szCs w:val="40"/>
    </w:rPr>
  </w:style>
  <w:style w:type="character" w:customStyle="1" w:styleId="Kop2Char">
    <w:name w:val="Kop 2 Char"/>
    <w:basedOn w:val="Standaardalinea-lettertype"/>
    <w:rPr>
      <w:rFonts w:ascii="Aptos Display" w:eastAsia="Times New Roman" w:hAnsi="Aptos Display" w:cs="Times New Roman"/>
      <w:color w:val="0F4761"/>
      <w:sz w:val="32"/>
      <w:szCs w:val="32"/>
    </w:rPr>
  </w:style>
  <w:style w:type="character" w:customStyle="1" w:styleId="Kop3Char">
    <w:name w:val="Kop 3 Char"/>
    <w:basedOn w:val="Standaardalinea-lettertype"/>
    <w:rPr>
      <w:rFonts w:eastAsia="Times New Roman" w:cs="Times New Roman"/>
      <w:color w:val="0F4761"/>
      <w:sz w:val="28"/>
      <w:szCs w:val="28"/>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line="240" w:lineRule="auto"/>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paragraph" w:styleId="Voetnoottekst">
    <w:name w:val="footnote text"/>
    <w:basedOn w:val="Standaard"/>
    <w:pPr>
      <w:spacing w:after="0" w:line="240" w:lineRule="auto"/>
    </w:pPr>
    <w:rPr>
      <w:sz w:val="20"/>
      <w:szCs w:val="20"/>
    </w:rPr>
  </w:style>
  <w:style w:type="character" w:customStyle="1" w:styleId="VoetnoottekstChar">
    <w:name w:val="Voetnoottekst Char"/>
    <w:basedOn w:val="Standaardalinea-lettertype"/>
    <w:rPr>
      <w:sz w:val="20"/>
      <w:szCs w:val="20"/>
    </w:rPr>
  </w:style>
  <w:style w:type="character" w:styleId="Voetnootmarkering">
    <w:name w:val="footnote reference"/>
    <w:basedOn w:val="Standaardalinea-lettertype"/>
    <w:rPr>
      <w:position w:val="0"/>
      <w:vertAlign w:val="superscript"/>
    </w:rPr>
  </w:style>
  <w:style w:type="character" w:styleId="Hyperlink">
    <w:name w:val="Hyperlink"/>
    <w:basedOn w:val="Standaardalinea-lettertype"/>
    <w:rPr>
      <w:color w:val="467886"/>
      <w:u w:val="single"/>
    </w:rPr>
  </w:style>
  <w:style w:type="character" w:styleId="Onopgelostemelding">
    <w:name w:val="Unresolved Mention"/>
    <w:basedOn w:val="Standaardalinea-lettertyp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data.overheid.nl/community/organization/wsh" TargetMode="External"/><Relationship Id="rId2" Type="http://schemas.openxmlformats.org/officeDocument/2006/relationships/hyperlink" Target="https://www.geobasisregistraties.nl/basisregistraties/grootschalige-topografie" TargetMode="External"/><Relationship Id="rId1" Type="http://schemas.openxmlformats.org/officeDocument/2006/relationships/hyperlink" Target="https://www.waterschaprivierenland.nl/12-februari-1273-het-eerste-waterbestuur-in-het-rivierengebied" TargetMode="External"/><Relationship Id="rId4" Type="http://schemas.openxmlformats.org/officeDocument/2006/relationships/hyperlink" Target="https://damo.hetwaterschapshuis.nl/DAMO%202.5/Objectenhandboek%20DAMO%202.5/pdf/Objectenhandboek%20DAMO%202.5.pdf"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EF400-3A58-40B7-926D-B42BEB14C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1381</Words>
  <Characters>7601</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Maarten Baas</dc:creator>
  <dc:description/>
  <cp:lastModifiedBy>Baas, Maarten</cp:lastModifiedBy>
  <cp:revision>2</cp:revision>
  <dcterms:created xsi:type="dcterms:W3CDTF">2025-12-09T10:29:00Z</dcterms:created>
  <dcterms:modified xsi:type="dcterms:W3CDTF">2025-12-09T10:29:00Z</dcterms:modified>
</cp:coreProperties>
</file>