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781F" w14:textId="77777777" w:rsidR="000D0412" w:rsidRDefault="000D0412">
      <w:pPr>
        <w:spacing w:before="3200"/>
      </w:pPr>
    </w:p>
    <w:p w14:paraId="4F9A1082" w14:textId="77777777" w:rsidR="000D0412" w:rsidRDefault="00000000">
      <w:pPr>
        <w:spacing w:after="400"/>
        <w:jc w:val="center"/>
      </w:pPr>
      <w:r>
        <w:rPr>
          <w:noProof/>
        </w:rPr>
        <w:drawing>
          <wp:inline distT="0" distB="0" distL="0" distR="0" wp14:anchorId="1868E8BA" wp14:editId="0BB4DBE0">
            <wp:extent cx="133350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123950"/>
                    </a:xfrm>
                    <a:prstGeom prst="rect">
                      <a:avLst/>
                    </a:prstGeom>
                  </pic:spPr>
                </pic:pic>
              </a:graphicData>
            </a:graphic>
          </wp:inline>
        </w:drawing>
      </w:r>
    </w:p>
    <w:p w14:paraId="64781D7F" w14:textId="77777777" w:rsidR="000D0412" w:rsidRDefault="00000000">
      <w:pPr>
        <w:spacing w:after="60"/>
        <w:jc w:val="center"/>
      </w:pPr>
      <w:r>
        <w:rPr>
          <w:b/>
          <w:bCs/>
          <w:color w:val="5356C7"/>
          <w:spacing w:val="100"/>
        </w:rPr>
        <w:t>COMPOUND CONSULTING</w:t>
      </w:r>
    </w:p>
    <w:p w14:paraId="6F107BE8" w14:textId="77777777" w:rsidR="000D0412" w:rsidRDefault="00000000">
      <w:pPr>
        <w:spacing w:after="800"/>
        <w:jc w:val="center"/>
      </w:pPr>
      <w:r>
        <w:rPr>
          <w:i/>
          <w:iCs/>
          <w:color w:val="6B7590"/>
          <w:sz w:val="18"/>
          <w:szCs w:val="18"/>
        </w:rPr>
        <w:t>AI systems for real estate investors</w:t>
      </w:r>
    </w:p>
    <w:p w14:paraId="666E6D43" w14:textId="77777777" w:rsidR="000D0412" w:rsidRDefault="00000000">
      <w:pPr>
        <w:spacing w:after="100"/>
        <w:jc w:val="center"/>
      </w:pPr>
      <w:r>
        <w:rPr>
          <w:b/>
          <w:bCs/>
          <w:color w:val="4F8EF7"/>
          <w:spacing w:val="60"/>
          <w:sz w:val="20"/>
          <w:szCs w:val="20"/>
        </w:rPr>
        <w:t>PHASE 2 PROPOSAL</w:t>
      </w:r>
    </w:p>
    <w:p w14:paraId="35629874" w14:textId="77777777" w:rsidR="000D0412" w:rsidRDefault="00000000">
      <w:pPr>
        <w:spacing w:after="220"/>
        <w:jc w:val="center"/>
      </w:pPr>
      <w:r>
        <w:rPr>
          <w:b/>
          <w:bCs/>
          <w:sz w:val="60"/>
          <w:szCs w:val="60"/>
        </w:rPr>
        <w:t>Operations &amp; Automation: Next Steps</w:t>
      </w:r>
    </w:p>
    <w:p w14:paraId="227F704F" w14:textId="77777777" w:rsidR="000D0412" w:rsidRDefault="00000000">
      <w:pPr>
        <w:spacing w:after="800"/>
        <w:jc w:val="center"/>
      </w:pPr>
      <w:r>
        <w:rPr>
          <w:color w:val="6B7590"/>
          <w:sz w:val="24"/>
          <w:szCs w:val="24"/>
        </w:rPr>
        <w:t>Prepared for Renting Freedom LLC</w:t>
      </w:r>
    </w:p>
    <w:p w14:paraId="0E045C32" w14:textId="77777777" w:rsidR="000D0412" w:rsidRDefault="00000000">
      <w:pPr>
        <w:spacing w:after="100"/>
        <w:jc w:val="center"/>
      </w:pPr>
      <w:r>
        <w:rPr>
          <w:b/>
          <w:bCs/>
          <w:sz w:val="20"/>
          <w:szCs w:val="20"/>
        </w:rPr>
        <w:t>Andrew Merritt</w:t>
      </w:r>
    </w:p>
    <w:p w14:paraId="5851A74E" w14:textId="77777777" w:rsidR="000D0412" w:rsidRDefault="00000000">
      <w:pPr>
        <w:jc w:val="center"/>
      </w:pPr>
      <w:r>
        <w:rPr>
          <w:color w:val="6B7590"/>
          <w:sz w:val="18"/>
          <w:szCs w:val="18"/>
        </w:rPr>
        <w:t>andrew@compoundconsulting.ai   •   843-202-4172</w:t>
      </w:r>
    </w:p>
    <w:p w14:paraId="4F8C3D91" w14:textId="77777777" w:rsidR="000D0412" w:rsidRDefault="00000000">
      <w:r>
        <w:br w:type="page"/>
      </w:r>
    </w:p>
    <w:p w14:paraId="5222C289" w14:textId="77777777" w:rsidR="000D0412" w:rsidRDefault="000D0412">
      <w:pPr>
        <w:sectPr w:rsidR="000D0412">
          <w:headerReference w:type="default" r:id="rId8"/>
          <w:footerReference w:type="default" r:id="rId9"/>
          <w:pgSz w:w="12240" w:h="15840"/>
          <w:pgMar w:top="1080" w:right="1080" w:bottom="1080" w:left="1080" w:header="708" w:footer="708" w:gutter="0"/>
          <w:cols w:space="720"/>
          <w:docGrid w:linePitch="360"/>
        </w:sectPr>
      </w:pPr>
    </w:p>
    <w:p w14:paraId="1A8DD9F6" w14:textId="77777777" w:rsidR="000D0412" w:rsidRDefault="00000000">
      <w:pPr>
        <w:spacing w:before="300" w:after="60"/>
      </w:pPr>
      <w:r>
        <w:rPr>
          <w:b/>
          <w:bCs/>
          <w:color w:val="4F8EF7"/>
          <w:spacing w:val="40"/>
          <w:sz w:val="16"/>
          <w:szCs w:val="16"/>
        </w:rPr>
        <w:lastRenderedPageBreak/>
        <w:t>WHERE WE LEFT OFF</w:t>
      </w:r>
    </w:p>
    <w:p w14:paraId="4EEF8430" w14:textId="77777777" w:rsidR="000D0412" w:rsidRDefault="00000000">
      <w:pPr>
        <w:pStyle w:val="Heading1"/>
        <w:pBdr>
          <w:bottom w:val="single" w:sz="12" w:space="8" w:color="5356C7"/>
        </w:pBdr>
        <w:spacing w:before="400" w:after="200"/>
      </w:pPr>
      <w:r>
        <w:rPr>
          <w:b/>
          <w:bCs/>
          <w:color w:val="1A1F2E"/>
          <w:sz w:val="34"/>
          <w:szCs w:val="34"/>
        </w:rPr>
        <w:t>Phase 1 Recap</w:t>
      </w:r>
    </w:p>
    <w:p w14:paraId="55AF0CC3" w14:textId="77777777" w:rsidR="000D0412" w:rsidRDefault="00000000">
      <w:pPr>
        <w:spacing w:after="140" w:line="300" w:lineRule="auto"/>
      </w:pPr>
      <w:r>
        <w:t>Phase 1 delivered a working operations dashboard for Renting Freedom — replacing manual spreadsheet work with a clean, browser-based tool connected to Google Sheets, Follow Up Boss, and Cal.com, and automated behind the scenes with n8n. Since wrapping that up, we’ve also made one additional update at your request.</w:t>
      </w:r>
    </w:p>
    <w:p w14:paraId="37898130" w14:textId="77777777" w:rsidR="000D0412" w:rsidRDefault="00000000">
      <w:pPr>
        <w:pStyle w:val="Heading2"/>
        <w:spacing w:before="280" w:after="120"/>
      </w:pPr>
      <w:r>
        <w:rPr>
          <w:b/>
          <w:bCs/>
          <w:color w:val="5356C7"/>
        </w:rPr>
        <w:t>Recently Completed</w:t>
      </w:r>
    </w:p>
    <w:p w14:paraId="312DDAF1" w14:textId="77777777" w:rsidR="000D0412" w:rsidRDefault="00000000">
      <w:pPr>
        <w:spacing w:after="90" w:line="300" w:lineRule="auto"/>
        <w:ind w:left="200"/>
      </w:pPr>
      <w:proofErr w:type="gramStart"/>
      <w:r>
        <w:rPr>
          <w:b/>
          <w:bCs/>
          <w:color w:val="22B57F"/>
          <w:sz w:val="24"/>
          <w:szCs w:val="24"/>
        </w:rPr>
        <w:t xml:space="preserve">✓  </w:t>
      </w:r>
      <w:r>
        <w:t>Updated</w:t>
      </w:r>
      <w:proofErr w:type="gramEnd"/>
      <w:r>
        <w:t xml:space="preserve"> the Phase 1 handoff report to include billing and subscription details for </w:t>
      </w:r>
      <w:proofErr w:type="spellStart"/>
      <w:r>
        <w:t>Hostinger</w:t>
      </w:r>
      <w:proofErr w:type="spellEnd"/>
      <w:r>
        <w:t xml:space="preserve"> and Twilio, so every recurring service cost is documented in one place. This has already been delivered.</w:t>
      </w:r>
    </w:p>
    <w:p w14:paraId="4735147C" w14:textId="77777777" w:rsidR="000D0412" w:rsidRDefault="00000000">
      <w:pPr>
        <w:spacing w:before="300" w:after="60"/>
      </w:pPr>
      <w:r>
        <w:rPr>
          <w:b/>
          <w:bCs/>
          <w:color w:val="4F8EF7"/>
          <w:spacing w:val="40"/>
          <w:sz w:val="16"/>
          <w:szCs w:val="16"/>
        </w:rPr>
        <w:t>PHASE 2</w:t>
      </w:r>
    </w:p>
    <w:p w14:paraId="5A5FB715" w14:textId="77777777" w:rsidR="000D0412" w:rsidRDefault="00000000">
      <w:pPr>
        <w:pStyle w:val="Heading1"/>
        <w:pBdr>
          <w:bottom w:val="single" w:sz="12" w:space="8" w:color="5356C7"/>
        </w:pBdr>
        <w:spacing w:before="400" w:after="200"/>
      </w:pPr>
      <w:r>
        <w:rPr>
          <w:b/>
          <w:bCs/>
          <w:color w:val="1A1F2E"/>
          <w:sz w:val="34"/>
          <w:szCs w:val="34"/>
        </w:rPr>
        <w:t>Proposed Scope</w:t>
      </w:r>
    </w:p>
    <w:p w14:paraId="24FF78E5" w14:textId="77777777" w:rsidR="000D0412" w:rsidRDefault="00000000">
      <w:pPr>
        <w:spacing w:after="140" w:line="300" w:lineRule="auto"/>
      </w:pPr>
      <w:r>
        <w:t>Based on our conversation, here are the eight areas we’d propose tackling next. Most are described at a high level below; the first and fifth include a bit more detail since they involve outside vendors and a decision on your end.</w:t>
      </w:r>
    </w:p>
    <w:p w14:paraId="77CDC1FA" w14:textId="77777777" w:rsidR="000D0412" w:rsidRDefault="00000000">
      <w:pPr>
        <w:pStyle w:val="Heading3"/>
        <w:spacing w:before="240" w:after="100"/>
      </w:pPr>
      <w:r>
        <w:rPr>
          <w:b/>
          <w:bCs/>
          <w:color w:val="1A1F2E"/>
          <w:sz w:val="22"/>
          <w:szCs w:val="22"/>
        </w:rPr>
        <w:t>1. Tenant &amp; Applicant Identity Verification</w:t>
      </w:r>
    </w:p>
    <w:p w14:paraId="2B979D64" w14:textId="77777777" w:rsidR="000D0412" w:rsidRDefault="00000000">
      <w:pPr>
        <w:spacing w:after="140" w:line="300" w:lineRule="auto"/>
      </w:pPr>
      <w:r>
        <w:t xml:space="preserve">Add photo-ID and selfie verification earlier in the leasing funnel, so prospects are confirmed as real, matching people before staff invest time following up. This is a separate, earlier step than </w:t>
      </w:r>
      <w:proofErr w:type="spellStart"/>
      <w:r>
        <w:t>DoorLoop’s</w:t>
      </w:r>
      <w:proofErr w:type="spellEnd"/>
      <w:r>
        <w:t xml:space="preserve"> existing tenant screening. Verification results would be logged automatically to Follow Up Boss, with clear passes moving forward on their own and any failed or borderline results routed to a staff member for a quick manual check.</w:t>
      </w:r>
    </w:p>
    <w:p w14:paraId="727DCBAF" w14:textId="77777777" w:rsidR="000D0412" w:rsidRDefault="00000000">
      <w:pPr>
        <w:spacing w:after="140" w:line="300" w:lineRule="auto"/>
      </w:pPr>
      <w:r>
        <w:t>We compared two identity verification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0412" w14:paraId="03F17A77" w14:textId="77777777">
        <w:tblPrEx>
          <w:tblCellMar>
            <w:top w:w="0" w:type="dxa"/>
            <w:bottom w:w="0" w:type="dxa"/>
          </w:tblCellMar>
        </w:tblPrEx>
        <w:trPr>
          <w:tblHeader/>
        </w:trPr>
        <w:tc>
          <w:tcPr>
            <w:tcW w:w="2600" w:type="dxa"/>
            <w:tcBorders>
              <w:top w:val="single" w:sz="4" w:space="0" w:color="E4E8F0"/>
              <w:left w:val="single" w:sz="4" w:space="0" w:color="E4E8F0"/>
              <w:bottom w:val="single" w:sz="4" w:space="0" w:color="E4E8F0"/>
              <w:right w:val="single" w:sz="4" w:space="0" w:color="E4E8F0"/>
            </w:tcBorders>
            <w:shd w:val="clear" w:color="auto" w:fill="5356C7"/>
            <w:tcMar>
              <w:top w:w="120" w:type="dxa"/>
              <w:left w:w="180" w:type="dxa"/>
              <w:bottom w:w="120" w:type="dxa"/>
              <w:right w:w="180" w:type="dxa"/>
            </w:tcMar>
          </w:tcPr>
          <w:p w14:paraId="5EFBE7EB" w14:textId="77777777" w:rsidR="000D0412" w:rsidRDefault="00000000">
            <w:r>
              <w:rPr>
                <w:b/>
                <w:bCs/>
                <w:color w:val="FFFFFF"/>
                <w:sz w:val="20"/>
                <w:szCs w:val="20"/>
              </w:rPr>
              <w:t>Provider</w:t>
            </w:r>
          </w:p>
        </w:tc>
        <w:tc>
          <w:tcPr>
            <w:tcW w:w="6760" w:type="dxa"/>
            <w:tcBorders>
              <w:top w:val="single" w:sz="4" w:space="0" w:color="E4E8F0"/>
              <w:left w:val="single" w:sz="4" w:space="0" w:color="E4E8F0"/>
              <w:bottom w:val="single" w:sz="4" w:space="0" w:color="E4E8F0"/>
              <w:right w:val="single" w:sz="4" w:space="0" w:color="E4E8F0"/>
            </w:tcBorders>
            <w:shd w:val="clear" w:color="auto" w:fill="5356C7"/>
            <w:tcMar>
              <w:top w:w="120" w:type="dxa"/>
              <w:left w:w="180" w:type="dxa"/>
              <w:bottom w:w="120" w:type="dxa"/>
              <w:right w:w="180" w:type="dxa"/>
            </w:tcMar>
          </w:tcPr>
          <w:p w14:paraId="00FCF938" w14:textId="77777777" w:rsidR="000D0412" w:rsidRDefault="00000000">
            <w:r>
              <w:rPr>
                <w:b/>
                <w:bCs/>
                <w:color w:val="FFFFFF"/>
                <w:sz w:val="20"/>
                <w:szCs w:val="20"/>
              </w:rPr>
              <w:t>Pricing</w:t>
            </w:r>
          </w:p>
        </w:tc>
      </w:tr>
      <w:tr w:rsidR="000D0412" w14:paraId="62AF5834" w14:textId="77777777">
        <w:tblPrEx>
          <w:tblCellMar>
            <w:top w:w="0" w:type="dxa"/>
            <w:bottom w:w="0" w:type="dxa"/>
          </w:tblCellMar>
        </w:tblPrEx>
        <w:tc>
          <w:tcPr>
            <w:tcW w:w="2600" w:type="dxa"/>
            <w:tcBorders>
              <w:top w:val="single" w:sz="4" w:space="0" w:color="E4E8F0"/>
              <w:left w:val="single" w:sz="4" w:space="0" w:color="E4E8F0"/>
              <w:bottom w:val="single" w:sz="4" w:space="0" w:color="E4E8F0"/>
              <w:right w:val="single" w:sz="4" w:space="0" w:color="E4E8F0"/>
            </w:tcBorders>
            <w:shd w:val="clear" w:color="auto" w:fill="FFFFFF"/>
            <w:tcMar>
              <w:top w:w="100" w:type="dxa"/>
              <w:left w:w="180" w:type="dxa"/>
              <w:bottom w:w="100" w:type="dxa"/>
              <w:right w:w="120" w:type="dxa"/>
            </w:tcMar>
          </w:tcPr>
          <w:p w14:paraId="61F3E5A5" w14:textId="77777777" w:rsidR="000D0412" w:rsidRDefault="00000000">
            <w:r>
              <w:rPr>
                <w:b/>
                <w:bCs/>
                <w:sz w:val="20"/>
                <w:szCs w:val="20"/>
              </w:rPr>
              <w:t>Stripe Identity (recommended)</w:t>
            </w:r>
          </w:p>
        </w:tc>
        <w:tc>
          <w:tcPr>
            <w:tcW w:w="6760" w:type="dxa"/>
            <w:tcBorders>
              <w:top w:val="single" w:sz="4" w:space="0" w:color="E4E8F0"/>
              <w:left w:val="single" w:sz="4" w:space="0" w:color="E4E8F0"/>
              <w:bottom w:val="single" w:sz="4" w:space="0" w:color="E4E8F0"/>
              <w:right w:val="single" w:sz="4" w:space="0" w:color="E4E8F0"/>
            </w:tcBorders>
            <w:shd w:val="clear" w:color="auto" w:fill="FFFFFF"/>
            <w:tcMar>
              <w:top w:w="100" w:type="dxa"/>
              <w:left w:w="180" w:type="dxa"/>
              <w:bottom w:w="100" w:type="dxa"/>
              <w:right w:w="180" w:type="dxa"/>
            </w:tcMar>
          </w:tcPr>
          <w:p w14:paraId="64BDDC0A" w14:textId="77777777" w:rsidR="000D0412" w:rsidRDefault="00000000">
            <w:r>
              <w:rPr>
                <w:sz w:val="20"/>
                <w:szCs w:val="20"/>
              </w:rPr>
              <w:t>~$1.50 per verification, no monthly minimum</w:t>
            </w:r>
          </w:p>
        </w:tc>
      </w:tr>
      <w:tr w:rsidR="000D0412" w14:paraId="592171BB" w14:textId="77777777">
        <w:tblPrEx>
          <w:tblCellMar>
            <w:top w:w="0" w:type="dxa"/>
            <w:bottom w:w="0" w:type="dxa"/>
          </w:tblCellMar>
        </w:tblPrEx>
        <w:tc>
          <w:tcPr>
            <w:tcW w:w="2600" w:type="dxa"/>
            <w:tcBorders>
              <w:top w:val="single" w:sz="4" w:space="0" w:color="E4E8F0"/>
              <w:left w:val="single" w:sz="4" w:space="0" w:color="E4E8F0"/>
              <w:bottom w:val="single" w:sz="4" w:space="0" w:color="E4E8F0"/>
              <w:right w:val="single" w:sz="4" w:space="0" w:color="E4E8F0"/>
            </w:tcBorders>
            <w:shd w:val="clear" w:color="auto" w:fill="FAFBFD"/>
            <w:tcMar>
              <w:top w:w="100" w:type="dxa"/>
              <w:left w:w="180" w:type="dxa"/>
              <w:bottom w:w="100" w:type="dxa"/>
              <w:right w:w="120" w:type="dxa"/>
            </w:tcMar>
          </w:tcPr>
          <w:p w14:paraId="7BD7A44B" w14:textId="77777777" w:rsidR="000D0412" w:rsidRDefault="00000000">
            <w:r>
              <w:rPr>
                <w:b/>
                <w:bCs/>
                <w:sz w:val="20"/>
                <w:szCs w:val="20"/>
              </w:rPr>
              <w:t>Persona</w:t>
            </w:r>
          </w:p>
        </w:tc>
        <w:tc>
          <w:tcPr>
            <w:tcW w:w="6760" w:type="dxa"/>
            <w:tcBorders>
              <w:top w:val="single" w:sz="4" w:space="0" w:color="E4E8F0"/>
              <w:left w:val="single" w:sz="4" w:space="0" w:color="E4E8F0"/>
              <w:bottom w:val="single" w:sz="4" w:space="0" w:color="E4E8F0"/>
              <w:right w:val="single" w:sz="4" w:space="0" w:color="E4E8F0"/>
            </w:tcBorders>
            <w:shd w:val="clear" w:color="auto" w:fill="FAFBFD"/>
            <w:tcMar>
              <w:top w:w="100" w:type="dxa"/>
              <w:left w:w="180" w:type="dxa"/>
              <w:bottom w:w="100" w:type="dxa"/>
              <w:right w:w="180" w:type="dxa"/>
            </w:tcMar>
          </w:tcPr>
          <w:p w14:paraId="1AC6D68C" w14:textId="77777777" w:rsidR="000D0412" w:rsidRDefault="00000000">
            <w:r>
              <w:rPr>
                <w:sz w:val="20"/>
                <w:szCs w:val="20"/>
              </w:rPr>
              <w:t>~$2–5 per verification, plans starting at $250/month</w:t>
            </w:r>
          </w:p>
        </w:tc>
      </w:tr>
    </w:tbl>
    <w:p w14:paraId="7314E79A" w14:textId="77777777" w:rsidR="000D0412" w:rsidRDefault="00000000">
      <w:pPr>
        <w:spacing w:after="140" w:line="300" w:lineRule="auto"/>
      </w:pPr>
      <w:r>
        <w:t>Our recommendation is Stripe Identity — it’s the lower cost of the two, has no monthly minimum, and integrates cleanly with the dashboard.</w:t>
      </w:r>
    </w:p>
    <w:p w14:paraId="0405E287" w14:textId="77777777" w:rsidR="000D0412" w:rsidRDefault="00000000">
      <w:pPr>
        <w:pStyle w:val="Heading3"/>
        <w:spacing w:before="240" w:after="100"/>
      </w:pPr>
      <w:r>
        <w:rPr>
          <w:b/>
          <w:bCs/>
          <w:color w:val="1A1F2E"/>
          <w:sz w:val="22"/>
          <w:szCs w:val="22"/>
        </w:rPr>
        <w:t>2. Stop Texting Rejected Leads</w:t>
      </w:r>
    </w:p>
    <w:p w14:paraId="70D017F4" w14:textId="77777777" w:rsidR="000D0412" w:rsidRDefault="00000000">
      <w:pPr>
        <w:spacing w:after="140" w:line="300" w:lineRule="auto"/>
      </w:pPr>
      <w:r>
        <w:lastRenderedPageBreak/>
        <w:t>Add a safeguard to our existing automated texting workflow so leads already sitting in the Rejected stage in Follow Up Boss stop receiving automated text messages.</w:t>
      </w:r>
    </w:p>
    <w:p w14:paraId="7A33CD58" w14:textId="77777777" w:rsidR="000D0412" w:rsidRDefault="00000000">
      <w:pPr>
        <w:pStyle w:val="Heading3"/>
        <w:spacing w:before="240" w:after="100"/>
      </w:pPr>
      <w:r>
        <w:rPr>
          <w:b/>
          <w:bCs/>
          <w:color w:val="1A1F2E"/>
          <w:sz w:val="22"/>
          <w:szCs w:val="22"/>
        </w:rPr>
        <w:t>3. Multi-User Dashboard Access</w:t>
      </w:r>
    </w:p>
    <w:p w14:paraId="3059A3C7" w14:textId="77777777" w:rsidR="000D0412" w:rsidRDefault="00000000">
      <w:pPr>
        <w:spacing w:after="140" w:line="300" w:lineRule="auto"/>
      </w:pPr>
      <w:r>
        <w:t>Move the dashboard from a single shared password to individual logins for each team member, with admin and standard permission levels. The admin would manage those logins directly from within the Renting Freedom dashboard — not a separate outside tool.</w:t>
      </w:r>
    </w:p>
    <w:p w14:paraId="79ECD80A" w14:textId="77777777" w:rsidR="000D0412" w:rsidRDefault="00000000">
      <w:pPr>
        <w:pStyle w:val="Heading3"/>
        <w:spacing w:before="240" w:after="100"/>
      </w:pPr>
      <w:r>
        <w:rPr>
          <w:b/>
          <w:bCs/>
          <w:color w:val="1A1F2E"/>
          <w:sz w:val="22"/>
          <w:szCs w:val="22"/>
        </w:rPr>
        <w:t>4. New Lead Intake: Zillow Applications</w:t>
      </w:r>
    </w:p>
    <w:p w14:paraId="0E28F42B" w14:textId="60D085AF" w:rsidR="000D0412" w:rsidRDefault="00000000">
      <w:pPr>
        <w:spacing w:after="140" w:line="300" w:lineRule="auto"/>
      </w:pPr>
      <w:r>
        <w:t>Today, prospects who click “Schedule a Walkthrough” on Zillow flow into Follow Up Boss automatically. Prospects who instead click “Apply Now” and complete a full application don’t. We’d build out that second path so those leads are captured automatically too, with a notification to staff to complete the phone-number step that finishes the process.</w:t>
      </w:r>
      <w:r w:rsidR="00CE5D40">
        <w:t xml:space="preserve">  This notification could be added to the existing “Schedule a Walkthrough” workflow as well so leads won’t sit for too long before getting contacted.</w:t>
      </w:r>
    </w:p>
    <w:p w14:paraId="542BC4E6" w14:textId="77777777" w:rsidR="000D0412" w:rsidRDefault="00000000">
      <w:pPr>
        <w:pStyle w:val="Heading3"/>
        <w:spacing w:before="240" w:after="100"/>
      </w:pPr>
      <w:r>
        <w:rPr>
          <w:b/>
          <w:bCs/>
          <w:color w:val="1A1F2E"/>
          <w:sz w:val="22"/>
          <w:szCs w:val="22"/>
        </w:rPr>
        <w:t xml:space="preserve">5. </w:t>
      </w:r>
      <w:proofErr w:type="spellStart"/>
      <w:r>
        <w:rPr>
          <w:b/>
          <w:bCs/>
          <w:color w:val="1A1F2E"/>
          <w:sz w:val="22"/>
          <w:szCs w:val="22"/>
        </w:rPr>
        <w:t>DoorLoop</w:t>
      </w:r>
      <w:proofErr w:type="spellEnd"/>
      <w:r>
        <w:rPr>
          <w:b/>
          <w:bCs/>
          <w:color w:val="1A1F2E"/>
          <w:sz w:val="22"/>
          <w:szCs w:val="22"/>
        </w:rPr>
        <w:t xml:space="preserve"> Integration</w:t>
      </w:r>
    </w:p>
    <w:p w14:paraId="2E2D9CFF" w14:textId="77777777" w:rsidR="000D0412" w:rsidRDefault="00000000">
      <w:pPr>
        <w:spacing w:after="140" w:line="300" w:lineRule="auto"/>
      </w:pPr>
      <w:r>
        <w:t xml:space="preserve">Sync property and occupancy data from </w:t>
      </w:r>
      <w:proofErr w:type="spellStart"/>
      <w:r>
        <w:t>DoorLoop</w:t>
      </w:r>
      <w:proofErr w:type="spellEnd"/>
      <w:r>
        <w:t xml:space="preserve"> into the dashboard automatically, so vacant/occupied status and other property details stay current without manual double-entry.</w:t>
      </w:r>
    </w:p>
    <w:p w14:paraId="26ECBCA1" w14:textId="77777777" w:rsidR="000D0412" w:rsidRDefault="00000000">
      <w:pPr>
        <w:spacing w:after="140" w:line="300" w:lineRule="auto"/>
      </w:pPr>
      <w:r>
        <w:t xml:space="preserve">This one comes with a real dependency: </w:t>
      </w:r>
      <w:proofErr w:type="spellStart"/>
      <w:r>
        <w:t>DoorLoop</w:t>
      </w:r>
      <w:proofErr w:type="spellEnd"/>
      <w:r>
        <w:t xml:space="preserve"> only exposes API access on their Premium plan (~$169–199/month). We need to confirm which plan you’re currently on. If you’re not already on Premium, this item would mean adding that cost, and we’d want your go-ahead before building it.</w:t>
      </w:r>
    </w:p>
    <w:p w14:paraId="630D25BB" w14:textId="77777777" w:rsidR="000D0412" w:rsidRDefault="00000000">
      <w:pPr>
        <w:spacing w:after="140" w:line="300" w:lineRule="auto"/>
      </w:pPr>
      <w:r>
        <w:t>What the API can and can’t do, so expectations are clear: it can give us property and unit data, and vacant/occupied status (calculated from active lease records, not a single flag — but the dashboard would show the same result either way). It does not give us access to full lease agreements or lease terms — reading lease documents is out of scope for Phase 2.</w:t>
      </w:r>
    </w:p>
    <w:p w14:paraId="0A6D6E73" w14:textId="77777777" w:rsidR="000D0412" w:rsidRDefault="00000000">
      <w:pPr>
        <w:pStyle w:val="Heading3"/>
        <w:spacing w:before="240" w:after="100"/>
      </w:pPr>
      <w:r>
        <w:rPr>
          <w:b/>
          <w:bCs/>
          <w:color w:val="1A1F2E"/>
          <w:sz w:val="22"/>
          <w:szCs w:val="22"/>
        </w:rPr>
        <w:t>6. Calendly → Cal.com Cleanup</w:t>
      </w:r>
    </w:p>
    <w:p w14:paraId="2332DA64" w14:textId="77777777" w:rsidR="000D0412" w:rsidRDefault="00000000">
      <w:pPr>
        <w:spacing w:after="140" w:line="300" w:lineRule="auto"/>
      </w:pPr>
      <w:r>
        <w:t>Update the remaining Calendly booking links across the website — and your personal calendar — over to Cal.com, so scheduling is consistent everywhere prospects and clients might encounter it.</w:t>
      </w:r>
    </w:p>
    <w:p w14:paraId="70F0F309" w14:textId="77777777" w:rsidR="000D0412" w:rsidRDefault="00000000">
      <w:pPr>
        <w:pStyle w:val="Heading3"/>
        <w:spacing w:before="240" w:after="100"/>
      </w:pPr>
      <w:r>
        <w:rPr>
          <w:b/>
          <w:bCs/>
          <w:color w:val="1A1F2E"/>
          <w:sz w:val="22"/>
          <w:szCs w:val="22"/>
        </w:rPr>
        <w:t>7. Follow Up Boss Phone Number Consulting</w:t>
      </w:r>
    </w:p>
    <w:p w14:paraId="66A88FC3" w14:textId="77777777" w:rsidR="000D0412" w:rsidRDefault="00000000">
      <w:pPr>
        <w:spacing w:after="140" w:line="300" w:lineRule="auto"/>
      </w:pPr>
      <w:r>
        <w:t>Consulting on how to structure phone numbers and call routing in Follow Up Boss as you bring on new employees — which numbers to use for which purposes, and how incoming calls should route.</w:t>
      </w:r>
    </w:p>
    <w:p w14:paraId="6BA01077" w14:textId="77777777" w:rsidR="000D0412" w:rsidRDefault="00000000">
      <w:pPr>
        <w:pStyle w:val="Heading3"/>
        <w:spacing w:before="240" w:after="100"/>
      </w:pPr>
      <w:r>
        <w:rPr>
          <w:b/>
          <w:bCs/>
          <w:color w:val="1A1F2E"/>
          <w:sz w:val="22"/>
          <w:szCs w:val="22"/>
        </w:rPr>
        <w:t>8. Website Phone Number Cleanup</w:t>
      </w:r>
    </w:p>
    <w:p w14:paraId="76A4A342" w14:textId="77777777" w:rsidR="000D0412" w:rsidRDefault="00000000">
      <w:pPr>
        <w:spacing w:after="140" w:line="300" w:lineRule="auto"/>
      </w:pPr>
      <w:r>
        <w:t>The phone number shown on the website isn’t consistent site-wide — for example, the Landlord page currently displays a different number than the rest of the site. We’d audit every page and update them all to the correct, consistent number.</w:t>
      </w:r>
    </w:p>
    <w:p w14:paraId="251808E6" w14:textId="77777777" w:rsidR="000D0412" w:rsidRDefault="00000000">
      <w:pPr>
        <w:spacing w:before="300" w:after="60"/>
      </w:pPr>
      <w:r>
        <w:rPr>
          <w:b/>
          <w:bCs/>
          <w:color w:val="4F8EF7"/>
          <w:spacing w:val="40"/>
          <w:sz w:val="16"/>
          <w:szCs w:val="16"/>
        </w:rPr>
        <w:lastRenderedPageBreak/>
        <w:t>BEFORE WE FINALIZE SCOPE</w:t>
      </w:r>
    </w:p>
    <w:p w14:paraId="261A2504" w14:textId="77777777" w:rsidR="000D0412" w:rsidRDefault="00000000">
      <w:pPr>
        <w:pStyle w:val="Heading1"/>
        <w:pBdr>
          <w:bottom w:val="single" w:sz="12" w:space="8" w:color="5356C7"/>
        </w:pBdr>
        <w:spacing w:before="400" w:after="200"/>
      </w:pPr>
      <w:r>
        <w:rPr>
          <w:b/>
          <w:bCs/>
          <w:color w:val="1A1F2E"/>
          <w:sz w:val="34"/>
          <w:szCs w:val="34"/>
        </w:rPr>
        <w:t>Information We Need From You</w:t>
      </w:r>
    </w:p>
    <w:p w14:paraId="540ACC8A" w14:textId="77777777" w:rsidR="000D0412" w:rsidRDefault="00000000">
      <w:pPr>
        <w:spacing w:after="140" w:line="300" w:lineRule="auto"/>
      </w:pPr>
      <w:r>
        <w:t>Two things depend on you before we can lock in final scope and timeline:</w:t>
      </w:r>
    </w:p>
    <w:p w14:paraId="3D55ABEA" w14:textId="77777777" w:rsidR="000D0412" w:rsidRDefault="00000000" w:rsidP="00CE5D40">
      <w:pPr>
        <w:pStyle w:val="NoSpacing"/>
        <w:numPr>
          <w:ilvl w:val="0"/>
          <w:numId w:val="3"/>
        </w:numPr>
      </w:pPr>
      <w:r>
        <w:t>Confirmation that you’re good to proceed with Stripe for identity verification, given the per-verification cost above.</w:t>
      </w:r>
    </w:p>
    <w:p w14:paraId="1AB10B6C" w14:textId="77777777" w:rsidR="000D0412" w:rsidRDefault="00000000" w:rsidP="00CE5D40">
      <w:pPr>
        <w:pStyle w:val="NoSpacing"/>
        <w:numPr>
          <w:ilvl w:val="0"/>
          <w:numId w:val="3"/>
        </w:numPr>
      </w:pPr>
      <w:r>
        <w:t xml:space="preserve">Your current </w:t>
      </w:r>
      <w:proofErr w:type="spellStart"/>
      <w:r>
        <w:t>DoorLoop</w:t>
      </w:r>
      <w:proofErr w:type="spellEnd"/>
      <w:r>
        <w:t xml:space="preserve"> plan/tier, and whether you want to move forward with the </w:t>
      </w:r>
      <w:proofErr w:type="spellStart"/>
      <w:r>
        <w:t>DoorLoop</w:t>
      </w:r>
      <w:proofErr w:type="spellEnd"/>
      <w:r>
        <w:t xml:space="preserve"> integration given the possible added cost if you’re not already on Premium.</w:t>
      </w:r>
    </w:p>
    <w:p w14:paraId="51CDE601" w14:textId="77777777" w:rsidR="00CE5D40" w:rsidRDefault="00000000" w:rsidP="00CE5D40">
      <w:pPr>
        <w:spacing w:before="300" w:after="60"/>
        <w:rPr>
          <w:b/>
          <w:bCs/>
          <w:color w:val="4F8EF7"/>
          <w:spacing w:val="40"/>
          <w:sz w:val="16"/>
          <w:szCs w:val="16"/>
        </w:rPr>
      </w:pPr>
      <w:r>
        <w:rPr>
          <w:b/>
          <w:bCs/>
          <w:color w:val="4F8EF7"/>
          <w:spacing w:val="40"/>
          <w:sz w:val="16"/>
          <w:szCs w:val="16"/>
        </w:rPr>
        <w:t>TRANSPARENCY ON COSTS</w:t>
      </w:r>
    </w:p>
    <w:p w14:paraId="20C82CF5" w14:textId="7A5CB663" w:rsidR="000D0412" w:rsidRDefault="00000000" w:rsidP="00CE5D40">
      <w:pPr>
        <w:spacing w:before="300" w:after="60"/>
      </w:pPr>
      <w:r>
        <w:rPr>
          <w:b/>
          <w:bCs/>
          <w:sz w:val="34"/>
          <w:szCs w:val="34"/>
        </w:rPr>
        <w:t>New Costs to Expect</w:t>
      </w:r>
    </w:p>
    <w:p w14:paraId="3A718919" w14:textId="77777777" w:rsidR="000D0412" w:rsidRDefault="00000000">
      <w:pPr>
        <w:spacing w:after="140" w:line="300" w:lineRule="auto"/>
      </w:pPr>
      <w:r>
        <w:t>A couple of these items may introduce new recurring costs to Renting Freedom directly — separate from our fee for the work itself. We want to flag these clearly upfront so there are no surprises.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0412" w14:paraId="418E11AE" w14:textId="77777777">
        <w:tblPrEx>
          <w:tblCellMar>
            <w:top w:w="0" w:type="dxa"/>
            <w:bottom w:w="0" w:type="dxa"/>
          </w:tblCellMar>
        </w:tblPrEx>
        <w:tc>
          <w:tcPr>
            <w:tcW w:w="2400" w:type="dxa"/>
            <w:tcBorders>
              <w:top w:val="single" w:sz="4" w:space="0" w:color="E4E8F0"/>
              <w:left w:val="single" w:sz="4" w:space="0" w:color="E4E8F0"/>
              <w:bottom w:val="single" w:sz="4" w:space="0" w:color="E4E8F0"/>
              <w:right w:val="single" w:sz="4" w:space="0" w:color="E4E8F0"/>
            </w:tcBorders>
            <w:shd w:val="clear" w:color="auto" w:fill="EEF1F8"/>
            <w:tcMar>
              <w:top w:w="120" w:type="dxa"/>
              <w:left w:w="180" w:type="dxa"/>
              <w:bottom w:w="120" w:type="dxa"/>
              <w:right w:w="120" w:type="dxa"/>
            </w:tcMar>
          </w:tcPr>
          <w:p w14:paraId="30A5529C" w14:textId="77777777" w:rsidR="000D0412" w:rsidRDefault="00000000">
            <w:r>
              <w:rPr>
                <w:b/>
                <w:bCs/>
                <w:color w:val="5356C7"/>
                <w:sz w:val="20"/>
                <w:szCs w:val="20"/>
              </w:rPr>
              <w:t>Identity Verification</w:t>
            </w:r>
          </w:p>
        </w:tc>
        <w:tc>
          <w:tcPr>
            <w:tcW w:w="6960" w:type="dxa"/>
            <w:tcBorders>
              <w:top w:val="single" w:sz="4" w:space="0" w:color="E4E8F0"/>
              <w:left w:val="single" w:sz="4" w:space="0" w:color="E4E8F0"/>
              <w:bottom w:val="single" w:sz="4" w:space="0" w:color="E4E8F0"/>
              <w:right w:val="single" w:sz="4" w:space="0" w:color="E4E8F0"/>
            </w:tcBorders>
            <w:tcMar>
              <w:top w:w="120" w:type="dxa"/>
              <w:left w:w="180" w:type="dxa"/>
              <w:bottom w:w="120" w:type="dxa"/>
              <w:right w:w="180" w:type="dxa"/>
            </w:tcMar>
          </w:tcPr>
          <w:p w14:paraId="515EEBEF" w14:textId="77777777" w:rsidR="000D0412" w:rsidRDefault="00000000">
            <w:r>
              <w:rPr>
                <w:sz w:val="20"/>
                <w:szCs w:val="20"/>
              </w:rPr>
              <w:t>Roughly $1.50 per verification (Stripe Identity), billed as used — no monthly minimum. Cost scales with lead volume.</w:t>
            </w:r>
          </w:p>
        </w:tc>
      </w:tr>
      <w:tr w:rsidR="000D0412" w14:paraId="6583C19E" w14:textId="77777777">
        <w:tblPrEx>
          <w:tblCellMar>
            <w:top w:w="0" w:type="dxa"/>
            <w:bottom w:w="0" w:type="dxa"/>
          </w:tblCellMar>
        </w:tblPrEx>
        <w:tc>
          <w:tcPr>
            <w:tcW w:w="2400" w:type="dxa"/>
            <w:tcBorders>
              <w:top w:val="single" w:sz="4" w:space="0" w:color="E4E8F0"/>
              <w:left w:val="single" w:sz="4" w:space="0" w:color="E4E8F0"/>
              <w:bottom w:val="single" w:sz="4" w:space="0" w:color="E4E8F0"/>
              <w:right w:val="single" w:sz="4" w:space="0" w:color="E4E8F0"/>
            </w:tcBorders>
            <w:shd w:val="clear" w:color="auto" w:fill="EEF1F8"/>
            <w:tcMar>
              <w:top w:w="120" w:type="dxa"/>
              <w:left w:w="180" w:type="dxa"/>
              <w:bottom w:w="120" w:type="dxa"/>
              <w:right w:w="120" w:type="dxa"/>
            </w:tcMar>
          </w:tcPr>
          <w:p w14:paraId="02492299" w14:textId="77777777" w:rsidR="000D0412" w:rsidRDefault="00000000">
            <w:proofErr w:type="spellStart"/>
            <w:r>
              <w:rPr>
                <w:b/>
                <w:bCs/>
                <w:color w:val="5356C7"/>
                <w:sz w:val="20"/>
                <w:szCs w:val="20"/>
              </w:rPr>
              <w:t>DoorLoop</w:t>
            </w:r>
            <w:proofErr w:type="spellEnd"/>
            <w:r>
              <w:rPr>
                <w:b/>
                <w:bCs/>
                <w:color w:val="5356C7"/>
                <w:sz w:val="20"/>
                <w:szCs w:val="20"/>
              </w:rPr>
              <w:t xml:space="preserve"> Integration</w:t>
            </w:r>
          </w:p>
        </w:tc>
        <w:tc>
          <w:tcPr>
            <w:tcW w:w="6960" w:type="dxa"/>
            <w:tcBorders>
              <w:top w:val="single" w:sz="4" w:space="0" w:color="E4E8F0"/>
              <w:left w:val="single" w:sz="4" w:space="0" w:color="E4E8F0"/>
              <w:bottom w:val="single" w:sz="4" w:space="0" w:color="E4E8F0"/>
              <w:right w:val="single" w:sz="4" w:space="0" w:color="E4E8F0"/>
            </w:tcBorders>
            <w:tcMar>
              <w:top w:w="120" w:type="dxa"/>
              <w:left w:w="180" w:type="dxa"/>
              <w:bottom w:w="120" w:type="dxa"/>
              <w:right w:w="180" w:type="dxa"/>
            </w:tcMar>
          </w:tcPr>
          <w:p w14:paraId="4AC0E7A7" w14:textId="77777777" w:rsidR="000D0412" w:rsidRDefault="00000000">
            <w:r>
              <w:rPr>
                <w:sz w:val="20"/>
                <w:szCs w:val="20"/>
              </w:rPr>
              <w:t xml:space="preserve">Requires </w:t>
            </w:r>
            <w:proofErr w:type="spellStart"/>
            <w:r>
              <w:rPr>
                <w:sz w:val="20"/>
                <w:szCs w:val="20"/>
              </w:rPr>
              <w:t>DoorLoop’s</w:t>
            </w:r>
            <w:proofErr w:type="spellEnd"/>
            <w:r>
              <w:rPr>
                <w:sz w:val="20"/>
                <w:szCs w:val="20"/>
              </w:rPr>
              <w:t xml:space="preserve"> Premium plan (~$169–199/month) for API access. Only a new cost if you’re not already on that plan — we’ll confirm together.</w:t>
            </w:r>
          </w:p>
        </w:tc>
      </w:tr>
      <w:tr w:rsidR="000D0412" w14:paraId="27FB66CF" w14:textId="77777777">
        <w:tblPrEx>
          <w:tblCellMar>
            <w:top w:w="0" w:type="dxa"/>
            <w:bottom w:w="0" w:type="dxa"/>
          </w:tblCellMar>
        </w:tblPrEx>
        <w:tc>
          <w:tcPr>
            <w:tcW w:w="2400" w:type="dxa"/>
            <w:tcBorders>
              <w:top w:val="single" w:sz="4" w:space="0" w:color="E4E8F0"/>
              <w:left w:val="single" w:sz="4" w:space="0" w:color="E4E8F0"/>
              <w:bottom w:val="single" w:sz="4" w:space="0" w:color="E4E8F0"/>
              <w:right w:val="single" w:sz="4" w:space="0" w:color="E4E8F0"/>
            </w:tcBorders>
            <w:shd w:val="clear" w:color="auto" w:fill="EEF1F8"/>
            <w:tcMar>
              <w:top w:w="120" w:type="dxa"/>
              <w:left w:w="180" w:type="dxa"/>
              <w:bottom w:w="120" w:type="dxa"/>
              <w:right w:w="120" w:type="dxa"/>
            </w:tcMar>
          </w:tcPr>
          <w:p w14:paraId="0AA7B3FA" w14:textId="77777777" w:rsidR="000D0412" w:rsidRDefault="00000000">
            <w:r>
              <w:rPr>
                <w:b/>
                <w:bCs/>
                <w:color w:val="5356C7"/>
                <w:sz w:val="20"/>
                <w:szCs w:val="20"/>
              </w:rPr>
              <w:t>Multi-User Dashboard</w:t>
            </w:r>
          </w:p>
        </w:tc>
        <w:tc>
          <w:tcPr>
            <w:tcW w:w="6960" w:type="dxa"/>
            <w:tcBorders>
              <w:top w:val="single" w:sz="4" w:space="0" w:color="E4E8F0"/>
              <w:left w:val="single" w:sz="4" w:space="0" w:color="E4E8F0"/>
              <w:bottom w:val="single" w:sz="4" w:space="0" w:color="E4E8F0"/>
              <w:right w:val="single" w:sz="4" w:space="0" w:color="E4E8F0"/>
            </w:tcBorders>
            <w:tcMar>
              <w:top w:w="120" w:type="dxa"/>
              <w:left w:w="180" w:type="dxa"/>
              <w:bottom w:w="120" w:type="dxa"/>
              <w:right w:w="180" w:type="dxa"/>
            </w:tcMar>
          </w:tcPr>
          <w:p w14:paraId="5EB02EAC" w14:textId="77777777" w:rsidR="000D0412" w:rsidRDefault="00000000">
            <w:r>
              <w:rPr>
                <w:sz w:val="20"/>
                <w:szCs w:val="20"/>
              </w:rPr>
              <w:t>Free at your scale — the login provider we’d use is free up to a far higher user count than you’ll need.</w:t>
            </w:r>
          </w:p>
        </w:tc>
      </w:tr>
      <w:tr w:rsidR="000D0412" w14:paraId="5984AFE7" w14:textId="77777777">
        <w:tblPrEx>
          <w:tblCellMar>
            <w:top w:w="0" w:type="dxa"/>
            <w:bottom w:w="0" w:type="dxa"/>
          </w:tblCellMar>
        </w:tblPrEx>
        <w:tc>
          <w:tcPr>
            <w:tcW w:w="2400" w:type="dxa"/>
            <w:tcBorders>
              <w:top w:val="single" w:sz="4" w:space="0" w:color="E4E8F0"/>
              <w:left w:val="single" w:sz="4" w:space="0" w:color="E4E8F0"/>
              <w:bottom w:val="single" w:sz="4" w:space="0" w:color="E4E8F0"/>
              <w:right w:val="single" w:sz="4" w:space="0" w:color="E4E8F0"/>
            </w:tcBorders>
            <w:shd w:val="clear" w:color="auto" w:fill="EEF1F8"/>
            <w:tcMar>
              <w:top w:w="120" w:type="dxa"/>
              <w:left w:w="180" w:type="dxa"/>
              <w:bottom w:w="120" w:type="dxa"/>
              <w:right w:w="120" w:type="dxa"/>
            </w:tcMar>
          </w:tcPr>
          <w:p w14:paraId="72A3E35F" w14:textId="77777777" w:rsidR="000D0412" w:rsidRDefault="00000000">
            <w:r>
              <w:rPr>
                <w:b/>
                <w:bCs/>
                <w:color w:val="5356C7"/>
                <w:sz w:val="20"/>
                <w:szCs w:val="20"/>
              </w:rPr>
              <w:t>All other items</w:t>
            </w:r>
          </w:p>
        </w:tc>
        <w:tc>
          <w:tcPr>
            <w:tcW w:w="6960" w:type="dxa"/>
            <w:tcBorders>
              <w:top w:val="single" w:sz="4" w:space="0" w:color="E4E8F0"/>
              <w:left w:val="single" w:sz="4" w:space="0" w:color="E4E8F0"/>
              <w:bottom w:val="single" w:sz="4" w:space="0" w:color="E4E8F0"/>
              <w:right w:val="single" w:sz="4" w:space="0" w:color="E4E8F0"/>
            </w:tcBorders>
            <w:tcMar>
              <w:top w:w="120" w:type="dxa"/>
              <w:left w:w="180" w:type="dxa"/>
              <w:bottom w:w="120" w:type="dxa"/>
              <w:right w:w="180" w:type="dxa"/>
            </w:tcMar>
          </w:tcPr>
          <w:p w14:paraId="14569AFE" w14:textId="77777777" w:rsidR="000D0412" w:rsidRDefault="00000000">
            <w:r>
              <w:rPr>
                <w:sz w:val="20"/>
                <w:szCs w:val="20"/>
              </w:rPr>
              <w:t>No new recurring costs expected.</w:t>
            </w:r>
          </w:p>
        </w:tc>
      </w:tr>
    </w:tbl>
    <w:p w14:paraId="525D2282" w14:textId="77777777" w:rsidR="000D0412" w:rsidRDefault="00000000">
      <w:pPr>
        <w:spacing w:before="300" w:after="60"/>
      </w:pPr>
      <w:r>
        <w:rPr>
          <w:b/>
          <w:bCs/>
          <w:color w:val="4F8EF7"/>
          <w:spacing w:val="40"/>
          <w:sz w:val="16"/>
          <w:szCs w:val="16"/>
        </w:rPr>
        <w:t>WHAT HAPPENS NEXT</w:t>
      </w:r>
    </w:p>
    <w:p w14:paraId="5A01BD27" w14:textId="77777777" w:rsidR="000D0412" w:rsidRDefault="00000000">
      <w:pPr>
        <w:pStyle w:val="Heading1"/>
        <w:pBdr>
          <w:bottom w:val="single" w:sz="12" w:space="8" w:color="5356C7"/>
        </w:pBdr>
        <w:spacing w:before="400" w:after="200"/>
      </w:pPr>
      <w:r>
        <w:rPr>
          <w:b/>
          <w:bCs/>
          <w:color w:val="1A1F2E"/>
          <w:sz w:val="34"/>
          <w:szCs w:val="34"/>
        </w:rPr>
        <w:t>Next Steps</w:t>
      </w:r>
    </w:p>
    <w:p w14:paraId="0FC2588A" w14:textId="77777777" w:rsidR="000D0412" w:rsidRDefault="00000000">
      <w:pPr>
        <w:spacing w:after="140" w:line="300" w:lineRule="auto"/>
      </w:pPr>
      <w:r>
        <w:t>Once we hear back on the two items above, we’ll finalize the full Phase 2 scope and send over pricing and a proposed timeline.</w:t>
      </w:r>
    </w:p>
    <w:p w14:paraId="2DCB51AB" w14:textId="77777777" w:rsidR="000D0412" w:rsidRDefault="000D0412">
      <w:pPr>
        <w:spacing w:before="15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
        <w:gridCol w:w="9280"/>
      </w:tblGrid>
      <w:tr w:rsidR="000D0412" w14:paraId="1063303D"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5356C7"/>
          </w:tcPr>
          <w:p w14:paraId="6C08D50D" w14:textId="77777777" w:rsidR="000D0412" w:rsidRDefault="000D0412"/>
        </w:tc>
        <w:tc>
          <w:tcPr>
            <w:tcW w:w="9280" w:type="dxa"/>
            <w:tcBorders>
              <w:top w:val="single" w:sz="4" w:space="0" w:color="E4E8F0"/>
              <w:left w:val="none" w:sz="0" w:space="0" w:color="FFFFFF"/>
              <w:bottom w:val="single" w:sz="4" w:space="0" w:color="E4E8F0"/>
              <w:right w:val="single" w:sz="4" w:space="0" w:color="E4E8F0"/>
            </w:tcBorders>
            <w:shd w:val="clear" w:color="auto" w:fill="F5F7FB"/>
            <w:tcMar>
              <w:top w:w="200" w:type="dxa"/>
              <w:left w:w="260" w:type="dxa"/>
              <w:bottom w:w="200" w:type="dxa"/>
              <w:right w:w="200" w:type="dxa"/>
            </w:tcMar>
          </w:tcPr>
          <w:p w14:paraId="29E23BF3" w14:textId="77777777" w:rsidR="000D0412" w:rsidRDefault="00000000">
            <w:pPr>
              <w:spacing w:after="100"/>
              <w:jc w:val="center"/>
            </w:pPr>
            <w:r>
              <w:rPr>
                <w:b/>
                <w:bCs/>
                <w:color w:val="5356C7"/>
                <w:sz w:val="24"/>
                <w:szCs w:val="24"/>
              </w:rPr>
              <w:t>Questions or issues?</w:t>
            </w:r>
          </w:p>
          <w:p w14:paraId="6722A63A" w14:textId="77777777" w:rsidR="000D0412" w:rsidRDefault="00000000">
            <w:pPr>
              <w:spacing w:after="60"/>
              <w:jc w:val="center"/>
            </w:pPr>
            <w:r>
              <w:t xml:space="preserve">Andrew </w:t>
            </w:r>
            <w:proofErr w:type="gramStart"/>
            <w:r>
              <w:t>Merritt  •</w:t>
            </w:r>
            <w:proofErr w:type="gramEnd"/>
            <w:r>
              <w:t xml:space="preserve">  Compound Consulting</w:t>
            </w:r>
          </w:p>
          <w:p w14:paraId="374FEDD1" w14:textId="77777777" w:rsidR="000D0412" w:rsidRDefault="00000000">
            <w:pPr>
              <w:jc w:val="center"/>
            </w:pPr>
            <w:proofErr w:type="gramStart"/>
            <w:r>
              <w:rPr>
                <w:color w:val="6B7590"/>
                <w:sz w:val="20"/>
                <w:szCs w:val="20"/>
              </w:rPr>
              <w:t>andrew@compoundconsulting.ai  •</w:t>
            </w:r>
            <w:proofErr w:type="gramEnd"/>
            <w:r>
              <w:rPr>
                <w:color w:val="6B7590"/>
                <w:sz w:val="20"/>
                <w:szCs w:val="20"/>
              </w:rPr>
              <w:t xml:space="preserve">  843-202-</w:t>
            </w:r>
            <w:proofErr w:type="gramStart"/>
            <w:r>
              <w:rPr>
                <w:color w:val="6B7590"/>
                <w:sz w:val="20"/>
                <w:szCs w:val="20"/>
              </w:rPr>
              <w:t>4172  •</w:t>
            </w:r>
            <w:proofErr w:type="gramEnd"/>
            <w:r>
              <w:rPr>
                <w:color w:val="6B7590"/>
                <w:sz w:val="20"/>
                <w:szCs w:val="20"/>
              </w:rPr>
              <w:t xml:space="preserve">  compoundconsulting.ai</w:t>
            </w:r>
          </w:p>
        </w:tc>
      </w:tr>
    </w:tbl>
    <w:p w14:paraId="483E484F" w14:textId="77777777" w:rsidR="00F10927" w:rsidRDefault="00F10927" w:rsidP="00CE5D40"/>
    <w:sectPr w:rsidR="00F1092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591C" w14:textId="77777777" w:rsidR="00F10927" w:rsidRDefault="00F10927">
      <w:r>
        <w:separator/>
      </w:r>
    </w:p>
  </w:endnote>
  <w:endnote w:type="continuationSeparator" w:id="0">
    <w:p w14:paraId="48930570" w14:textId="77777777" w:rsidR="00F10927" w:rsidRDefault="00F10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54A1" w14:textId="77777777" w:rsidR="000D0412" w:rsidRDefault="000D04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6D20" w14:textId="4C15A020" w:rsidR="000D0412" w:rsidRDefault="00000000">
    <w:pPr>
      <w:jc w:val="center"/>
    </w:pPr>
    <w:r>
      <w:rPr>
        <w:color w:val="6B7590"/>
        <w:sz w:val="16"/>
        <w:szCs w:val="16"/>
      </w:rPr>
      <w:t xml:space="preserve">compoundconsulting.ai   •   Page </w:t>
    </w:r>
    <w:r>
      <w:rPr>
        <w:color w:val="6B7590"/>
        <w:sz w:val="16"/>
        <w:szCs w:val="16"/>
      </w:rPr>
      <w:fldChar w:fldCharType="begin"/>
    </w:r>
    <w:r>
      <w:rPr>
        <w:color w:val="6B7590"/>
        <w:sz w:val="16"/>
        <w:szCs w:val="16"/>
      </w:rPr>
      <w:instrText>PAGE</w:instrText>
    </w:r>
    <w:r>
      <w:rPr>
        <w:color w:val="6B7590"/>
        <w:sz w:val="16"/>
        <w:szCs w:val="16"/>
      </w:rPr>
      <w:fldChar w:fldCharType="separate"/>
    </w:r>
    <w:r w:rsidR="00CE5D40">
      <w:rPr>
        <w:noProof/>
        <w:color w:val="6B7590"/>
        <w:sz w:val="16"/>
        <w:szCs w:val="16"/>
      </w:rPr>
      <w:t>2</w:t>
    </w:r>
    <w:r>
      <w:rPr>
        <w:color w:val="6B7590"/>
        <w:sz w:val="16"/>
        <w:szCs w:val="16"/>
      </w:rPr>
      <w:fldChar w:fldCharType="end"/>
    </w:r>
    <w:r>
      <w:rPr>
        <w:color w:val="6B7590"/>
        <w:sz w:val="16"/>
        <w:szCs w:val="16"/>
      </w:rPr>
      <w:t xml:space="preserve"> of </w:t>
    </w:r>
    <w:r>
      <w:rPr>
        <w:color w:val="6B7590"/>
        <w:sz w:val="16"/>
        <w:szCs w:val="16"/>
      </w:rPr>
      <w:fldChar w:fldCharType="begin"/>
    </w:r>
    <w:r>
      <w:rPr>
        <w:color w:val="6B7590"/>
        <w:sz w:val="16"/>
        <w:szCs w:val="16"/>
      </w:rPr>
      <w:instrText>NUMPAGES</w:instrText>
    </w:r>
    <w:r>
      <w:rPr>
        <w:color w:val="6B7590"/>
        <w:sz w:val="16"/>
        <w:szCs w:val="16"/>
      </w:rPr>
      <w:fldChar w:fldCharType="separate"/>
    </w:r>
    <w:r w:rsidR="00CE5D40">
      <w:rPr>
        <w:noProof/>
        <w:color w:val="6B7590"/>
        <w:sz w:val="16"/>
        <w:szCs w:val="16"/>
      </w:rPr>
      <w:t>3</w:t>
    </w:r>
    <w:r>
      <w:rPr>
        <w:color w:val="6B75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D529" w14:textId="77777777" w:rsidR="00F10927" w:rsidRDefault="00F10927">
      <w:r>
        <w:separator/>
      </w:r>
    </w:p>
  </w:footnote>
  <w:footnote w:type="continuationSeparator" w:id="0">
    <w:p w14:paraId="48DF8318" w14:textId="77777777" w:rsidR="00F10927" w:rsidRDefault="00F10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19FC" w14:textId="77777777" w:rsidR="000D0412" w:rsidRDefault="000D04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C681" w14:textId="77777777" w:rsidR="000D0412" w:rsidRDefault="00000000">
    <w:pPr>
      <w:tabs>
        <w:tab w:val="right" w:pos="9360"/>
      </w:tabs>
    </w:pPr>
    <w:r>
      <w:rPr>
        <w:noProof/>
      </w:rPr>
      <w:drawing>
        <wp:inline distT="0" distB="0" distL="0" distR="0" wp14:anchorId="5A0C8169" wp14:editId="2CCD8FC2">
          <wp:extent cx="228600" cy="190500"/>
          <wp:effectExtent l="0" t="0" r="0" b="0"/>
          <wp:docPr id="1360951533" name="Picture 136095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8600" cy="190500"/>
                  </a:xfrm>
                  <a:prstGeom prst="rect">
                    <a:avLst/>
                  </a:prstGeom>
                </pic:spPr>
              </pic:pic>
            </a:graphicData>
          </a:graphic>
        </wp:inline>
      </w:drawing>
    </w:r>
    <w:r>
      <w:rPr>
        <w:b/>
        <w:bCs/>
        <w:color w:val="5356C7"/>
        <w:sz w:val="18"/>
        <w:szCs w:val="18"/>
      </w:rPr>
      <w:t xml:space="preserve">   Compound Consulting</w:t>
    </w:r>
    <w:r>
      <w:tab/>
    </w:r>
    <w:r>
      <w:rPr>
        <w:color w:val="6B7590"/>
        <w:sz w:val="16"/>
        <w:szCs w:val="16"/>
      </w:rPr>
      <w:t>Renting Freedom — Phase 2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06D3B"/>
    <w:multiLevelType w:val="hybridMultilevel"/>
    <w:tmpl w:val="5B8ED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6377E4"/>
    <w:multiLevelType w:val="hybridMultilevel"/>
    <w:tmpl w:val="53882218"/>
    <w:lvl w:ilvl="0" w:tplc="6C52FBB8">
      <w:start w:val="1"/>
      <w:numFmt w:val="bullet"/>
      <w:lvlText w:val="•"/>
      <w:lvlJc w:val="left"/>
      <w:pPr>
        <w:ind w:left="520" w:hanging="260"/>
      </w:pPr>
    </w:lvl>
    <w:lvl w:ilvl="1" w:tplc="5430310C">
      <w:numFmt w:val="decimal"/>
      <w:lvlText w:val=""/>
      <w:lvlJc w:val="left"/>
    </w:lvl>
    <w:lvl w:ilvl="2" w:tplc="FD4AC7DA">
      <w:numFmt w:val="decimal"/>
      <w:lvlText w:val=""/>
      <w:lvlJc w:val="left"/>
    </w:lvl>
    <w:lvl w:ilvl="3" w:tplc="B3ECD4A4">
      <w:numFmt w:val="decimal"/>
      <w:lvlText w:val=""/>
      <w:lvlJc w:val="left"/>
    </w:lvl>
    <w:lvl w:ilvl="4" w:tplc="56849D80">
      <w:numFmt w:val="decimal"/>
      <w:lvlText w:val=""/>
      <w:lvlJc w:val="left"/>
    </w:lvl>
    <w:lvl w:ilvl="5" w:tplc="C2F6FEDA">
      <w:numFmt w:val="decimal"/>
      <w:lvlText w:val=""/>
      <w:lvlJc w:val="left"/>
    </w:lvl>
    <w:lvl w:ilvl="6" w:tplc="7AB62D72">
      <w:numFmt w:val="decimal"/>
      <w:lvlText w:val=""/>
      <w:lvlJc w:val="left"/>
    </w:lvl>
    <w:lvl w:ilvl="7" w:tplc="F2AE8F2E">
      <w:numFmt w:val="decimal"/>
      <w:lvlText w:val=""/>
      <w:lvlJc w:val="left"/>
    </w:lvl>
    <w:lvl w:ilvl="8" w:tplc="61488A78">
      <w:numFmt w:val="decimal"/>
      <w:lvlText w:val=""/>
      <w:lvlJc w:val="left"/>
    </w:lvl>
  </w:abstractNum>
  <w:abstractNum w:abstractNumId="2" w15:restartNumberingAfterBreak="0">
    <w:nsid w:val="75D23F39"/>
    <w:multiLevelType w:val="hybridMultilevel"/>
    <w:tmpl w:val="CD84EF60"/>
    <w:lvl w:ilvl="0" w:tplc="DEFC06F8">
      <w:start w:val="1"/>
      <w:numFmt w:val="bullet"/>
      <w:lvlText w:val="●"/>
      <w:lvlJc w:val="left"/>
      <w:pPr>
        <w:ind w:left="720" w:hanging="360"/>
      </w:pPr>
    </w:lvl>
    <w:lvl w:ilvl="1" w:tplc="ADC8839C">
      <w:start w:val="1"/>
      <w:numFmt w:val="bullet"/>
      <w:lvlText w:val="○"/>
      <w:lvlJc w:val="left"/>
      <w:pPr>
        <w:ind w:left="1440" w:hanging="360"/>
      </w:pPr>
    </w:lvl>
    <w:lvl w:ilvl="2" w:tplc="8448215E">
      <w:start w:val="1"/>
      <w:numFmt w:val="bullet"/>
      <w:lvlText w:val="■"/>
      <w:lvlJc w:val="left"/>
      <w:pPr>
        <w:ind w:left="2160" w:hanging="360"/>
      </w:pPr>
    </w:lvl>
    <w:lvl w:ilvl="3" w:tplc="8E70E424">
      <w:start w:val="1"/>
      <w:numFmt w:val="bullet"/>
      <w:lvlText w:val="●"/>
      <w:lvlJc w:val="left"/>
      <w:pPr>
        <w:ind w:left="2880" w:hanging="360"/>
      </w:pPr>
    </w:lvl>
    <w:lvl w:ilvl="4" w:tplc="DB98CEA4">
      <w:start w:val="1"/>
      <w:numFmt w:val="bullet"/>
      <w:lvlText w:val="○"/>
      <w:lvlJc w:val="left"/>
      <w:pPr>
        <w:ind w:left="3600" w:hanging="360"/>
      </w:pPr>
    </w:lvl>
    <w:lvl w:ilvl="5" w:tplc="FE5A7FC0">
      <w:start w:val="1"/>
      <w:numFmt w:val="bullet"/>
      <w:lvlText w:val="■"/>
      <w:lvlJc w:val="left"/>
      <w:pPr>
        <w:ind w:left="4320" w:hanging="360"/>
      </w:pPr>
    </w:lvl>
    <w:lvl w:ilvl="6" w:tplc="55C26F5A">
      <w:start w:val="1"/>
      <w:numFmt w:val="bullet"/>
      <w:lvlText w:val="●"/>
      <w:lvlJc w:val="left"/>
      <w:pPr>
        <w:ind w:left="5040" w:hanging="360"/>
      </w:pPr>
    </w:lvl>
    <w:lvl w:ilvl="7" w:tplc="658C192C">
      <w:start w:val="1"/>
      <w:numFmt w:val="bullet"/>
      <w:lvlText w:val="●"/>
      <w:lvlJc w:val="left"/>
      <w:pPr>
        <w:ind w:left="5760" w:hanging="360"/>
      </w:pPr>
    </w:lvl>
    <w:lvl w:ilvl="8" w:tplc="222AFEA4">
      <w:start w:val="1"/>
      <w:numFmt w:val="bullet"/>
      <w:lvlText w:val="●"/>
      <w:lvlJc w:val="left"/>
      <w:pPr>
        <w:ind w:left="6480" w:hanging="360"/>
      </w:pPr>
    </w:lvl>
  </w:abstractNum>
  <w:num w:numId="1" w16cid:durableId="1248807879">
    <w:abstractNumId w:val="2"/>
    <w:lvlOverride w:ilvl="0">
      <w:startOverride w:val="1"/>
    </w:lvlOverride>
  </w:num>
  <w:num w:numId="2" w16cid:durableId="1546718283">
    <w:abstractNumId w:val="1"/>
    <w:lvlOverride w:ilvl="0">
      <w:startOverride w:val="1"/>
    </w:lvlOverride>
  </w:num>
  <w:num w:numId="3" w16cid:durableId="157562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412"/>
    <w:rsid w:val="000D0412"/>
    <w:rsid w:val="005D3113"/>
    <w:rsid w:val="00CE5D40"/>
    <w:rsid w:val="00F1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B6BF"/>
  <w15:docId w15:val="{84F53343-8E71-4891-893A-82E02354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F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CE5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Renting Freedom — Phase 2 Proposal</dc:title>
  <dc:creator>Compound Consulting</dc:creator>
  <cp:lastModifiedBy>Andrew Merritt</cp:lastModifiedBy>
  <cp:revision>2</cp:revision>
  <dcterms:created xsi:type="dcterms:W3CDTF">2026-07-22T18:48:00Z</dcterms:created>
  <dcterms:modified xsi:type="dcterms:W3CDTF">2026-07-22T19:25:00Z</dcterms:modified>
</cp:coreProperties>
</file>