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Board of Trustees (MnSCU)</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Recently, the MnSCU Board of Trustees adopted a set of strategic recommendations that call for the system’s 31 colleges and universities to significantly increase collaboration to improve access, increase affordability and better serve students and the people of Minnesota.</w:t>
      </w:r>
    </w:p>
    <w:p>
      <w:pPr>
        <w:pStyle w:val="BodyText"/>
      </w:pPr>
      <w:r>
        <w:t xml:space="preserve">The recommended strategies, combined in a document called “Charting the Future for a Prosperous Minnesota,” is the product of months of meetings, discussion, feedback and revisions by people both in the system office and at MnSCU campuses.</w:t>
      </w:r>
    </w:p>
    <w:p>
      <w:pPr>
        <w:pStyle w:val="BodyText"/>
      </w:pPr>
      <w:r>
        <w:t xml:space="preserve">The document establishes a broad strategy for better aligning the combined resources of MnSCU institutions. It addresses persistent structural weaknesses in Minnesota’s educational system, and challenges us all to join together to fulfill MnSCU’s commitment as the state’s leading provider of high-quality, highly relevant and highly accessible higher education.</w:t>
      </w:r>
    </w:p>
    <w:p>
      <w:pPr>
        <w:pStyle w:val="Compact"/>
        <w:numPr>
          <w:ilvl w:val="0"/>
          <w:numId w:val="1001"/>
        </w:numPr>
      </w:pPr>
      <w:hyperlink r:id="rId9">
        <w:r>
          <w:rPr>
            <w:rStyle w:val="Hyperlink"/>
          </w:rPr>
          <w:t xml:space="preserve">Charting the Future for a Prosperous Minnesota</w:t>
        </w:r>
      </w:hyperlink>
    </w:p>
    <w:p>
      <w:pPr>
        <w:pStyle w:val="FirstParagraph"/>
      </w:pPr>
      <w:r>
        <w:t xml:space="preserve">During spring 2014 and the following academic year, implementation teams began their work to develop recommendations for 8 strategic areas:</w:t>
      </w:r>
    </w:p>
    <w:p>
      <w:pPr>
        <w:pStyle w:val="Compact"/>
        <w:numPr>
          <w:ilvl w:val="0"/>
          <w:numId w:val="1002"/>
        </w:numPr>
      </w:pPr>
      <w:r>
        <w:t xml:space="preserve">Student Success</w:t>
      </w:r>
    </w:p>
    <w:p>
      <w:pPr>
        <w:pStyle w:val="Compact"/>
        <w:numPr>
          <w:ilvl w:val="0"/>
          <w:numId w:val="1002"/>
        </w:numPr>
      </w:pPr>
      <w:r>
        <w:t xml:space="preserve">Diversity</w:t>
      </w:r>
    </w:p>
    <w:p>
      <w:pPr>
        <w:pStyle w:val="Compact"/>
        <w:numPr>
          <w:ilvl w:val="0"/>
          <w:numId w:val="1002"/>
        </w:numPr>
      </w:pPr>
      <w:r>
        <w:t xml:space="preserve">Comprehensive Workplace Solutions</w:t>
      </w:r>
    </w:p>
    <w:p>
      <w:pPr>
        <w:pStyle w:val="Compact"/>
        <w:numPr>
          <w:ilvl w:val="0"/>
          <w:numId w:val="1002"/>
        </w:numPr>
      </w:pPr>
      <w:r>
        <w:t xml:space="preserve">System Incentives and Rewards</w:t>
      </w:r>
    </w:p>
    <w:p>
      <w:pPr>
        <w:pStyle w:val="Compact"/>
        <w:numPr>
          <w:ilvl w:val="0"/>
          <w:numId w:val="1002"/>
        </w:numPr>
      </w:pPr>
      <w:r>
        <w:t xml:space="preserve">Academic Planning and Collaboration</w:t>
      </w:r>
    </w:p>
    <w:p>
      <w:pPr>
        <w:pStyle w:val="Compact"/>
        <w:numPr>
          <w:ilvl w:val="0"/>
          <w:numId w:val="1002"/>
        </w:numPr>
      </w:pPr>
      <w:r>
        <w:t xml:space="preserve">Competency Certification and Credit for Prior Learning</w:t>
      </w:r>
    </w:p>
    <w:p>
      <w:pPr>
        <w:pStyle w:val="Compact"/>
        <w:numPr>
          <w:ilvl w:val="0"/>
          <w:numId w:val="1002"/>
        </w:numPr>
      </w:pPr>
      <w:r>
        <w:t xml:space="preserve">Education Technology</w:t>
      </w:r>
    </w:p>
    <w:p>
      <w:pPr>
        <w:pStyle w:val="Compact"/>
        <w:numPr>
          <w:ilvl w:val="0"/>
          <w:numId w:val="1002"/>
        </w:numPr>
      </w:pPr>
      <w:r>
        <w:t xml:space="preserve">Information Technology Systems Design</w:t>
      </w:r>
    </w:p>
    <w:p>
      <w:pPr>
        <w:pStyle w:val="FirstParagraph"/>
      </w:pPr>
      <w:r>
        <w:t xml:space="preserve">This work was presented to the campuses by Gallery Walks held on each campus.</w:t>
      </w:r>
    </w:p>
    <w:p>
      <w:pPr>
        <w:pStyle w:val="BodyText"/>
      </w:pPr>
      <w:r>
        <w:t xml:space="preserve">More information on the progress of the implementation teams is available on the</w:t>
      </w:r>
      <w:r>
        <w:t xml:space="preserve"> </w:t>
      </w:r>
      <w:hyperlink r:id="rId10">
        <w:r>
          <w:rPr>
            <w:rStyle w:val="Hyperlink"/>
          </w:rPr>
          <w:t xml:space="preserve">Charting the Future webpage</w:t>
        </w:r>
      </w:hyperlink>
      <w:r>
        <w:t xml:space="preserve">.</w:t>
      </w:r>
      <w:r>
        <w:rPr>
          <w:b/>
          <w:bCs/>
        </w:rPr>
        <w:t xml:space="preserve">Unsafe Website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www.chartingthefuturemnscu.com/" TargetMode="External"/><Relationship Id="rId9" Type="http://schemas.openxmlformats.org/officeDocument/2006/relationships/hyperlink" Target="https://www.bemidjistate.edu/offices/president/wp-content/uploads/sites/86/2022/01/Charting-the-Future-for-a-Prosperous-Minnesota.pdf"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www.chartingthefuturemnscu.com/" TargetMode="External"/><Relationship Id="rId9" Type="http://schemas.openxmlformats.org/officeDocument/2006/relationships/hyperlink" Target="https://www.bemidjistate.edu/offices/president/wp-content/uploads/sites/86/2022/01/Charting-the-Future-for-a-Prosperous-Minnesot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of Trustees (MnSCU)</dc:title>
  <dc:creator/>
  <cp:keywords/>
  <dcterms:created xsi:type="dcterms:W3CDTF">2026-09-09T23:22:54Z</dcterms:created>
  <dcterms:modified xsi:type="dcterms:W3CDTF">2026-09-09T23:22:54Z</dcterms:modified>
  <dc:identifier>c7e4b4d5-5f85-4577-ad72-1a4fb2511e80</dc:identifier>
</cp:coreProperties>
</file>

<file path=docProps/custom.xml><?xml version="1.0" encoding="utf-8"?>
<Properties xmlns="http://schemas.openxmlformats.org/officeDocument/2006/custom-properties" xmlns:vt="http://schemas.openxmlformats.org/officeDocument/2006/docPropsVTypes"/>
</file>