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University Council</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Students, staff, faculty and administration are all invited to the table to discuss important topics and find answers to big questions, such as: What defines student success, and how do we achieve it together? How can we continue to innovate and implement creative solutions to fit the needs of the changing demographics of our population? In what ways can we continue to build on our commitment to environmental sustainability? Committees and boards are categorized into three different departments, based on reporting structure:</w:t>
      </w:r>
    </w:p>
    <w:p>
      <w:pPr>
        <w:pStyle w:val="Compact"/>
        <w:numPr>
          <w:ilvl w:val="0"/>
          <w:numId w:val="1001"/>
        </w:numPr>
      </w:pPr>
      <w:r>
        <w:t xml:space="preserve">President</w:t>
      </w:r>
    </w:p>
    <w:p>
      <w:pPr>
        <w:pStyle w:val="Compact"/>
        <w:numPr>
          <w:ilvl w:val="0"/>
          <w:numId w:val="1001"/>
        </w:numPr>
      </w:pPr>
      <w:r>
        <w:t xml:space="preserve">Academic Affairs</w:t>
      </w:r>
    </w:p>
    <w:p>
      <w:pPr>
        <w:pStyle w:val="Compact"/>
        <w:numPr>
          <w:ilvl w:val="0"/>
          <w:numId w:val="1001"/>
        </w:numPr>
      </w:pPr>
      <w:r>
        <w:t xml:space="preserve">Finance and Administration</w:t>
      </w:r>
    </w:p>
    <w:p>
      <w:pPr>
        <w:pStyle w:val="FirstParagraph"/>
      </w:pPr>
      <w:r>
        <w:t xml:space="preserve">Committees and boards are an essential part of the university. When it comes time for the leadership of the university to make decisions, the dedicated individuals serving on the committees and boards provide substantial assistance.</w:t>
      </w:r>
    </w:p>
    <w:bookmarkStart w:id="16" w:name="presidential-committees"/>
    <w:p>
      <w:pPr>
        <w:pStyle w:val="Heading2"/>
      </w:pPr>
      <w:r>
        <w:t xml:space="preserve">Presidential Committees</w:t>
      </w:r>
    </w:p>
    <w:p>
      <w:pPr>
        <w:pStyle w:val="FirstParagraph"/>
      </w:pPr>
      <w:r>
        <w:t xml:space="preserve">The chairs of the following committees report to the President, and as such, these committees fall under the direction of the President.</w:t>
      </w:r>
    </w:p>
    <w:bookmarkStart w:id="9" w:name="campus-compliance-for-sexual-violence"/>
    <w:p>
      <w:pPr>
        <w:pStyle w:val="Heading3"/>
      </w:pPr>
      <w:r>
        <w:t xml:space="preserve">Campus Compliance for Sexual Violence</w:t>
      </w:r>
    </w:p>
    <w:p>
      <w:pPr>
        <w:pStyle w:val="FirstParagraph"/>
      </w:pPr>
      <w:r>
        <w:t xml:space="preserve">The purpose of this committee is to coordinate the campus efforts regarding federal, state and local mandates/compliance regarding sexual violence.</w:t>
      </w:r>
    </w:p>
    <w:bookmarkEnd w:id="9"/>
    <w:bookmarkStart w:id="10" w:name="career-services-advisory-board"/>
    <w:p>
      <w:pPr>
        <w:pStyle w:val="Heading3"/>
      </w:pPr>
      <w:r>
        <w:t xml:space="preserve">Career Services Advisory Board</w:t>
      </w:r>
    </w:p>
    <w:p>
      <w:pPr>
        <w:pStyle w:val="FirstParagraph"/>
      </w:pPr>
      <w:r>
        <w:t xml:space="preserve">The Career Services Advisory Board will serve as an internal advisory group to the director of Career Services regarding the activities of the Bemidji State University Career Services office. Advice, recommendations and support will include but are not limited to the following:</w:t>
      </w:r>
    </w:p>
    <w:p>
      <w:pPr>
        <w:pStyle w:val="Compact"/>
        <w:numPr>
          <w:ilvl w:val="0"/>
          <w:numId w:val="1002"/>
        </w:numPr>
      </w:pPr>
      <w:r>
        <w:t xml:space="preserve">Coordination of existing and developing programs in both academic and student service areas.</w:t>
      </w:r>
    </w:p>
    <w:p>
      <w:pPr>
        <w:pStyle w:val="Compact"/>
        <w:numPr>
          <w:ilvl w:val="0"/>
          <w:numId w:val="1002"/>
        </w:numPr>
      </w:pPr>
      <w:r>
        <w:t xml:space="preserve">Career Services Initiatives.</w:t>
      </w:r>
    </w:p>
    <w:p>
      <w:pPr>
        <w:pStyle w:val="Compact"/>
        <w:numPr>
          <w:ilvl w:val="0"/>
          <w:numId w:val="1002"/>
        </w:numPr>
      </w:pPr>
      <w:r>
        <w:t xml:space="preserve">Career information exchange, collaboration and communication between and among university departments as well as with the Office of Career Services.</w:t>
      </w:r>
    </w:p>
    <w:bookmarkEnd w:id="10"/>
    <w:bookmarkStart w:id="11" w:name="conditional-admission-committee"/>
    <w:p>
      <w:pPr>
        <w:pStyle w:val="Heading3"/>
      </w:pPr>
      <w:r>
        <w:t xml:space="preserve">Conditional Admission Committee</w:t>
      </w:r>
    </w:p>
    <w:p>
      <w:pPr>
        <w:pStyle w:val="FirstParagraph"/>
      </w:pPr>
      <w:r>
        <w:t xml:space="preserve">The Conditional Admission Committee is established to evaluate prospective student applications that do not meet BSU regular admission standards.</w:t>
      </w:r>
    </w:p>
    <w:bookmarkEnd w:id="11"/>
    <w:bookmarkStart w:id="12" w:name="diversity-equity-and-inclusion-committee"/>
    <w:p>
      <w:pPr>
        <w:pStyle w:val="Heading3"/>
      </w:pPr>
      <w:r>
        <w:t xml:space="preserve">Diversity, Equity and Inclusion Committee</w:t>
      </w:r>
    </w:p>
    <w:p>
      <w:pPr>
        <w:pStyle w:val="FirstParagraph"/>
      </w:pPr>
      <w:r>
        <w:t xml:space="preserve">The purpose of the Diversity, Equity and Inclusion Committee is to draft and implement a diversity plan for Bemidji State University. These efforts are guided by national initiatives, such as the American Association for Colleges &amp; Universities Making Excellence Inclusive Initiative, the Minnesota State Colleges &amp; Universities 2015-2016 Diversity Work Plan, current research and Bemidji State’s own desire to attract, retain and graduate students from diverse backgrounds and to attract and retain a workforce that is as diverse as the society within which we live.</w:t>
      </w:r>
    </w:p>
    <w:bookmarkEnd w:id="12"/>
    <w:bookmarkStart w:id="13" w:name="X884268a27670a0aefea804356cbb2b51694cbb7"/>
    <w:p>
      <w:pPr>
        <w:pStyle w:val="Heading3"/>
      </w:pPr>
      <w:r>
        <w:t xml:space="preserve">Strategic Enrollment Management Plan Committee</w:t>
      </w:r>
    </w:p>
    <w:p>
      <w:pPr>
        <w:pStyle w:val="FirstParagraph"/>
      </w:pPr>
      <w:r>
        <w:t xml:space="preserve">The SEMP Committee’s purpose is the ideation, discussion, review, development, monitoring and evaluation of all ideas, strategies and actions relating to the marketing, recruitment, retention and graduation of students. The committee’s role is primarily forward-thinking and advisory (much of the actual tactical work will be done in the individual working units).</w:t>
      </w:r>
    </w:p>
    <w:bookmarkEnd w:id="13"/>
    <w:bookmarkStart w:id="14" w:name="Xd62bc1b2bfb301a0399b05cec7fe7180b51ea2b"/>
    <w:p>
      <w:pPr>
        <w:pStyle w:val="Heading3"/>
      </w:pPr>
      <w:r>
        <w:t xml:space="preserve">Student Programs and Admissions Committee &amp; Grade Challenge Review Board</w:t>
      </w:r>
    </w:p>
    <w:p>
      <w:pPr>
        <w:pStyle w:val="FirstParagraph"/>
      </w:pPr>
      <w:r>
        <w:t xml:space="preserve">The Student Programs and Admissions Committee is charged with reviewing and acting upon petitions from students for exceptions to University Academic policy and regulations.</w:t>
      </w:r>
    </w:p>
    <w:bookmarkEnd w:id="14"/>
    <w:bookmarkStart w:id="15" w:name="title-ix-committee"/>
    <w:p>
      <w:pPr>
        <w:pStyle w:val="Heading3"/>
      </w:pPr>
      <w:r>
        <w:t xml:space="preserve">Title IX Committee</w:t>
      </w:r>
    </w:p>
    <w:p>
      <w:pPr>
        <w:pStyle w:val="FirstParagraph"/>
      </w:pPr>
      <w:r>
        <w:t xml:space="preserve">The Title IX Committee strives toward compliance with the federal regulation, which is to provide equal athletic opportunities for all students in intercollegiate athletics. The specific responsibilities of the Title IX Committee include:</w:t>
      </w:r>
    </w:p>
    <w:p>
      <w:pPr>
        <w:pStyle w:val="Compact"/>
        <w:numPr>
          <w:ilvl w:val="0"/>
          <w:numId w:val="1003"/>
        </w:numPr>
      </w:pPr>
      <w:r>
        <w:t xml:space="preserve">Serve as an advisory body to the Athletic Department on Title IX compliance.</w:t>
      </w:r>
    </w:p>
    <w:p>
      <w:pPr>
        <w:pStyle w:val="Compact"/>
        <w:numPr>
          <w:ilvl w:val="0"/>
          <w:numId w:val="1003"/>
        </w:numPr>
      </w:pPr>
      <w:r>
        <w:t xml:space="preserve">Review issues related to participation, athletic financial assistance and other athletic benefits and opportunities.</w:t>
      </w:r>
    </w:p>
    <w:p>
      <w:pPr>
        <w:pStyle w:val="Compact"/>
        <w:numPr>
          <w:ilvl w:val="0"/>
          <w:numId w:val="1003"/>
        </w:numPr>
      </w:pPr>
      <w:r>
        <w:t xml:space="preserve">Recommend Bemidji State University’s Title IX goals.</w:t>
      </w:r>
    </w:p>
    <w:p>
      <w:pPr>
        <w:pStyle w:val="Compact"/>
        <w:numPr>
          <w:ilvl w:val="0"/>
          <w:numId w:val="1003"/>
        </w:numPr>
      </w:pPr>
      <w:r>
        <w:t xml:space="preserve">Serve as a monitoring body for Title IX.</w:t>
      </w:r>
    </w:p>
    <w:p>
      <w:pPr>
        <w:pStyle w:val="Compact"/>
        <w:numPr>
          <w:ilvl w:val="0"/>
          <w:numId w:val="1003"/>
        </w:numPr>
      </w:pPr>
      <w:r>
        <w:t xml:space="preserve">Review and provide for aspects of the Athletic Department strategic plan related to Title IX.</w:t>
      </w:r>
    </w:p>
    <w:bookmarkEnd w:id="15"/>
    <w:bookmarkEnd w:id="16"/>
    <w:bookmarkStart w:id="23" w:name="academic-student-affairs-committees"/>
    <w:p>
      <w:pPr>
        <w:pStyle w:val="Heading2"/>
      </w:pPr>
      <w:r>
        <w:t xml:space="preserve">Academic Student Affairs Committees</w:t>
      </w:r>
    </w:p>
    <w:p>
      <w:pPr>
        <w:pStyle w:val="FirstParagraph"/>
      </w:pPr>
      <w:r>
        <w:t xml:space="preserve">The following committees fall under the direction of Provost &amp; Vice President for Academic Affairs Dr. Allen Bedford.</w:t>
      </w:r>
    </w:p>
    <w:bookmarkStart w:id="17" w:name="academic-assessment-committee"/>
    <w:p>
      <w:pPr>
        <w:pStyle w:val="Heading3"/>
      </w:pPr>
      <w:r>
        <w:t xml:space="preserve">Academic Assessment Committee</w:t>
      </w:r>
    </w:p>
    <w:p>
      <w:pPr>
        <w:pStyle w:val="FirstParagraph"/>
      </w:pPr>
      <w:r>
        <w:t xml:space="preserve">The Academic Assessment Committee plans facilitates and evaluates Academic Affairs assessment efforts and HLC accreditation activities.</w:t>
      </w:r>
    </w:p>
    <w:bookmarkEnd w:id="17"/>
    <w:bookmarkStart w:id="18" w:name="X9f37a0411fdbf6c153befb805e64c88ce1286d6"/>
    <w:p>
      <w:pPr>
        <w:pStyle w:val="Heading3"/>
      </w:pPr>
      <w:r>
        <w:t xml:space="preserve">Center for Extended Learning Advisory Committee</w:t>
      </w:r>
    </w:p>
    <w:p>
      <w:pPr>
        <w:pStyle w:val="FirstParagraph"/>
      </w:pPr>
      <w:r>
        <w:t xml:space="preserve">The purpose of the Center for Extended Learning Advisory Committee is to:</w:t>
      </w:r>
    </w:p>
    <w:p>
      <w:pPr>
        <w:pStyle w:val="Compact"/>
        <w:numPr>
          <w:ilvl w:val="0"/>
          <w:numId w:val="1004"/>
        </w:numPr>
      </w:pPr>
      <w:r>
        <w:t xml:space="preserve">Make recommendations to the Center for Extended Learning (CEL) regarding distance learning policies and practices.</w:t>
      </w:r>
    </w:p>
    <w:p>
      <w:pPr>
        <w:pStyle w:val="Compact"/>
        <w:numPr>
          <w:ilvl w:val="0"/>
          <w:numId w:val="1004"/>
        </w:numPr>
      </w:pPr>
      <w:r>
        <w:t xml:space="preserve">Assist CEL with addressing academic technology and support needs of faculty, staff and students engaged in online/distance learning activities.</w:t>
      </w:r>
    </w:p>
    <w:p>
      <w:pPr>
        <w:pStyle w:val="Compact"/>
        <w:numPr>
          <w:ilvl w:val="0"/>
          <w:numId w:val="1004"/>
        </w:numPr>
      </w:pPr>
      <w:r>
        <w:t xml:space="preserve">Provide a forum which will assist CEL in supporting the University academic mission and master academic plan.</w:t>
      </w:r>
    </w:p>
    <w:p>
      <w:pPr>
        <w:pStyle w:val="Compact"/>
        <w:numPr>
          <w:ilvl w:val="0"/>
          <w:numId w:val="1004"/>
        </w:numPr>
      </w:pPr>
      <w:r>
        <w:t xml:space="preserve">Establish a formal communicating link between CEL and the Inter Faculty Organization (IFO).</w:t>
      </w:r>
    </w:p>
    <w:p>
      <w:pPr>
        <w:pStyle w:val="Compact"/>
        <w:numPr>
          <w:ilvl w:val="0"/>
          <w:numId w:val="1004"/>
        </w:numPr>
      </w:pPr>
      <w:r>
        <w:t xml:space="preserve">Offer suggestions and ideas to improve CEL support services for faculty, staff and administration library user experience.</w:t>
      </w:r>
    </w:p>
    <w:bookmarkEnd w:id="18"/>
    <w:bookmarkStart w:id="19" w:name="deans-council"/>
    <w:p>
      <w:pPr>
        <w:pStyle w:val="Heading3"/>
      </w:pPr>
      <w:r>
        <w:t xml:space="preserve">Dean’s Council</w:t>
      </w:r>
    </w:p>
    <w:p>
      <w:pPr>
        <w:pStyle w:val="FirstParagraph"/>
      </w:pPr>
      <w:r>
        <w:t xml:space="preserve">The Dean’s Council integrates efforts by all administrators within academic and student affairs to address common items of interest in providing leadership and management of all colleges and units at BSU.</w:t>
      </w:r>
    </w:p>
    <w:bookmarkEnd w:id="19"/>
    <w:bookmarkStart w:id="20" w:name="environmental-advisory-committee"/>
    <w:p>
      <w:pPr>
        <w:pStyle w:val="Heading3"/>
      </w:pPr>
      <w:r>
        <w:t xml:space="preserve">Environmental Advisory Committee</w:t>
      </w:r>
    </w:p>
    <w:p>
      <w:pPr>
        <w:pStyle w:val="FirstParagraph"/>
      </w:pPr>
      <w:r>
        <w:t xml:space="preserve">The fundamental purpose continues as articulated by the late Dr. Les Duly. The need to address these concerns on a long-term, sustained basis is reflected in the conversion of the task force into a more permanent standing committee. The Environmental Advisory Committee will assist the university in meeting its goals as stated in the Environmental Policy Statement drafted on June 12, 1997.</w:t>
      </w:r>
    </w:p>
    <w:bookmarkEnd w:id="20"/>
    <w:bookmarkStart w:id="21" w:name="graduate-studies-committee"/>
    <w:p>
      <w:pPr>
        <w:pStyle w:val="Heading3"/>
      </w:pPr>
      <w:r>
        <w:t xml:space="preserve">Graduate Studies Committee</w:t>
      </w:r>
    </w:p>
    <w:p>
      <w:pPr>
        <w:pStyle w:val="FirstParagraph"/>
      </w:pPr>
      <w:r>
        <w:t xml:space="preserve">The purpose of the Graduate Studies Committee is to:</w:t>
      </w:r>
    </w:p>
    <w:p>
      <w:pPr>
        <w:pStyle w:val="Compact"/>
        <w:numPr>
          <w:ilvl w:val="0"/>
          <w:numId w:val="1005"/>
        </w:numPr>
      </w:pPr>
      <w:r>
        <w:t xml:space="preserve">Recommend all policies and procedures for the administration of graduate studies.</w:t>
      </w:r>
    </w:p>
    <w:p>
      <w:pPr>
        <w:pStyle w:val="Compact"/>
        <w:numPr>
          <w:ilvl w:val="0"/>
          <w:numId w:val="1005"/>
        </w:numPr>
      </w:pPr>
      <w:r>
        <w:t xml:space="preserve">Act as the graduate curriculum committee, overseeing with exclusive committee authority all changes in the graduate curriculum, including all graduate courses, workshops, institutes and so forth.</w:t>
      </w:r>
    </w:p>
    <w:bookmarkEnd w:id="21"/>
    <w:bookmarkStart w:id="22" w:name="X3787c850b5e1e12729305243c99184114280a4f"/>
    <w:p>
      <w:pPr>
        <w:pStyle w:val="Heading3"/>
      </w:pPr>
      <w:r>
        <w:t xml:space="preserve">Student Activity Fee Allocation Committee</w:t>
      </w:r>
    </w:p>
    <w:p>
      <w:pPr>
        <w:pStyle w:val="FirstParagraph"/>
      </w:pPr>
      <w:r>
        <w:t xml:space="preserve">The purpose of SAFAC is to contribute to the intellectual, social, cultural and economic development of society and provide opportunities for creative expression and personal development of all its students. All recognized BSU student organizations have the opportunity to apply for Student Activity Fee money. If the student organization is open to all students and is planning an event, program or service which is also open to all students, organizations are encouraged to apply for funding from SAFAC.</w:t>
      </w:r>
    </w:p>
    <w:bookmarkEnd w:id="22"/>
    <w:bookmarkEnd w:id="23"/>
    <w:bookmarkStart w:id="25" w:name="finance--administration-committees"/>
    <w:p>
      <w:pPr>
        <w:pStyle w:val="Heading2"/>
      </w:pPr>
      <w:r>
        <w:t xml:space="preserve">Finance &amp; Administration Committees</w:t>
      </w:r>
    </w:p>
    <w:p>
      <w:pPr>
        <w:pStyle w:val="FirstParagraph"/>
      </w:pPr>
      <w:r>
        <w:t xml:space="preserve">The following committees fall under the direction of the Vice President for Finance &amp; Administration Krisi Fenner.</w:t>
      </w:r>
    </w:p>
    <w:bookmarkStart w:id="24" w:name="bookstore-advisory-committee"/>
    <w:p>
      <w:pPr>
        <w:pStyle w:val="Heading3"/>
      </w:pPr>
      <w:r>
        <w:t xml:space="preserve">Bookstore Advisory Committee</w:t>
      </w:r>
    </w:p>
    <w:p>
      <w:pPr>
        <w:pStyle w:val="FirstParagraph"/>
      </w:pPr>
      <w:r>
        <w:t xml:space="preserve">The Bookstore Advisory committee provides recommendations to the president regarding Bookstore policies and allocation of revenues.</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Council</dc:title>
  <dc:creator/>
  <cp:keywords/>
  <dcterms:created xsi:type="dcterms:W3CDTF">2026-09-09T23:23:05Z</dcterms:created>
  <dcterms:modified xsi:type="dcterms:W3CDTF">2026-09-09T23:23:05Z</dcterms:modified>
  <dc:identifier>b09c9c55-5f0c-4fb9-81f5-18057ffab077</dc:identifier>
</cp:coreProperties>
</file>

<file path=docProps/custom.xml><?xml version="1.0" encoding="utf-8"?>
<Properties xmlns="http://schemas.openxmlformats.org/officeDocument/2006/custom-properties" xmlns:vt="http://schemas.openxmlformats.org/officeDocument/2006/docPropsVTypes"/>
</file>