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Eligibility &amp; Cost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eligibility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PSEO accepts applications from qualified high school sophomores and juniors to attend their junior or senior year.</w:t>
      </w:r>
    </w:p>
    <w:p>
      <w:pPr>
        <w:pStyle w:val="BodyText"/>
      </w:pPr>
      <w:r>
        <w:t xml:space="preserve">To understand your eligibility criteria, determine the grade you’ll be in at the time of your first PSEO classes.</w:t>
      </w:r>
    </w:p>
    <w:p>
      <w:pPr>
        <w:pStyle w:val="BodyText"/>
      </w:pPr>
      <w:r>
        <w:t xml:space="preserve">For example, if you’re currently a sophomore, but you want to enroll as a PSEO student in your junior year, review the 11th grade eligibility requirements. For more information, see the</w:t>
      </w:r>
      <w:r>
        <w:t xml:space="preserve"> </w:t>
      </w:r>
      <w:hyperlink r:id="rId9">
        <w:r>
          <w:rPr>
            <w:rStyle w:val="Hyperlink"/>
          </w:rPr>
          <w:t xml:space="preserve">MN Dept. of Education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attend a MN traditional public or private high school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attend a MN charter school, homeschool or ALC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are a Cultural Exchange Student or non-Minnesota resident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10th Grade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11th Grade</w:t>
            </w:r>
          </w:p>
        </w:tc>
        <w:tc>
          <w:tcPr/>
          <w:p>
            <w:pPr>
              <w:pStyle w:val="Compact"/>
            </w:pPr>
            <w:r>
              <w:t xml:space="preserve">3.3 cumulative high school GPA</w:t>
            </w:r>
          </w:p>
        </w:tc>
        <w:tc>
          <w:tcPr/>
          <w:p>
            <w:pPr>
              <w:pStyle w:val="Compact"/>
            </w:pPr>
            <w:r>
              <w:t xml:space="preserve">3.3 cumulative high school GPA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12th Grade</w:t>
            </w:r>
          </w:p>
        </w:tc>
        <w:tc>
          <w:tcPr/>
          <w:p>
            <w:pPr>
              <w:pStyle w:val="Compact"/>
            </w:pPr>
            <w:r>
              <w:t xml:space="preserve">3.0 cumulative high school GPA</w:t>
            </w:r>
          </w:p>
        </w:tc>
        <w:tc>
          <w:tcPr/>
          <w:p>
            <w:pPr>
              <w:pStyle w:val="Compact"/>
            </w:pPr>
            <w:r>
              <w:t xml:space="preserve">3.0 cumulative high school GPA</w:t>
            </w:r>
          </w:p>
        </w:tc>
        <w:tc>
          <w:tcPr/>
          <w:p>
            <w:pPr>
              <w:pStyle w:val="Compact"/>
            </w:pPr>
            <w:r>
              <w:t xml:space="preserve">Not eligible</w:t>
            </w:r>
          </w:p>
        </w:tc>
      </w:tr>
    </w:tbl>
    <w:bookmarkEnd w:id="10"/>
    <w:bookmarkStart w:id="12" w:name="cost-of-attendance"/>
    <w:p>
      <w:pPr>
        <w:pStyle w:val="Heading2"/>
      </w:pPr>
      <w:r>
        <w:t xml:space="preserve">Cost of Attendance</w:t>
      </w:r>
    </w:p>
    <w:p>
      <w:pPr>
        <w:pStyle w:val="FirstParagraph"/>
      </w:pPr>
      <w:r>
        <w:t xml:space="preserve">The PSEO program is offered at no cost to you.</w:t>
      </w:r>
    </w:p>
    <w:p>
      <w:pPr>
        <w:pStyle w:val="BodyText"/>
      </w:pPr>
      <w:r>
        <w:t xml:space="preserve">The program will cover the cost of your tuition, fees and books for eligible 1000- and 2000-level courses whether you are part-time or full-time.</w:t>
      </w:r>
    </w:p>
    <w:p>
      <w:pPr>
        <w:pStyle w:val="BodyText"/>
      </w:pPr>
      <w:r>
        <w:t xml:space="preserve">You will not be allowed to take courses with additional fees that exceed a total of $100. Online courses are limited.</w:t>
      </w:r>
    </w:p>
    <w:p>
      <w:pPr>
        <w:pStyle w:val="BodyText"/>
      </w:pPr>
      <w:r>
        <w:t xml:space="preserve">Your school district will pay a portion of your tuition and student fees. Bemidji State University will cover any remaining balance.</w:t>
      </w:r>
    </w:p>
    <w:p>
      <w:pPr>
        <w:pStyle w:val="BodyText"/>
      </w:pPr>
      <w:r>
        <w:t xml:space="preserve">For students from charter and home schools, the Minnesota Department of Education will pay the university for tuition and textbooks.</w:t>
      </w:r>
    </w:p>
    <w:bookmarkStart w:id="11" w:name="fees"/>
    <w:p>
      <w:pPr>
        <w:pStyle w:val="Heading3"/>
      </w:pPr>
      <w:r>
        <w:t xml:space="preserve">Fees</w:t>
      </w:r>
    </w:p>
    <w:p>
      <w:pPr>
        <w:pStyle w:val="FirstParagraph"/>
      </w:pPr>
      <w:r>
        <w:t xml:space="preserve">However, you are responsible for any other costs incurred at the university. Additional costs of attending the program may include:</w:t>
      </w:r>
    </w:p>
    <w:p>
      <w:pPr>
        <w:pStyle w:val="Compact"/>
        <w:numPr>
          <w:ilvl w:val="0"/>
          <w:numId w:val="1001"/>
        </w:numPr>
      </w:pPr>
      <w:r>
        <w:t xml:space="preserve">parking permits</w:t>
      </w:r>
    </w:p>
    <w:p>
      <w:pPr>
        <w:pStyle w:val="Compact"/>
        <w:numPr>
          <w:ilvl w:val="0"/>
          <w:numId w:val="1001"/>
        </w:numPr>
      </w:pPr>
      <w:r>
        <w:t xml:space="preserve">library fees</w:t>
      </w:r>
    </w:p>
    <w:p>
      <w:pPr>
        <w:pStyle w:val="Compact"/>
        <w:numPr>
          <w:ilvl w:val="0"/>
          <w:numId w:val="1001"/>
        </w:numPr>
      </w:pPr>
      <w:r>
        <w:t xml:space="preserve">computer fees</w:t>
      </w:r>
    </w:p>
    <w:p>
      <w:pPr>
        <w:pStyle w:val="Compact"/>
        <w:numPr>
          <w:ilvl w:val="0"/>
          <w:numId w:val="1001"/>
        </w:numPr>
      </w:pPr>
      <w:r>
        <w:t xml:space="preserve">room and board</w:t>
      </w:r>
    </w:p>
    <w:p>
      <w:pPr>
        <w:pStyle w:val="Compact"/>
        <w:numPr>
          <w:ilvl w:val="0"/>
          <w:numId w:val="1001"/>
        </w:numPr>
      </w:pPr>
      <w:r>
        <w:t xml:space="preserve">non-returned books</w:t>
      </w:r>
    </w:p>
    <w:p>
      <w:pPr>
        <w:pStyle w:val="Compact"/>
        <w:numPr>
          <w:ilvl w:val="0"/>
          <w:numId w:val="1001"/>
        </w:numPr>
      </w:pPr>
      <w:r>
        <w:t xml:space="preserve">transportation</w:t>
      </w:r>
    </w:p>
    <w:p>
      <w:pPr>
        <w:pStyle w:val="Compact"/>
        <w:numPr>
          <w:ilvl w:val="0"/>
          <w:numId w:val="1001"/>
        </w:numPr>
      </w:pPr>
      <w:r>
        <w:t xml:space="preserve">supply/classroom fees not covered in tuition costs</w:t>
      </w:r>
    </w:p>
    <w:p>
      <w:pPr>
        <w:pStyle w:val="FirstParagraph"/>
      </w:pPr>
      <w:r>
        <w:t xml:space="preserve">Note: Students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return all books to the Bemidji State University Bookstore upon completion of the semester. Unreturned materials will result in a bill for the student.</w:t>
      </w:r>
    </w:p>
    <w:bookmarkEnd w:id="11"/>
    <w:bookmarkEnd w:id="12"/>
    <w:bookmarkStart w:id="1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If you would like to discuss the PSEO eligibility further, please contact the Admissions Office.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www.minnstate.edu/board/procedure/305p1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www.minnstate.edu/board/procedure/305p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Eligibility &amp; Cost</dc:title>
  <dc:creator/>
  <cp:keywords/>
  <dcterms:created xsi:type="dcterms:W3CDTF">2026-09-09T23:23:53Z</dcterms:created>
  <dcterms:modified xsi:type="dcterms:W3CDTF">2026-09-09T23:23:53Z</dcterms:modified>
  <dc:identifier>10f2b1fc-f32a-4fb9-9673-9591ce435206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