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Computer Science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mathematics-education-ms"/>
    <w:p>
      <w:pPr>
        <w:pStyle w:val="Heading2"/>
      </w:pPr>
      <w:r>
        <w:t xml:space="preserve">Mathematics Education M.S.</w:t>
      </w:r>
    </w:p>
    <w:p>
      <w:pPr>
        <w:pStyle w:val="FirstParagraph"/>
      </w:pPr>
      <w:r>
        <w:t xml:space="preserve">Intended for middle and secondary school math teachers, the MS in mathematics education focuses on advanced instructional methodologies and subject area depth for middle and high school education.</w:t>
      </w:r>
    </w:p>
    <w:bookmarkEnd w:id="9"/>
    <w:bookmarkStart w:id="11" w:name="curriculum"/>
    <w:p>
      <w:pPr>
        <w:pStyle w:val="Heading2"/>
      </w:pPr>
      <w:r>
        <w:t xml:space="preserve">Curriculum</w:t>
      </w:r>
    </w:p>
    <w:p>
      <w:pPr>
        <w:pStyle w:val="FirstParagraph"/>
      </w:pPr>
      <w:r>
        <w:t xml:space="preserve">The program requires a minimum of 32 credits that include six credits from the Professional Education Department, nine required core credits and 15 credits are mathematics electives. Students must also complete a pedagogical portfolio and final research paper for the final two credits.</w:t>
      </w:r>
    </w:p>
    <w:p>
      <w:pPr>
        <w:pStyle w:val="BodyText"/>
      </w:pPr>
      <w:r>
        <w:t xml:space="preserve">For more information on the courses in this program,</w:t>
      </w:r>
      <w:r>
        <w:t xml:space="preserve"> </w:t>
      </w:r>
      <w:hyperlink r:id="rId10">
        <w:r>
          <w:rPr>
            <w:rStyle w:val="Hyperlink"/>
          </w:rPr>
          <w:t xml:space="preserve">visit the course catalog.</w:t>
        </w:r>
      </w:hyperlink>
    </w:p>
    <w:bookmarkEnd w:id="11"/>
    <w:bookmarkStart w:id="16" w:name="admission-process"/>
    <w:p>
      <w:pPr>
        <w:pStyle w:val="Heading2"/>
      </w:pPr>
      <w:r>
        <w:t xml:space="preserve">Admission Process</w:t>
      </w:r>
    </w:p>
    <w:p>
      <w:pPr>
        <w:pStyle w:val="FirstParagraph"/>
      </w:pPr>
      <w:r>
        <w:rPr>
          <w:b/>
          <w:bCs/>
        </w:rPr>
        <w:t xml:space="preserve">Open enrollment:</w:t>
      </w:r>
      <w:r>
        <w:t xml:space="preserve"> </w:t>
      </w:r>
      <w:r>
        <w:t xml:space="preserve">Fall applicants should submit their application and additional materials by</w:t>
      </w:r>
      <w:r>
        <w:t xml:space="preserve"> </w:t>
      </w:r>
      <w:r>
        <w:rPr>
          <w:b/>
          <w:bCs/>
        </w:rPr>
        <w:t xml:space="preserve">April 1</w:t>
      </w:r>
      <w:r>
        <w:t xml:space="preserve"> </w:t>
      </w:r>
      <w:r>
        <w:t xml:space="preserve">for preferred consideration.</w:t>
      </w:r>
    </w:p>
    <w:bookmarkStart w:id="15" w:name="application-requirements"/>
    <w:p>
      <w:pPr>
        <w:pStyle w:val="Heading3"/>
      </w:pPr>
      <w:r>
        <w:t xml:space="preserve">Application Requirements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Graduate Application for Admission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Official transcripts of bachelor’s degree</w:t>
      </w:r>
      <w:r>
        <w:t xml:space="preserve"> </w:t>
      </w:r>
      <w:r>
        <w:t xml:space="preserve">from an accredited college or university</w:t>
      </w:r>
    </w:p>
    <w:p>
      <w:pPr>
        <w:pStyle w:val="Compact"/>
        <w:numPr>
          <w:ilvl w:val="0"/>
          <w:numId w:val="1001"/>
        </w:numPr>
      </w:pPr>
      <w:r>
        <w:t xml:space="preserve">Overall undergraduate GPA:</w:t>
      </w:r>
      <w:r>
        <w:t xml:space="preserve"> </w:t>
      </w:r>
      <w:r>
        <w:rPr>
          <w:b/>
          <w:bCs/>
        </w:rPr>
        <w:t xml:space="preserve">2.75*</w:t>
      </w:r>
    </w:p>
    <w:p>
      <w:pPr>
        <w:pStyle w:val="Compact"/>
        <w:numPr>
          <w:ilvl w:val="0"/>
          <w:numId w:val="1001"/>
        </w:numPr>
      </w:pPr>
      <w:r>
        <w:t xml:space="preserve">A copy of</w:t>
      </w:r>
      <w:r>
        <w:t xml:space="preserve"> </w:t>
      </w:r>
      <w:r>
        <w:rPr>
          <w:b/>
          <w:bCs/>
        </w:rPr>
        <w:t xml:space="preserve">current teaching license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(2) letters of recommendation</w:t>
      </w:r>
      <w:r>
        <w:t xml:space="preserve"> </w:t>
      </w:r>
      <w:r>
        <w:t xml:space="preserve">from a previous employer/professor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students must provide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Proof of English Proficiency</w:t>
        </w:r>
      </w:hyperlink>
    </w:p>
    <w:p>
      <w:pPr>
        <w:pStyle w:val="Compact"/>
        <w:numPr>
          <w:ilvl w:val="0"/>
          <w:numId w:val="1001"/>
        </w:numPr>
      </w:pPr>
      <w:r>
        <w:t xml:space="preserve">International graduate students must pay a $50 International Program Process Fee</w:t>
      </w:r>
    </w:p>
    <w:p>
      <w:pPr>
        <w:pStyle w:val="FirstParagraph"/>
      </w:pPr>
      <w:r>
        <w:t xml:space="preserve">*Students with an undergraduate GPA below 2.75 or who are within 11 semester hours of satisfying undergraduate degree requirements may qualify for provisional admission.</w:t>
      </w:r>
    </w:p>
    <w:p>
      <w:pPr>
        <w:pStyle w:val="BodyText"/>
      </w:pPr>
      <w:r>
        <w:t xml:space="preserve">Contact the</w:t>
      </w:r>
      <w:r>
        <w:t xml:space="preserve"> </w:t>
      </w:r>
      <w:hyperlink r:id="rId14">
        <w:r>
          <w:rPr>
            <w:rStyle w:val="Hyperlink"/>
          </w:rPr>
          <w:t xml:space="preserve">School of Graduate Studies</w:t>
        </w:r>
      </w:hyperlink>
      <w:r>
        <w:t xml:space="preserve"> </w:t>
      </w:r>
      <w:r>
        <w:t xml:space="preserve">for more information.</w:t>
      </w:r>
    </w:p>
    <w:bookmarkEnd w:id="15"/>
    <w:bookmarkEnd w:id="16"/>
    <w:bookmarkStart w:id="19" w:name="tuition--aid"/>
    <w:p>
      <w:pPr>
        <w:pStyle w:val="Heading2"/>
      </w:pPr>
      <w:r>
        <w:t xml:space="preserve">Tuition &amp; Aid</w:t>
      </w:r>
    </w:p>
    <w:p>
      <w:pPr>
        <w:pStyle w:val="FirstParagraph"/>
      </w:pPr>
      <w:r>
        <w:t xml:space="preserve">We offer in-state/reciprocity tuition rates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our graduate students. Please visit the</w:t>
      </w:r>
      <w:r>
        <w:t xml:space="preserve"> </w:t>
      </w:r>
      <w:hyperlink r:id="rId17">
        <w:r>
          <w:rPr>
            <w:rStyle w:val="Hyperlink"/>
          </w:rPr>
          <w:t xml:space="preserve">Financial Aid</w:t>
        </w:r>
      </w:hyperlink>
      <w:r>
        <w:t xml:space="preserve"> </w:t>
      </w:r>
      <w:r>
        <w:t xml:space="preserve">website for more information on options for funding your education.</w:t>
      </w:r>
    </w:p>
    <w:p>
      <w:pPr>
        <w:pStyle w:val="BodyText"/>
      </w:pPr>
      <w:r>
        <w:t xml:space="preserve">Some students may qualify for a</w:t>
      </w:r>
      <w:r>
        <w:t xml:space="preserve"> </w:t>
      </w:r>
      <w:hyperlink r:id="rId18">
        <w:r>
          <w:rPr>
            <w:rStyle w:val="Hyperlink"/>
          </w:rPr>
          <w:t xml:space="preserve">graduate assistantship</w:t>
        </w:r>
      </w:hyperlink>
      <w:r>
        <w:t xml:space="preserve">, which includes a tuition waiver and stipend. GAs, in return, are expected to complete certain teaching and/or research assignments for the department.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http://www.bemidjistate.edu/academics/graduate-studies/guidelines/" TargetMode="External"/><Relationship Id="rId10" Type="http://schemas.openxmlformats.org/officeDocument/2006/relationships/hyperlink" Target="https://www.bemidjistate.edu/academics/catalog/graduate/current/programs/ms__matm" TargetMode="External"/><Relationship Id="rId12" Type="http://schemas.openxmlformats.org/officeDocument/2006/relationships/hyperlink" Target="https://www.bemidjistate.edu/admissions/graduate/apply/" TargetMode="External"/><Relationship Id="rId13" Type="http://schemas.openxmlformats.org/officeDocument/2006/relationships/hyperlink" Target="https://www.bemidjistate.edu/admissions/international/admission-requirements/graduate-application/" TargetMode="External"/><Relationship Id="rId17" Type="http://schemas.openxmlformats.org/officeDocument/2006/relationships/hyperlink" Target="https://www.bemidjistate.edu/mybsu/finances/aid/" TargetMode="External"/><Relationship Id="rId14" Type="http://schemas.openxmlformats.org/officeDocument/2006/relationships/hyperlink" Target="mailto:grad@bemidjistate.edu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www.bemidjistate.edu/academics/graduate-studies/guidelines/" TargetMode="External"/><Relationship Id="rId10" Type="http://schemas.openxmlformats.org/officeDocument/2006/relationships/hyperlink" Target="https://www.bemidjistate.edu/academics/catalog/graduate/current/programs/ms__matm" TargetMode="External"/><Relationship Id="rId12" Type="http://schemas.openxmlformats.org/officeDocument/2006/relationships/hyperlink" Target="https://www.bemidjistate.edu/admissions/graduate/apply/" TargetMode="External"/><Relationship Id="rId13" Type="http://schemas.openxmlformats.org/officeDocument/2006/relationships/hyperlink" Target="https://www.bemidjistate.edu/admissions/international/admission-requirements/graduate-application/" TargetMode="External"/><Relationship Id="rId17" Type="http://schemas.openxmlformats.org/officeDocument/2006/relationships/hyperlink" Target="https://www.bemidjistate.edu/mybsu/finances/aid/" TargetMode="External"/><Relationship Id="rId14" Type="http://schemas.openxmlformats.org/officeDocument/2006/relationships/hyperlink" Target="mailto:grad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Science</dc:title>
  <dc:creator/>
  <cp:keywords/>
  <dcterms:created xsi:type="dcterms:W3CDTF">2026-09-09T23:28:23Z</dcterms:created>
  <dcterms:modified xsi:type="dcterms:W3CDTF">2026-09-09T23:28:23Z</dcterms:modified>
  <dc:identifier>0b7750c6-0253-401f-a00e-0dafe76679e1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