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Non-Credit Learning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Xdc0ade5e3dd77a7f0c2b136a789c3413bb1cf76"/>
    <w:p>
      <w:pPr>
        <w:pStyle w:val="Heading2"/>
      </w:pPr>
      <w:r>
        <w:t xml:space="preserve">Turn Your Work and Life Experience into College Credit</w:t>
      </w:r>
    </w:p>
    <w:p>
      <w:pPr>
        <w:pStyle w:val="FirstParagraph"/>
      </w:pPr>
      <w:r>
        <w:t xml:space="preserve">Bemidji State University knows that knowledge doesn’t come just from reading a textbook or taking a class.</w:t>
      </w:r>
      <w:r>
        <w:t xml:space="preserve"> </w:t>
      </w:r>
      <w:r>
        <w:rPr>
          <w:b/>
          <w:bCs/>
        </w:rPr>
        <w:t xml:space="preserve">Credit for Prior Learning (CPL)</w:t>
      </w:r>
      <w:r>
        <w:t xml:space="preserve"> </w:t>
      </w:r>
      <w:r>
        <w:t xml:space="preserve">is a way for you, as an adult learner, to connect what you’ve learned in the workplace or community with academic credit and make it count toward a degree.</w:t>
      </w:r>
    </w:p>
    <w:bookmarkEnd w:id="9"/>
    <w:bookmarkStart w:id="10" w:name="X2ebf5edb7e4b80c7370a60c1881f4cfc2b90a2b"/>
    <w:p>
      <w:pPr>
        <w:pStyle w:val="Heading2"/>
      </w:pPr>
      <w:r>
        <w:t xml:space="preserve">If you answer ‘yes’ to any of these questions, you are a good candidate for CPL!</w:t>
      </w:r>
    </w:p>
    <w:p>
      <w:pPr>
        <w:pStyle w:val="Compact"/>
        <w:numPr>
          <w:ilvl w:val="0"/>
          <w:numId w:val="1001"/>
        </w:numPr>
      </w:pPr>
      <w:r>
        <w:t xml:space="preserve">Have I ever been a member of the United States Armed Forces or Uniformed Services?</w:t>
      </w:r>
    </w:p>
    <w:p>
      <w:pPr>
        <w:pStyle w:val="Compact"/>
        <w:numPr>
          <w:ilvl w:val="0"/>
          <w:numId w:val="1001"/>
        </w:numPr>
      </w:pPr>
      <w:r>
        <w:t xml:space="preserve">Do I have an industry-recognized certification, or have I completed non-credit courses such as workplace training?</w:t>
      </w:r>
    </w:p>
    <w:p>
      <w:pPr>
        <w:pStyle w:val="Compact"/>
        <w:numPr>
          <w:ilvl w:val="0"/>
          <w:numId w:val="1001"/>
        </w:numPr>
      </w:pPr>
      <w:r>
        <w:t xml:space="preserve">Have I had at least 3 years of experience in my field or subject area?</w:t>
      </w:r>
    </w:p>
    <w:p>
      <w:pPr>
        <w:pStyle w:val="Compact"/>
        <w:numPr>
          <w:ilvl w:val="0"/>
          <w:numId w:val="1001"/>
        </w:numPr>
      </w:pPr>
      <w:r>
        <w:t xml:space="preserve">Do I have extensive volunteer or community involvement that uses my professional skills?</w:t>
      </w:r>
    </w:p>
    <w:p>
      <w:pPr>
        <w:pStyle w:val="Compact"/>
        <w:numPr>
          <w:ilvl w:val="0"/>
          <w:numId w:val="1001"/>
        </w:numPr>
      </w:pPr>
      <w:r>
        <w:t xml:space="preserve">Am I multi-lingual, or do I have life and/or work experiences in other countries?</w:t>
      </w:r>
    </w:p>
    <w:bookmarkEnd w:id="10"/>
    <w:bookmarkStart w:id="27" w:name="visit-mycpl-to-get-started"/>
    <w:p>
      <w:pPr>
        <w:pStyle w:val="Heading2"/>
      </w:pPr>
      <w:hyperlink r:id="rId11">
        <w:r>
          <w:rPr>
            <w:rStyle w:val="Hyperlink"/>
          </w:rPr>
          <w:t xml:space="preserve">Visit MyCPL</w:t>
        </w:r>
      </w:hyperlink>
      <w:r>
        <w:t xml:space="preserve"> </w:t>
      </w:r>
      <w:r>
        <w:t xml:space="preserve">to get started.</w:t>
      </w:r>
    </w:p>
    <w:p>
      <w:pPr>
        <w:pStyle w:val="FirstParagraph"/>
      </w:pPr>
      <w:r>
        <w:t xml:space="preserve">Log into</w:t>
      </w:r>
      <w:r>
        <w:t xml:space="preserve"> </w:t>
      </w:r>
      <w:hyperlink r:id="rId11">
        <w:r>
          <w:rPr>
            <w:rStyle w:val="Hyperlink"/>
          </w:rPr>
          <w:t xml:space="preserve">MyCPL</w:t>
        </w:r>
      </w:hyperlink>
      <w:r>
        <w:t xml:space="preserve"> </w:t>
      </w:r>
      <w:r>
        <w:t xml:space="preserve">with your Star ID, fill out the survey, and start a petition.  A CPL advisor will then work with you throughout the remainder of the process.</w:t>
      </w:r>
    </w:p>
    <w:bookmarkStart w:id="12" w:name="Xceba2fe0d22961ed36df2a4eee057580ea5555b"/>
    <w:p>
      <w:pPr>
        <w:pStyle w:val="Heading5"/>
      </w:pPr>
      <w:r>
        <w:t xml:space="preserve">Admitted students to Bemidji State University may request credit in the following situations:</w:t>
      </w:r>
    </w:p>
    <w:bookmarkEnd w:id="12"/>
    <w:bookmarkStart w:id="18" w:name="standardized-and-external-non-bsu-exams"/>
    <w:p>
      <w:pPr>
        <w:pStyle w:val="Heading3"/>
      </w:pPr>
      <w:r>
        <w:t xml:space="preserve">Standardized and External (non-BSU) Exams</w:t>
      </w:r>
    </w:p>
    <w:p>
      <w:pPr>
        <w:pStyle w:val="FirstParagraph"/>
      </w:pPr>
      <w:r>
        <w:t xml:space="preserve">Standardized proficiency examinations are recognized by many BSU departments and include:</w:t>
      </w:r>
    </w:p>
    <w:p>
      <w:pPr>
        <w:pStyle w:val="Compact"/>
        <w:numPr>
          <w:ilvl w:val="0"/>
          <w:numId w:val="1002"/>
        </w:numPr>
      </w:pPr>
      <w:r>
        <w:t xml:space="preserve">CollegeBoard Advanced Placement Examinations (</w:t>
      </w:r>
      <w:r>
        <w:rPr>
          <w:b/>
          <w:bCs/>
        </w:rPr>
        <w:t xml:space="preserve">AP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International Baccalaureate (</w:t>
      </w:r>
      <w:r>
        <w:rPr>
          <w:b/>
          <w:bCs/>
        </w:rPr>
        <w:t xml:space="preserve">IB</w:t>
      </w:r>
      <w:r>
        <w:t xml:space="preserve">) higher-level selected subsidiary level results and the IB diploma</w:t>
      </w:r>
    </w:p>
    <w:p>
      <w:pPr>
        <w:pStyle w:val="Compact"/>
        <w:numPr>
          <w:ilvl w:val="0"/>
          <w:numId w:val="1002"/>
        </w:numPr>
      </w:pPr>
      <w:r>
        <w:t xml:space="preserve">College-Level Examination Program (</w:t>
      </w:r>
      <w:r>
        <w:rPr>
          <w:b/>
          <w:bCs/>
        </w:rPr>
        <w:t xml:space="preserve">CLEP</w:t>
      </w:r>
      <w:r>
        <w:t xml:space="preserve">) subject examinations</w:t>
      </w:r>
    </w:p>
    <w:p>
      <w:pPr>
        <w:pStyle w:val="Compact"/>
        <w:numPr>
          <w:ilvl w:val="1"/>
          <w:numId w:val="1003"/>
        </w:numPr>
      </w:pPr>
      <w:r>
        <w:t xml:space="preserve">Check out</w:t>
      </w:r>
      <w:r>
        <w:t xml:space="preserve"> </w:t>
      </w:r>
      <w:hyperlink r:id="rId13">
        <w:r>
          <w:rPr>
            <w:rStyle w:val="Hyperlink"/>
          </w:rPr>
          <w:t xml:space="preserve">free CLEP practice exams here</w:t>
        </w:r>
      </w:hyperlink>
    </w:p>
    <w:p>
      <w:pPr>
        <w:pStyle w:val="Compact"/>
        <w:numPr>
          <w:ilvl w:val="1"/>
          <w:numId w:val="1003"/>
        </w:numPr>
      </w:pPr>
      <w:r>
        <w:t xml:space="preserve">Review</w:t>
      </w:r>
      <w:r>
        <w:t xml:space="preserve"> </w:t>
      </w:r>
      <w:hyperlink r:id="rId14">
        <w:r>
          <w:rPr>
            <w:rStyle w:val="Hyperlink"/>
          </w:rPr>
          <w:t xml:space="preserve">CLEP exam options here</w:t>
        </w:r>
      </w:hyperlink>
    </w:p>
    <w:p>
      <w:pPr>
        <w:pStyle w:val="Compact"/>
        <w:numPr>
          <w:ilvl w:val="0"/>
          <w:numId w:val="1002"/>
        </w:numPr>
      </w:pPr>
      <w:r>
        <w:t xml:space="preserve">Defense Activity for Non-Traditional Education Support (</w:t>
      </w:r>
      <w:r>
        <w:rPr>
          <w:b/>
          <w:bCs/>
        </w:rPr>
        <w:t xml:space="preserve">DANTES</w:t>
      </w:r>
      <w:r>
        <w:t xml:space="preserve">) subject standardized tests</w:t>
      </w:r>
    </w:p>
    <w:p>
      <w:pPr>
        <w:pStyle w:val="Compact"/>
        <w:numPr>
          <w:ilvl w:val="0"/>
          <w:numId w:val="1002"/>
        </w:numPr>
      </w:pPr>
      <w:r>
        <w:t xml:space="preserve">CollegeBoard Scholastic Aptitude Achievement Test (</w:t>
      </w:r>
      <w:r>
        <w:rPr>
          <w:b/>
          <w:bCs/>
        </w:rPr>
        <w:t xml:space="preserve">SAAT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Various military service school transcripts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DD-214 Forms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See all MinnState-recognized external assessment types here</w:t>
        </w:r>
      </w:hyperlink>
      <w:r>
        <w:t xml:space="preserve">.</w:t>
      </w:r>
    </w:p>
    <w:p>
      <w:pPr>
        <w:pStyle w:val="FirstParagraph"/>
      </w:pPr>
      <w:r>
        <w:t xml:space="preserve">No course may be repeated or grade raised by such an examination. Standardized exam credit transfer requires an official transcript from the testing authority in most cases. See our</w:t>
      </w:r>
      <w:r>
        <w:t xml:space="preserve"> </w:t>
      </w:r>
      <w:hyperlink r:id="rId17">
        <w:r>
          <w:rPr>
            <w:rStyle w:val="Hyperlink"/>
          </w:rPr>
          <w:t xml:space="preserve">Sending Transcripts page</w:t>
        </w:r>
      </w:hyperlink>
      <w:r>
        <w:t xml:space="preserve"> </w:t>
      </w:r>
      <w:r>
        <w:t xml:space="preserve">for more information.</w:t>
      </w:r>
    </w:p>
    <w:bookmarkEnd w:id="18"/>
    <w:bookmarkStart w:id="20" w:name="X874e9f3db01429cd3026f110e0f0eab4bbe5fbe"/>
    <w:p>
      <w:pPr>
        <w:pStyle w:val="Heading3"/>
      </w:pPr>
      <w:r>
        <w:t xml:space="preserve">Special or Internal Course Exam (for a specific BSU class)</w:t>
      </w:r>
    </w:p>
    <w:p>
      <w:pPr>
        <w:pStyle w:val="FirstParagraph"/>
      </w:pPr>
      <w:r>
        <w:t xml:space="preserve">Degree-seeking BSU students may choose to “test out” of taking a class, for a subject in which you already have a high level of skill or knowledge. Requests to take a special, comprehensive examination</w:t>
      </w:r>
      <w:r>
        <w:t xml:space="preserve"> </w:t>
      </w:r>
      <w:r>
        <w:rPr>
          <w:b/>
          <w:bCs/>
        </w:rPr>
        <w:t xml:space="preserve">must be made to the course instructor.</w:t>
      </w:r>
      <w:r>
        <w:t xml:space="preserve"> </w:t>
      </w:r>
      <w:r>
        <w:t xml:space="preserve">No grade may be raised or course repeated by such an examination. Consult with the course instructor and/or faculty advisor to see whether a special exam is offered. Not every department offers special test-out exams. Nominal fees for preparing and evaluating exams, and awarding credits apply. Use the</w:t>
      </w:r>
      <w:r>
        <w:t xml:space="preserve"> </w:t>
      </w:r>
      <w:hyperlink r:id="rId19">
        <w:r>
          <w:rPr>
            <w:rStyle w:val="Hyperlink"/>
          </w:rPr>
          <w:t xml:space="preserve">Special Exam Request form</w:t>
        </w:r>
      </w:hyperlink>
      <w:r>
        <w:t xml:space="preserve"> </w:t>
      </w:r>
      <w:r>
        <w:t xml:space="preserve">to start the process.</w:t>
      </w:r>
    </w:p>
    <w:bookmarkEnd w:id="20"/>
    <w:bookmarkStart w:id="22" w:name="X51e2552a9fe1224862637799562d1b8cbf09c23"/>
    <w:p>
      <w:pPr>
        <w:pStyle w:val="Heading3"/>
      </w:pPr>
      <w:r>
        <w:t xml:space="preserve">Evaluated Prior Learning (portfolio review)</w:t>
      </w:r>
    </w:p>
    <w:p>
      <w:pPr>
        <w:pStyle w:val="FirstParagraph"/>
      </w:pPr>
      <w:r>
        <w:t xml:space="preserve">Prior non-college and experiential learning may be the result of a variety of life experiences, such as continuing education, work experience, or individual study.</w:t>
      </w:r>
      <w:r>
        <w:t xml:space="preserve"> </w:t>
      </w:r>
      <w:r>
        <w:rPr>
          <w:i/>
          <w:iCs/>
        </w:rPr>
        <w:t xml:space="preserve">University credit is not awarded on the basis of prior/work experience alone</w:t>
      </w:r>
      <w:r>
        <w:t xml:space="preserve">, but for the achievement of documented college-level knowledge and/or skill.</w:t>
      </w:r>
    </w:p>
    <w:p>
      <w:pPr>
        <w:pStyle w:val="BodyText"/>
      </w:pPr>
      <w:r>
        <w:t xml:space="preserve">The methods of determining either recognition or university credit are predicated on prior learning that is considered to be at a university level.</w:t>
      </w:r>
      <w:r>
        <w:t xml:space="preserve"> </w:t>
      </w:r>
      <w:r>
        <w:rPr>
          <w:b/>
          <w:bCs/>
        </w:rPr>
        <w:t xml:space="preserve">Each department determines the criteria, if any, which if satisfied, will result in the awarding of university credit</w:t>
      </w:r>
      <w:r>
        <w:t xml:space="preserve">. The departments have the prerogative of determining which courses, if any, may be evaluated for non-college or experiential learning. Not all courses have an equivalent non-college or experiential learning counterpart. *Note: Some BSU departments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evaluate prior learning requests, but will consider</w:t>
      </w:r>
      <w:r>
        <w:t xml:space="preserve"> </w:t>
      </w:r>
      <w:hyperlink r:id="rId21">
        <w:r>
          <w:rPr>
            <w:rStyle w:val="Hyperlink"/>
          </w:rPr>
          <w:t xml:space="preserve">standardized tests (CLEP, etc)</w:t>
        </w:r>
      </w:hyperlink>
      <w:r>
        <w:t xml:space="preserve"> </w:t>
      </w:r>
      <w:r>
        <w:t xml:space="preserve">and course test-outs for required major course substitution. Check with the department chairperson in your major.</w:t>
      </w:r>
    </w:p>
    <w:bookmarkEnd w:id="22"/>
    <w:bookmarkStart w:id="26" w:name="options-for-veterans"/>
    <w:p>
      <w:pPr>
        <w:pStyle w:val="Heading3"/>
      </w:pPr>
      <w:r>
        <w:t xml:space="preserve">Options for Veterans</w:t>
      </w:r>
    </w:p>
    <w:p>
      <w:pPr>
        <w:pStyle w:val="FirstParagraph"/>
      </w:pPr>
      <w:r>
        <w:t xml:space="preserve">BSU’s</w:t>
      </w:r>
      <w:r>
        <w:t xml:space="preserve"> </w:t>
      </w:r>
      <w:hyperlink r:id="rId23">
        <w:r>
          <w:rPr>
            <w:rStyle w:val="Hyperlink"/>
          </w:rPr>
          <w:t xml:space="preserve">Veteran’s Assistance Center</w:t>
        </w:r>
      </w:hyperlink>
      <w:r>
        <w:t xml:space="preserve"> is the place to begin if you have learning experiences from your service to our country. The</w:t>
      </w:r>
      <w:r>
        <w:t xml:space="preserve"> </w:t>
      </w:r>
      <w:hyperlink r:id="rId24">
        <w:r>
          <w:rPr>
            <w:rStyle w:val="Hyperlink"/>
          </w:rPr>
          <w:t xml:space="preserve">Resources page</w:t>
        </w:r>
      </w:hyperlink>
      <w:r>
        <w:t xml:space="preserve"> </w:t>
      </w:r>
      <w:r>
        <w:t xml:space="preserve">will help you get started.</w:t>
      </w:r>
    </w:p>
    <w:p>
      <w:pPr>
        <w:pStyle w:val="BodyText"/>
      </w:pPr>
      <w:r>
        <w:t xml:space="preserve">Bemidji State University follows the Minnesota State policy regarding assessment of prior learning for academic credit. The purpose of this policy is to provide students with opportunities to demonstrate university-level learning gained in non-credit or experiential settings.</w:t>
      </w:r>
    </w:p>
    <w:p>
      <w:pPr>
        <w:pStyle w:val="BodyText"/>
      </w:pPr>
      <w:hyperlink r:id="rId25">
        <w:r>
          <w:rPr>
            <w:rStyle w:val="Hyperlink"/>
          </w:rPr>
          <w:t xml:space="preserve">View the current Minnesota State CPL policy</w:t>
        </w:r>
      </w:hyperlink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://www.4tests.com/exams/exams.asp?cid=2" TargetMode="External"/><Relationship Id="rId14" Type="http://schemas.openxmlformats.org/officeDocument/2006/relationships/hyperlink" Target="https://clep.collegeboard.org/" TargetMode="External"/><Relationship Id="rId11" Type="http://schemas.openxmlformats.org/officeDocument/2006/relationships/hyperlink" Target="https://mycpl.minnstate.edu/" TargetMode="External"/><Relationship Id="rId19" Type="http://schemas.openxmlformats.org/officeDocument/2006/relationships/hyperlink" Target="https://www.bemidjistate.edu/academics/distance/wp-content/uploads/sites/6/2024/04/Special-Exam-Request-form.pdf" TargetMode="External"/><Relationship Id="rId17" Type="http://schemas.openxmlformats.org/officeDocument/2006/relationships/hyperlink" Target="https://www.bemidjistate.edu/admissions/transfer/sending-transcripts/" TargetMode="External"/><Relationship Id="rId21" Type="http://schemas.openxmlformats.org/officeDocument/2006/relationships/hyperlink" Target="https://www.bemidjistate.edu/admissions/transfer/transferring-credits/ap-and-clep-equivalencies/" TargetMode="External"/><Relationship Id="rId23" Type="http://schemas.openxmlformats.org/officeDocument/2006/relationships/hyperlink" Target="https://www.bemidjistate.edu/services/veterans/" TargetMode="External"/><Relationship Id="rId24" Type="http://schemas.openxmlformats.org/officeDocument/2006/relationships/hyperlink" Target="https://www.bemidjistate.edu/services/veterans/resources/" TargetMode="External"/><Relationship Id="rId25" Type="http://schemas.openxmlformats.org/officeDocument/2006/relationships/hyperlink" Target="https://www.minnstate.edu/board/policy/335.html" TargetMode="External"/><Relationship Id="rId16" Type="http://schemas.openxmlformats.org/officeDocument/2006/relationships/hyperlink" Target="https://www.minnstate.edu/board/procedure/335p1.html" TargetMode="External"/><Relationship Id="rId15" Type="http://schemas.openxmlformats.org/officeDocument/2006/relationships/hyperlink" Target="https://www.minnstate.edu/board/procedure/335p3.html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www.4tests.com/exams/exams.asp?cid=2" TargetMode="External"/><Relationship Id="rId14" Type="http://schemas.openxmlformats.org/officeDocument/2006/relationships/hyperlink" Target="https://clep.collegeboard.org/" TargetMode="External"/><Relationship Id="rId11" Type="http://schemas.openxmlformats.org/officeDocument/2006/relationships/hyperlink" Target="https://mycpl.minnstate.edu/" TargetMode="External"/><Relationship Id="rId19" Type="http://schemas.openxmlformats.org/officeDocument/2006/relationships/hyperlink" Target="https://www.bemidjistate.edu/academics/distance/wp-content/uploads/sites/6/2024/04/Special-Exam-Request-form.pdf" TargetMode="External"/><Relationship Id="rId17" Type="http://schemas.openxmlformats.org/officeDocument/2006/relationships/hyperlink" Target="https://www.bemidjistate.edu/admissions/transfer/sending-transcripts/" TargetMode="External"/><Relationship Id="rId21" Type="http://schemas.openxmlformats.org/officeDocument/2006/relationships/hyperlink" Target="https://www.bemidjistate.edu/admissions/transfer/transferring-credits/ap-and-clep-equivalencies/" TargetMode="External"/><Relationship Id="rId23" Type="http://schemas.openxmlformats.org/officeDocument/2006/relationships/hyperlink" Target="https://www.bemidjistate.edu/services/veterans/" TargetMode="External"/><Relationship Id="rId24" Type="http://schemas.openxmlformats.org/officeDocument/2006/relationships/hyperlink" Target="https://www.bemidjistate.edu/services/veterans/resources/" TargetMode="External"/><Relationship Id="rId25" Type="http://schemas.openxmlformats.org/officeDocument/2006/relationships/hyperlink" Target="https://www.minnstate.edu/board/policy/335.html" TargetMode="External"/><Relationship Id="rId16" Type="http://schemas.openxmlformats.org/officeDocument/2006/relationships/hyperlink" Target="https://www.minnstate.edu/board/procedure/335p1.html" TargetMode="External"/><Relationship Id="rId15" Type="http://schemas.openxmlformats.org/officeDocument/2006/relationships/hyperlink" Target="https://www.minnstate.edu/board/procedure/335p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Non-Credit Learning</dc:title>
  <dc:creator/>
  <cp:keywords/>
  <dcterms:created xsi:type="dcterms:W3CDTF">2026-09-09T23:30:53Z</dcterms:created>
  <dcterms:modified xsi:type="dcterms:W3CDTF">2026-09-09T23:30:53Z</dcterms:modified>
  <dc:identifier>65858a6a-8a28-424f-93fd-e3d96d5be29b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